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49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50"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50"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86" w:lineRule="exact"/>
        <w:rPr>
          <w:sz w:val="24"/>
          <w:szCs w:val="24"/>
          <w:color w:val="auto"/>
        </w:rPr>
      </w:pPr>
    </w:p>
    <w:p>
      <w:pPr>
        <w:ind w:left="3860" w:right="2500" w:hanging="3559"/>
        <w:spacing w:after="0" w:line="338" w:lineRule="auto"/>
        <w:tabs>
          <w:tab w:leader="none" w:pos="53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September 30, 2026</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80" w:lineRule="exact"/>
        <w:rPr>
          <w:sz w:val="24"/>
          <w:szCs w:val="24"/>
          <w:color w:val="auto"/>
        </w:rPr>
      </w:pPr>
    </w:p>
    <w:p>
      <w:pPr>
        <w:ind w:left="520" w:hanging="219"/>
        <w:spacing w:after="0"/>
        <w:tabs>
          <w:tab w:leader="none" w:pos="5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 xml:space="preserve">TRANSITION REPORT PURSUANT TO SECTION </w:t>
      </w:r>
      <w:r>
        <w:rPr>
          <w:rFonts w:ascii="Times New Roman" w:cs="Times New Roman" w:eastAsia="Times New Roman" w:hAnsi="Times New Roman"/>
          <w:sz w:val="17"/>
          <w:szCs w:val="17"/>
          <w:b w:val="1"/>
          <w:bCs w:val="1"/>
          <w:color w:val="auto"/>
        </w:rPr>
        <w:t>13 OR 15(d) OF THE SECURITIES EXCHANGE ACT OF 1934</w:t>
      </w:r>
    </w:p>
    <w:p>
      <w:pPr>
        <w:spacing w:after="0" w:line="149" w:lineRule="exact"/>
        <w:rPr>
          <w:sz w:val="24"/>
          <w:szCs w:val="24"/>
          <w:color w:val="auto"/>
        </w:rPr>
      </w:pPr>
    </w:p>
    <w:p>
      <w:pPr>
        <w:ind w:left="3900"/>
        <w:spacing w:after="0"/>
        <w:tabs>
          <w:tab w:leader="none" w:pos="6140" w:val="left"/>
        </w:tabs>
        <w:rPr>
          <w:sz w:val="20"/>
          <w:szCs w:val="20"/>
          <w:color w:val="auto"/>
        </w:rPr>
      </w:pPr>
      <w:r>
        <w:rPr>
          <w:rFonts w:ascii="Times New Roman" w:cs="Times New Roman" w:eastAsia="Times New Roman" w:hAnsi="Times New Roman"/>
          <w:sz w:val="16"/>
          <w:szCs w:val="16"/>
          <w:b w:val="1"/>
          <w:bCs w:val="1"/>
          <w:color w:val="auto"/>
        </w:rPr>
        <w:t>For the transition period from</w:t>
        <w:tab/>
        <w:t>to</w:t>
      </w:r>
    </w:p>
    <w:p>
      <w:pPr>
        <w:spacing w:after="0" w:line="59"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6"/>
          <w:szCs w:val="16"/>
          <w:b w:val="1"/>
          <w:bCs w:val="1"/>
          <w:color w:val="auto"/>
        </w:rPr>
        <w:t>Commission File Number: 001-31648</w:t>
      </w:r>
    </w:p>
    <w:p>
      <w:pPr>
        <w:spacing w:after="0" w:line="7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EURONET WORLDWIDE, INC.</w:t>
      </w:r>
    </w:p>
    <w:p>
      <w:pPr>
        <w:spacing w:after="0" w:line="1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13" w:lineRule="exact"/>
        <w:rPr>
          <w:sz w:val="24"/>
          <w:szCs w:val="24"/>
          <w:color w:val="auto"/>
        </w:rPr>
      </w:pPr>
    </w:p>
    <w:tbl>
      <w:tblPr>
        <w:tblLayout w:type="fixed"/>
        <w:tblInd w:w="720" w:type="dxa"/>
        <w:tblCellMar>
          <w:top w:w="0" w:type="dxa"/>
          <w:left w:w="0" w:type="dxa"/>
          <w:bottom w:w="0" w:type="dxa"/>
          <w:right w:w="0" w:type="dxa"/>
        </w:tblCellMar>
      </w:tblPr>
      <w:tr>
        <w:trPr>
          <w:trHeight w:val="212"/>
        </w:trPr>
        <w:tc>
          <w:tcPr>
            <w:tcW w:w="43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4660" w:type="dxa"/>
            <w:vAlign w:val="bottom"/>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74-2806888</w:t>
            </w:r>
          </w:p>
        </w:tc>
      </w:tr>
      <w:tr>
        <w:trPr>
          <w:trHeight w:val="257"/>
        </w:trPr>
        <w:tc>
          <w:tcPr>
            <w:tcW w:w="43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(State or other jurisdiction of incorporation or organization)</w:t>
            </w:r>
          </w:p>
        </w:tc>
        <w:tc>
          <w:tcPr>
            <w:tcW w:w="4660" w:type="dxa"/>
            <w:vAlign w:val="bottom"/>
          </w:tcPr>
          <w:p>
            <w:pPr>
              <w:jc w:val="center"/>
              <w:ind w:left="2099"/>
              <w:spacing w:after="0"/>
              <w:rPr>
                <w:sz w:val="20"/>
                <w:szCs w:val="20"/>
                <w:color w:val="auto"/>
              </w:rPr>
            </w:pPr>
            <w:r>
              <w:rPr>
                <w:rFonts w:ascii="Times New Roman" w:cs="Times New Roman" w:eastAsia="Times New Roman" w:hAnsi="Times New Roman"/>
                <w:sz w:val="16"/>
                <w:szCs w:val="16"/>
                <w:b w:val="1"/>
                <w:bCs w:val="1"/>
                <w:color w:val="auto"/>
              </w:rPr>
              <w:t>(I.R.S. Employer Identification No.)</w:t>
            </w:r>
          </w:p>
        </w:tc>
      </w:tr>
      <w:tr>
        <w:trPr>
          <w:trHeight w:val="257"/>
        </w:trPr>
        <w:tc>
          <w:tcPr>
            <w:tcW w:w="43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11400 Tomahawk Creek Parkway, Suite 300</w:t>
            </w:r>
          </w:p>
        </w:tc>
        <w:tc>
          <w:tcPr>
            <w:tcW w:w="4660" w:type="dxa"/>
            <w:vAlign w:val="bottom"/>
          </w:tcPr>
          <w:p>
            <w:pPr>
              <w:spacing w:after="0"/>
              <w:rPr>
                <w:sz w:val="22"/>
                <w:szCs w:val="22"/>
                <w:color w:val="auto"/>
              </w:rPr>
            </w:pPr>
          </w:p>
        </w:tc>
      </w:tr>
      <w:tr>
        <w:trPr>
          <w:trHeight w:val="257"/>
        </w:trPr>
        <w:tc>
          <w:tcPr>
            <w:tcW w:w="4300" w:type="dxa"/>
            <w:vAlign w:val="bottom"/>
          </w:tcPr>
          <w:p>
            <w:pPr>
              <w:ind w:left="1400"/>
              <w:spacing w:after="0"/>
              <w:rPr>
                <w:sz w:val="20"/>
                <w:szCs w:val="20"/>
                <w:color w:val="auto"/>
              </w:rPr>
            </w:pPr>
            <w:r>
              <w:rPr>
                <w:rFonts w:ascii="Times New Roman" w:cs="Times New Roman" w:eastAsia="Times New Roman" w:hAnsi="Times New Roman"/>
                <w:sz w:val="16"/>
                <w:szCs w:val="16"/>
                <w:b w:val="1"/>
                <w:bCs w:val="1"/>
                <w:color w:val="auto"/>
              </w:rPr>
              <w:t>Leawood, Kansas</w:t>
            </w:r>
          </w:p>
        </w:tc>
        <w:tc>
          <w:tcPr>
            <w:tcW w:w="4660" w:type="dxa"/>
            <w:vAlign w:val="bottom"/>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rPr>
              <w:t>66211</w:t>
            </w:r>
          </w:p>
        </w:tc>
      </w:tr>
      <w:tr>
        <w:trPr>
          <w:trHeight w:val="256"/>
        </w:trPr>
        <w:tc>
          <w:tcPr>
            <w:tcW w:w="43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4660" w:type="dxa"/>
            <w:vAlign w:val="bottom"/>
          </w:tcPr>
          <w:p>
            <w:pPr>
              <w:jc w:val="center"/>
              <w:ind w:left="2079"/>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r>
        <w:trPr>
          <w:trHeight w:val="243"/>
        </w:trPr>
        <w:tc>
          <w:tcPr>
            <w:tcW w:w="4300" w:type="dxa"/>
            <w:vAlign w:val="bottom"/>
          </w:tcPr>
          <w:p>
            <w:pPr>
              <w:spacing w:after="0"/>
              <w:rPr>
                <w:sz w:val="21"/>
                <w:szCs w:val="21"/>
                <w:color w:val="auto"/>
              </w:rPr>
            </w:pPr>
          </w:p>
        </w:tc>
        <w:tc>
          <w:tcPr>
            <w:tcW w:w="4660" w:type="dxa"/>
            <w:vAlign w:val="bottom"/>
          </w:tcPr>
          <w:p>
            <w:pPr>
              <w:jc w:val="right"/>
              <w:ind w:right="3459"/>
              <w:spacing w:after="0"/>
              <w:rPr>
                <w:sz w:val="20"/>
                <w:szCs w:val="20"/>
                <w:color w:val="auto"/>
              </w:rPr>
            </w:pPr>
            <w:r>
              <w:rPr>
                <w:rFonts w:ascii="Times New Roman" w:cs="Times New Roman" w:eastAsia="Times New Roman" w:hAnsi="Times New Roman"/>
                <w:sz w:val="16"/>
                <w:szCs w:val="16"/>
                <w:b w:val="1"/>
                <w:bCs w:val="1"/>
                <w:color w:val="auto"/>
              </w:rPr>
              <w:t>(913) 327-4200</w:t>
            </w:r>
          </w:p>
        </w:tc>
      </w:tr>
    </w:tbl>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302"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6"/>
          <w:szCs w:val="16"/>
          <w:b w:val="1"/>
          <w:bCs w:val="1"/>
          <w:color w:val="auto"/>
        </w:rPr>
        <w:t>(Former name, former address and former fiscal year, if changed since last report)</w:t>
      </w:r>
    </w:p>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7"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19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300" w:type="dxa"/>
            <w:vAlign w:val="bottom"/>
            <w:gridSpan w:val="2"/>
          </w:tcPr>
          <w:p>
            <w:pPr>
              <w:spacing w:after="0"/>
              <w:rPr>
                <w:sz w:val="16"/>
                <w:szCs w:val="16"/>
                <w:color w:val="auto"/>
              </w:rPr>
            </w:pPr>
          </w:p>
        </w:tc>
        <w:tc>
          <w:tcPr>
            <w:tcW w:w="10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3"/>
        </w:trPr>
        <w:tc>
          <w:tcPr>
            <w:tcW w:w="5100" w:type="dxa"/>
            <w:vAlign w:val="bottom"/>
            <w:gridSpan w:val="3"/>
          </w:tcPr>
          <w:p>
            <w:pPr>
              <w:jc w:val="center"/>
              <w:ind w:right="20"/>
              <w:spacing w:after="0" w:line="183" w:lineRule="exact"/>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180" w:type="dxa"/>
            <w:vAlign w:val="bottom"/>
          </w:tcPr>
          <w:p>
            <w:pPr>
              <w:spacing w:after="0"/>
              <w:rPr>
                <w:sz w:val="15"/>
                <w:szCs w:val="15"/>
                <w:color w:val="auto"/>
              </w:rPr>
            </w:pPr>
          </w:p>
        </w:tc>
        <w:tc>
          <w:tcPr>
            <w:tcW w:w="700" w:type="dxa"/>
            <w:vAlign w:val="bottom"/>
            <w:tcBorders>
              <w:bottom w:val="single" w:sz="8" w:color="auto"/>
            </w:tcBorders>
            <w:gridSpan w:val="3"/>
          </w:tcPr>
          <w:p>
            <w:pPr>
              <w:jc w:val="center"/>
              <w:spacing w:after="0" w:line="169" w:lineRule="exact"/>
              <w:rPr>
                <w:sz w:val="20"/>
                <w:szCs w:val="20"/>
                <w:color w:val="auto"/>
              </w:rPr>
            </w:pPr>
            <w:r>
              <w:rPr>
                <w:rFonts w:ascii="Times New Roman" w:cs="Times New Roman" w:eastAsia="Times New Roman" w:hAnsi="Times New Roman"/>
                <w:sz w:val="16"/>
                <w:szCs w:val="16"/>
                <w:b w:val="1"/>
                <w:bCs w:val="1"/>
                <w:color w:val="auto"/>
              </w:rPr>
              <w:t>Symbol(s)</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0" w:type="dxa"/>
            <w:vAlign w:val="bottom"/>
            <w:tcBorders>
              <w:bottom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1040" w:type="dxa"/>
            <w:vAlign w:val="bottom"/>
          </w:tcPr>
          <w:p>
            <w:pPr>
              <w:spacing w:after="0"/>
              <w:rPr>
                <w:sz w:val="15"/>
                <w:szCs w:val="15"/>
                <w:color w:val="auto"/>
              </w:rPr>
            </w:pPr>
          </w:p>
        </w:tc>
      </w:tr>
      <w:tr>
        <w:trPr>
          <w:trHeight w:val="20"/>
        </w:trPr>
        <w:tc>
          <w:tcPr>
            <w:tcW w:w="19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
        </w:trPr>
        <w:tc>
          <w:tcPr>
            <w:tcW w:w="19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4"/>
        </w:trPr>
        <w:tc>
          <w:tcPr>
            <w:tcW w:w="1940" w:type="dxa"/>
            <w:vAlign w:val="bottom"/>
            <w:tcBorders>
              <w:left w:val="single" w:sz="8" w:color="auto"/>
              <w:bottom w:val="single" w:sz="8" w:color="auto"/>
            </w:tcBorders>
          </w:tcPr>
          <w:p>
            <w:pPr>
              <w:spacing w:after="0"/>
              <w:rPr>
                <w:sz w:val="20"/>
                <w:szCs w:val="20"/>
                <w:color w:val="auto"/>
              </w:rPr>
            </w:pPr>
          </w:p>
        </w:tc>
        <w:tc>
          <w:tcPr>
            <w:tcW w:w="3160" w:type="dxa"/>
            <w:vAlign w:val="bottom"/>
            <w:tcBorders>
              <w:bottom w:val="single" w:sz="8" w:color="auto"/>
              <w:right w:val="single" w:sz="8" w:color="auto"/>
            </w:tcBorders>
            <w:gridSpan w:val="2"/>
          </w:tcPr>
          <w:p>
            <w:pPr>
              <w:jc w:val="center"/>
              <w:ind w:right="1940"/>
              <w:spacing w:after="0"/>
              <w:rPr>
                <w:sz w:val="20"/>
                <w:szCs w:val="20"/>
                <w:color w:val="auto"/>
              </w:rPr>
            </w:pPr>
            <w:r>
              <w:rPr>
                <w:rFonts w:ascii="Times New Roman" w:cs="Times New Roman" w:eastAsia="Times New Roman" w:hAnsi="Times New Roman"/>
                <w:sz w:val="16"/>
                <w:szCs w:val="16"/>
                <w:color w:val="auto"/>
              </w:rPr>
              <w:t>Common Stock</w:t>
            </w: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6"/>
                <w:szCs w:val="16"/>
                <w:color w:val="auto"/>
              </w:rPr>
              <w:t>EEFT</w:t>
            </w:r>
          </w:p>
        </w:tc>
        <w:tc>
          <w:tcPr>
            <w:tcW w:w="1000" w:type="dxa"/>
            <w:vAlign w:val="bottom"/>
            <w:tcBorders>
              <w:bottom w:val="single" w:sz="8" w:color="auto"/>
            </w:tcBorders>
          </w:tcPr>
          <w:p>
            <w:pPr>
              <w:spacing w:after="0"/>
              <w:rPr>
                <w:sz w:val="20"/>
                <w:szCs w:val="20"/>
                <w:color w:val="auto"/>
              </w:rPr>
            </w:pPr>
          </w:p>
        </w:tc>
        <w:tc>
          <w:tcPr>
            <w:tcW w:w="4040" w:type="dxa"/>
            <w:vAlign w:val="bottom"/>
            <w:tcBorders>
              <w:bottom w:val="single" w:sz="8" w:color="auto"/>
              <w:right w:val="single" w:sz="8" w:color="auto"/>
            </w:tcBorders>
            <w:gridSpan w:val="2"/>
          </w:tcPr>
          <w:p>
            <w:pPr>
              <w:jc w:val="center"/>
              <w:ind w:right="1040"/>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200" w:hanging="192"/>
        <w:spacing w:after="0" w:line="184" w:lineRule="exact"/>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86" w:lineRule="exact"/>
        <w:rPr>
          <w:sz w:val="24"/>
          <w:szCs w:val="24"/>
          <w:color w:val="auto"/>
        </w:rPr>
      </w:pPr>
    </w:p>
    <w:p>
      <w:pPr>
        <w:ind w:right="260"/>
        <w:spacing w:after="0" w:line="22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15" w:lineRule="exact"/>
        <w:rPr>
          <w:sz w:val="24"/>
          <w:szCs w:val="24"/>
          <w:color w:val="auto"/>
        </w:rPr>
      </w:pPr>
    </w:p>
    <w:p>
      <w:pPr>
        <w:ind w:right="14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3"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6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1960"/>
              <w:spacing w:after="0"/>
              <w:rPr>
                <w:sz w:val="20"/>
                <w:szCs w:val="20"/>
                <w:color w:val="auto"/>
              </w:rPr>
            </w:pPr>
            <w:r>
              <w:rPr>
                <w:rFonts w:ascii="Times New Roman" w:cs="Times New Roman" w:eastAsia="Times New Roman" w:hAnsi="Times New Roman"/>
                <w:sz w:val="16"/>
                <w:szCs w:val="16"/>
                <w:color w:val="auto"/>
              </w:rPr>
              <w:t>Accelerated filer</w:t>
            </w:r>
          </w:p>
        </w:tc>
        <w:tc>
          <w:tcPr>
            <w:tcW w:w="1200" w:type="dxa"/>
            <w:vAlign w:val="bottom"/>
          </w:tcPr>
          <w:p>
            <w:pPr>
              <w:ind w:left="1040"/>
              <w:spacing w:after="0"/>
              <w:rPr>
                <w:sz w:val="20"/>
                <w:szCs w:val="20"/>
                <w:color w:val="auto"/>
              </w:rPr>
            </w:pPr>
            <w:r>
              <w:rPr>
                <w:rFonts w:ascii="Wingdings" w:cs="Wingdings" w:eastAsia="Wingdings" w:hAnsi="Wingdings"/>
                <w:sz w:val="16"/>
                <w:szCs w:val="16"/>
                <w:b w:val="1"/>
                <w:bCs w:val="1"/>
                <w:color w:val="auto"/>
                <w:w w:val="97"/>
              </w:rPr>
              <w:t>o</w:t>
            </w:r>
          </w:p>
        </w:tc>
      </w:tr>
      <w:tr>
        <w:trPr>
          <w:trHeight w:val="270"/>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620" w:type="dxa"/>
            <w:vAlign w:val="bottom"/>
          </w:tcPr>
          <w:p>
            <w:pPr>
              <w:ind w:left="520"/>
              <w:spacing w:after="0"/>
              <w:rPr>
                <w:sz w:val="20"/>
                <w:szCs w:val="20"/>
                <w:color w:val="auto"/>
              </w:rPr>
            </w:pPr>
            <w:r>
              <w:rPr>
                <w:rFonts w:ascii="Wingdings" w:cs="Wingdings" w:eastAsia="Wingdings" w:hAnsi="Wingdings"/>
                <w:sz w:val="16"/>
                <w:szCs w:val="16"/>
                <w:b w:val="1"/>
                <w:bCs w:val="1"/>
                <w:color w:val="auto"/>
              </w:rPr>
              <w:t>o</w:t>
            </w:r>
          </w:p>
        </w:tc>
        <w:tc>
          <w:tcPr>
            <w:tcW w:w="4800" w:type="dxa"/>
            <w:vAlign w:val="bottom"/>
          </w:tcPr>
          <w:p>
            <w:pPr>
              <w:ind w:left="19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800" w:type="dxa"/>
            <w:vAlign w:val="bottom"/>
          </w:tcPr>
          <w:p>
            <w:pPr>
              <w:ind w:left="1960"/>
              <w:spacing w:after="0"/>
              <w:rPr>
                <w:sz w:val="20"/>
                <w:szCs w:val="20"/>
                <w:color w:val="auto"/>
              </w:rPr>
            </w:pPr>
            <w:r>
              <w:rPr>
                <w:rFonts w:ascii="Times New Roman" w:cs="Times New Roman" w:eastAsia="Times New Roman" w:hAnsi="Times New Roman"/>
                <w:sz w:val="16"/>
                <w:szCs w:val="16"/>
                <w:color w:val="auto"/>
              </w:rPr>
              <w:t>Emerging growth company</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6" w:lineRule="exact"/>
        <w:rPr>
          <w:sz w:val="24"/>
          <w:szCs w:val="24"/>
          <w:color w:val="auto"/>
        </w:rPr>
      </w:pPr>
    </w:p>
    <w:p>
      <w:pPr>
        <w:ind w:left="40" w:right="580"/>
        <w:spacing w:after="0" w:line="278"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6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On November 4, 2026, Euronet Worldwide, Inc. had 36,737,747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436245</wp:posOffset>
            </wp:positionV>
            <wp:extent cx="71748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40" w:type="dxa"/>
            <w:vAlign w:val="bottom"/>
            <w:gridSpan w:val="9"/>
          </w:tcPr>
          <w:p>
            <w:pPr>
              <w:jc w:val="center"/>
              <w:ind w:right="2840"/>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65"/>
        </w:trPr>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40" w:type="dxa"/>
            <w:vAlign w:val="bottom"/>
            <w:gridSpan w:val="9"/>
          </w:tcPr>
          <w:p>
            <w:pPr>
              <w:jc w:val="center"/>
              <w:ind w:right="28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96"/>
        </w:trPr>
        <w:tc>
          <w:tcPr>
            <w:tcW w:w="10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1940" w:type="dxa"/>
            <w:vAlign w:val="bottom"/>
            <w:tcBorders>
              <w:top w:val="single" w:sz="8" w:color="CCEEFF"/>
            </w:tcBorders>
            <w:gridSpan w:val="2"/>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r>
      <w:tr>
        <w:trPr>
          <w:trHeight w:val="196"/>
        </w:trPr>
        <w:tc>
          <w:tcPr>
            <w:tcW w:w="2980" w:type="dxa"/>
            <w:vAlign w:val="bottom"/>
            <w:tcBorders>
              <w:bottom w:val="single" w:sz="8" w:color="0000FF"/>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8"/>
              </w:rPr>
              <w:t>PART I—FINANCIAL INFORMATION</w:t>
            </w:r>
          </w:p>
        </w:tc>
        <w:tc>
          <w:tcPr>
            <w:tcW w:w="7680" w:type="dxa"/>
            <w:vAlign w:val="bottom"/>
            <w:tcBorders>
              <w:bottom w:val="single" w:sz="8" w:color="CCEEFF"/>
            </w:tcBorders>
            <w:gridSpan w:val="10"/>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r>
      <w:tr>
        <w:trPr>
          <w:trHeight w:val="175"/>
        </w:trPr>
        <w:tc>
          <w:tcPr>
            <w:tcW w:w="1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3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5"/>
                <w:szCs w:val="15"/>
                <w:color w:val="auto"/>
              </w:rPr>
            </w:pPr>
          </w:p>
        </w:tc>
      </w:tr>
      <w:tr>
        <w:trPr>
          <w:trHeight w:val="21"/>
        </w:trPr>
        <w:tc>
          <w:tcPr>
            <w:tcW w:w="1040" w:type="dxa"/>
            <w:vAlign w:val="bottom"/>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5"/>
        </w:trPr>
        <w:tc>
          <w:tcPr>
            <w:tcW w:w="1040" w:type="dxa"/>
            <w:vAlign w:val="bottom"/>
            <w:shd w:val="clear" w:color="auto" w:fill="CCEEFF"/>
          </w:tcPr>
          <w:p>
            <w:pPr>
              <w:spacing w:after="0"/>
              <w:rPr>
                <w:sz w:val="15"/>
                <w:szCs w:val="15"/>
                <w:color w:val="auto"/>
              </w:rPr>
            </w:pPr>
          </w:p>
        </w:tc>
        <w:tc>
          <w:tcPr>
            <w:tcW w:w="96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Consolidated Balance Sheets as of September 30, 2026 and December 31, 2025</w:t>
            </w:r>
          </w:p>
        </w:tc>
        <w:tc>
          <w:tcPr>
            <w:tcW w:w="3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5"/>
                <w:szCs w:val="15"/>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8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36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40" w:type="dxa"/>
            <w:vAlign w:val="bottom"/>
          </w:tcPr>
          <w:p>
            <w:pPr>
              <w:spacing w:after="0"/>
              <w:rPr>
                <w:sz w:val="15"/>
                <w:szCs w:val="15"/>
                <w:color w:val="auto"/>
              </w:rPr>
            </w:pPr>
          </w:p>
        </w:tc>
        <w:tc>
          <w:tcPr>
            <w:tcW w:w="962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FF"/>
              </w:rPr>
              <w:t>Consolidated Statements of Operations for the Three and Nine Months Ended September 30, 2026 and 2025</w:t>
            </w:r>
          </w:p>
        </w:tc>
        <w:tc>
          <w:tcPr>
            <w:tcW w:w="3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5"/>
                <w:szCs w:val="15"/>
                <w:color w:val="auto"/>
              </w:rPr>
            </w:pPr>
          </w:p>
        </w:tc>
      </w:tr>
      <w:tr>
        <w:trPr>
          <w:trHeight w:val="21"/>
        </w:trPr>
        <w:tc>
          <w:tcPr>
            <w:tcW w:w="1040" w:type="dxa"/>
            <w:vAlign w:val="bottom"/>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8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9220" w:type="dxa"/>
            <w:vAlign w:val="bottom"/>
            <w:tcBorders>
              <w:bottom w:val="single" w:sz="8" w:color="0000FF"/>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9"/>
              </w:rPr>
              <w:t>Consolidated Statements of Comprehensive Income (Loss) for the Three and Nine Months Ended September 30, 2026 and 2025</w:t>
            </w:r>
          </w:p>
        </w:tc>
        <w:tc>
          <w:tcPr>
            <w:tcW w:w="4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CCEEFF"/>
            </w:tcBorders>
            <w:shd w:val="clear" w:color="auto" w:fill="CCEEFF"/>
          </w:tcPr>
          <w:p>
            <w:pPr>
              <w:spacing w:after="0"/>
              <w:rPr>
                <w:sz w:val="17"/>
                <w:szCs w:val="17"/>
                <w:color w:val="auto"/>
              </w:rPr>
            </w:pPr>
          </w:p>
        </w:tc>
      </w:tr>
      <w:tr>
        <w:trPr>
          <w:trHeight w:val="176"/>
        </w:trPr>
        <w:tc>
          <w:tcPr>
            <w:tcW w:w="1040" w:type="dxa"/>
            <w:vAlign w:val="bottom"/>
          </w:tcPr>
          <w:p>
            <w:pPr>
              <w:spacing w:after="0"/>
              <w:rPr>
                <w:sz w:val="15"/>
                <w:szCs w:val="15"/>
                <w:color w:val="auto"/>
              </w:rPr>
            </w:pPr>
          </w:p>
        </w:tc>
        <w:tc>
          <w:tcPr>
            <w:tcW w:w="962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FF"/>
              </w:rPr>
              <w:t>Consolidated Statements of Changes in Equity for the Three and Nine Months Ended September 30, 2026 and 2025</w:t>
            </w:r>
          </w:p>
        </w:tc>
        <w:tc>
          <w:tcPr>
            <w:tcW w:w="3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8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7080" w:type="dxa"/>
            <w:vAlign w:val="bottom"/>
            <w:tcBorders>
              <w:bottom w:val="single" w:sz="8" w:color="0000FF"/>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9"/>
              </w:rPr>
              <w:t>Consolidated Statements of Cash Flows for the Nine Months Ended September 30, 2026 and 2025</w:t>
            </w:r>
          </w:p>
        </w:tc>
        <w:tc>
          <w:tcPr>
            <w:tcW w:w="2540" w:type="dxa"/>
            <w:vAlign w:val="bottom"/>
            <w:tcBorders>
              <w:bottom w:val="single" w:sz="8" w:color="CCEEFF"/>
            </w:tcBorders>
            <w:gridSpan w:val="4"/>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CCEEFF"/>
            </w:tcBorders>
            <w:shd w:val="clear" w:color="auto" w:fill="CCEEFF"/>
          </w:tcPr>
          <w:p>
            <w:pPr>
              <w:spacing w:after="0"/>
              <w:rPr>
                <w:sz w:val="17"/>
                <w:szCs w:val="17"/>
                <w:color w:val="auto"/>
              </w:rPr>
            </w:pPr>
          </w:p>
        </w:tc>
      </w:tr>
      <w:tr>
        <w:trPr>
          <w:trHeight w:val="176"/>
        </w:trPr>
        <w:tc>
          <w:tcPr>
            <w:tcW w:w="1040" w:type="dxa"/>
            <w:vAlign w:val="bottom"/>
          </w:tcPr>
          <w:p>
            <w:pPr>
              <w:spacing w:after="0"/>
              <w:rPr>
                <w:sz w:val="15"/>
                <w:szCs w:val="15"/>
                <w:color w:val="auto"/>
              </w:rPr>
            </w:pPr>
          </w:p>
        </w:tc>
        <w:tc>
          <w:tcPr>
            <w:tcW w:w="962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FF"/>
              </w:rPr>
              <w:t>Notes to the Unaudited Consolidated Financial Statements</w:t>
            </w:r>
          </w:p>
        </w:tc>
        <w:tc>
          <w:tcPr>
            <w:tcW w:w="3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8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6440" w:type="dxa"/>
            <w:vAlign w:val="bottom"/>
            <w:tcBorders>
              <w:bottom w:val="single" w:sz="8" w:color="0000FF"/>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180" w:type="dxa"/>
            <w:vAlign w:val="bottom"/>
            <w:tcBorders>
              <w:bottom w:val="single" w:sz="8" w:color="CCEEFF"/>
            </w:tcBorders>
            <w:gridSpan w:val="5"/>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c>
          <w:tcPr>
            <w:tcW w:w="200" w:type="dxa"/>
            <w:vAlign w:val="bottom"/>
            <w:tcBorders>
              <w:bottom w:val="single" w:sz="8" w:color="CCEEFF"/>
            </w:tcBorders>
            <w:shd w:val="clear" w:color="auto" w:fill="CCEEFF"/>
          </w:tcPr>
          <w:p>
            <w:pPr>
              <w:spacing w:after="0"/>
              <w:rPr>
                <w:sz w:val="17"/>
                <w:szCs w:val="17"/>
                <w:color w:val="auto"/>
              </w:rPr>
            </w:pPr>
          </w:p>
        </w:tc>
      </w:tr>
      <w:tr>
        <w:trPr>
          <w:trHeight w:val="175"/>
        </w:trPr>
        <w:tc>
          <w:tcPr>
            <w:tcW w:w="1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62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c>
          <w:tcPr>
            <w:tcW w:w="200" w:type="dxa"/>
            <w:vAlign w:val="bottom"/>
          </w:tcPr>
          <w:p>
            <w:pPr>
              <w:spacing w:after="0"/>
              <w:rPr>
                <w:sz w:val="15"/>
                <w:szCs w:val="15"/>
                <w:color w:val="auto"/>
              </w:rPr>
            </w:pPr>
          </w:p>
        </w:tc>
      </w:tr>
      <w:tr>
        <w:trPr>
          <w:trHeight w:val="21"/>
        </w:trPr>
        <w:tc>
          <w:tcPr>
            <w:tcW w:w="1040" w:type="dxa"/>
            <w:vAlign w:val="bottom"/>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8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5"/>
        </w:trPr>
        <w:tc>
          <w:tcPr>
            <w:tcW w:w="10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6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Controls and Procedures</w:t>
            </w:r>
          </w:p>
        </w:tc>
        <w:tc>
          <w:tcPr>
            <w:tcW w:w="3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c>
          <w:tcPr>
            <w:tcW w:w="200" w:type="dxa"/>
            <w:vAlign w:val="bottom"/>
            <w:shd w:val="clear" w:color="auto" w:fill="CCEEFF"/>
          </w:tcPr>
          <w:p>
            <w:pPr>
              <w:spacing w:after="0"/>
              <w:rPr>
                <w:sz w:val="15"/>
                <w:szCs w:val="15"/>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6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FF"/>
              </w:rPr>
              <w:t>PART II—OTHER INFORMATION</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0"/>
        </w:trPr>
        <w:tc>
          <w:tcPr>
            <w:tcW w:w="104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0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Legal Proceedings</w:t>
            </w:r>
          </w:p>
        </w:tc>
        <w:tc>
          <w:tcPr>
            <w:tcW w:w="3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c>
          <w:tcPr>
            <w:tcW w:w="200" w:type="dxa"/>
            <w:vAlign w:val="bottom"/>
            <w:shd w:val="clear" w:color="auto" w:fill="CCEEFF"/>
          </w:tcPr>
          <w:p>
            <w:pPr>
              <w:spacing w:after="0"/>
              <w:rPr>
                <w:sz w:val="17"/>
                <w:szCs w:val="17"/>
                <w:color w:val="auto"/>
              </w:rPr>
            </w:pPr>
          </w:p>
        </w:tc>
      </w:tr>
      <w:tr>
        <w:trPr>
          <w:trHeight w:val="176"/>
        </w:trPr>
        <w:tc>
          <w:tcPr>
            <w:tcW w:w="10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1320" w:type="dxa"/>
            <w:vAlign w:val="bottom"/>
            <w:tcBorders>
              <w:top w:val="single" w:sz="8" w:color="0000FF"/>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FF"/>
              </w:rPr>
              <w:t>Risk Factors</w:t>
            </w:r>
          </w:p>
        </w:tc>
        <w:tc>
          <w:tcPr>
            <w:tcW w:w="8300" w:type="dxa"/>
            <w:vAlign w:val="bottom"/>
            <w:tcBorders>
              <w:top w:val="single" w:sz="8" w:color="CCEEFF"/>
            </w:tcBorders>
            <w:gridSpan w:val="13"/>
          </w:tcPr>
          <w:p>
            <w:pPr>
              <w:spacing w:after="0"/>
              <w:rPr>
                <w:sz w:val="15"/>
                <w:szCs w:val="15"/>
                <w:color w:val="auto"/>
              </w:rPr>
            </w:pPr>
          </w:p>
        </w:tc>
        <w:tc>
          <w:tcPr>
            <w:tcW w:w="3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c>
          <w:tcPr>
            <w:tcW w:w="200" w:type="dxa"/>
            <w:vAlign w:val="bottom"/>
            <w:tcBorders>
              <w:top w:val="single" w:sz="8" w:color="CCEEFF"/>
            </w:tcBorders>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5"/>
        </w:trPr>
        <w:tc>
          <w:tcPr>
            <w:tcW w:w="10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bl>
    <w:p>
      <w:pPr>
        <w:sectPr>
          <w:pgSz w:w="11900" w:h="16900" w:orient="portrait"/>
          <w:cols w:equalWidth="0" w:num="1">
            <w:col w:w="11260"/>
          </w:cols>
          <w:pgMar w:left="320" w:top="563" w:right="319" w:bottom="0" w:gutter="0" w:footer="0" w:header="0"/>
        </w:sectPr>
      </w:pPr>
    </w:p>
    <w:bookmarkStart w:id="1" w:name="page2"/>
    <w:bookmarkEnd w:id="1"/>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2.</w:t>
            </w:r>
          </w:p>
        </w:tc>
        <w:tc>
          <w:tcPr>
            <w:tcW w:w="500" w:type="dxa"/>
            <w:vAlign w:val="bottom"/>
            <w:shd w:val="clear" w:color="auto" w:fill="CCEEFF"/>
          </w:tcPr>
          <w:p>
            <w:pPr>
              <w:spacing w:after="0"/>
              <w:rPr>
                <w:sz w:val="19"/>
                <w:szCs w:val="19"/>
                <w:color w:val="auto"/>
              </w:rPr>
            </w:pPr>
          </w:p>
        </w:tc>
        <w:tc>
          <w:tcPr>
            <w:tcW w:w="75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9"/>
                <w:szCs w:val="19"/>
                <w:color w:val="auto"/>
              </w:rPr>
            </w:pPr>
          </w:p>
        </w:tc>
      </w:tr>
      <w:tr>
        <w:trPr>
          <w:trHeight w:val="175"/>
        </w:trPr>
        <w:tc>
          <w:tcPr>
            <w:tcW w:w="5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500" w:type="dxa"/>
            <w:vAlign w:val="bottom"/>
            <w:tcBorders>
              <w:top w:val="single" w:sz="8" w:color="CCEEFF"/>
            </w:tcBorders>
          </w:tcPr>
          <w:p>
            <w:pPr>
              <w:spacing w:after="0"/>
              <w:rPr>
                <w:sz w:val="15"/>
                <w:szCs w:val="15"/>
                <w:color w:val="auto"/>
              </w:rPr>
            </w:pPr>
          </w:p>
        </w:tc>
        <w:tc>
          <w:tcPr>
            <w:tcW w:w="4340" w:type="dxa"/>
            <w:vAlign w:val="bottom"/>
            <w:tcBorders>
              <w:top w:val="single" w:sz="8" w:color="0000FF"/>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FF"/>
              </w:rPr>
              <w:t>Other Information</w:t>
            </w:r>
          </w:p>
        </w:tc>
        <w:tc>
          <w:tcPr>
            <w:tcW w:w="316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0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080" w:type="dxa"/>
            <w:vAlign w:val="bottom"/>
            <w:tcBorders>
              <w:top w:val="single" w:sz="8" w:color="CCEEFF"/>
            </w:tcBorders>
          </w:tcPr>
          <w:p>
            <w:pPr>
              <w:jc w:val="right"/>
              <w:ind w:right="211"/>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5"/>
                <w:szCs w:val="15"/>
                <w:color w:val="auto"/>
              </w:rPr>
            </w:pPr>
          </w:p>
        </w:tc>
      </w:tr>
      <w:tr>
        <w:trPr>
          <w:trHeight w:val="21"/>
        </w:trPr>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5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0000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6"/>
              </w:rPr>
              <w:t>Exhibits</w:t>
            </w:r>
          </w:p>
        </w:tc>
        <w:tc>
          <w:tcPr>
            <w:tcW w:w="6900" w:type="dxa"/>
            <w:vAlign w:val="bottom"/>
            <w:tcBorders>
              <w:bottom w:val="single" w:sz="8" w:color="CCEEFF"/>
            </w:tcBorders>
            <w:gridSpan w:val="4"/>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211"/>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7"/>
                <w:szCs w:val="17"/>
                <w:color w:val="auto"/>
              </w:rPr>
            </w:pPr>
          </w:p>
        </w:tc>
      </w:tr>
      <w:tr>
        <w:trPr>
          <w:trHeight w:val="176"/>
        </w:trPr>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5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FF"/>
              </w:rPr>
              <w:t>Signatures</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211"/>
              <w:spacing w:after="0" w:line="176" w:lineRule="exact"/>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5"/>
                <w:szCs w:val="15"/>
                <w:color w:val="auto"/>
              </w:rPr>
            </w:pPr>
          </w:p>
        </w:tc>
      </w:tr>
      <w:tr>
        <w:trPr>
          <w:trHeight w:val="459"/>
        </w:trPr>
        <w:tc>
          <w:tcPr>
            <w:tcW w:w="5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648"/>
        </w:trPr>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PART I—FINANCIAL INFORMATION</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ITEM 1. FINANCIAL STATEMENTS (UNAUDITED)</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5"/>
        </w:trPr>
        <w:tc>
          <w:tcPr>
            <w:tcW w:w="5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20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16"/>
        </w:trPr>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(In millions, except share and per share data)</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17"/>
        </w:trPr>
        <w:tc>
          <w:tcPr>
            <w:tcW w:w="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80" w:type="dxa"/>
            <w:vAlign w:val="bottom"/>
          </w:tcPr>
          <w:p>
            <w:pPr>
              <w:spacing w:after="0"/>
              <w:rPr>
                <w:sz w:val="10"/>
                <w:szCs w:val="10"/>
                <w:color w:val="auto"/>
              </w:rPr>
            </w:pPr>
          </w:p>
        </w:tc>
        <w:tc>
          <w:tcPr>
            <w:tcW w:w="1080" w:type="dxa"/>
            <w:vAlign w:val="bottom"/>
          </w:tcPr>
          <w:p>
            <w:pPr>
              <w:jc w:val="right"/>
              <w:ind w:right="51"/>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 w:type="dxa"/>
            <w:vAlign w:val="bottom"/>
          </w:tcPr>
          <w:p>
            <w:pPr>
              <w:spacing w:after="0"/>
              <w:rPr>
                <w:sz w:val="10"/>
                <w:szCs w:val="10"/>
                <w:color w:val="auto"/>
              </w:rPr>
            </w:pPr>
          </w:p>
        </w:tc>
      </w:tr>
      <w:tr>
        <w:trPr>
          <w:trHeight w:val="173"/>
        </w:trPr>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r>
      <w:tr>
        <w:trPr>
          <w:trHeight w:val="210"/>
        </w:trPr>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3"/>
        </w:trPr>
        <w:tc>
          <w:tcPr>
            <w:tcW w:w="8540" w:type="dxa"/>
            <w:vAlign w:val="bottom"/>
            <w:gridSpan w:val="7"/>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854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8540" w:type="dxa"/>
            <w:vAlign w:val="bottom"/>
            <w:gridSpan w:val="7"/>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955.4</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1,040.3</w:t>
            </w:r>
          </w:p>
        </w:tc>
        <w:tc>
          <w:tcPr>
            <w:tcW w:w="20" w:type="dxa"/>
            <w:vAlign w:val="bottom"/>
          </w:tcPr>
          <w:p>
            <w:pPr>
              <w:spacing w:after="0"/>
              <w:rPr>
                <w:sz w:val="21"/>
                <w:szCs w:val="21"/>
                <w:color w:val="auto"/>
              </w:rPr>
            </w:pPr>
          </w:p>
        </w:tc>
      </w:tr>
      <w:tr>
        <w:trPr>
          <w:trHeight w:val="243"/>
        </w:trPr>
        <w:tc>
          <w:tcPr>
            <w:tcW w:w="8540" w:type="dxa"/>
            <w:vAlign w:val="bottom"/>
            <w:gridSpan w:val="7"/>
          </w:tcPr>
          <w:p>
            <w:pPr>
              <w:ind w:left="380"/>
              <w:spacing w:after="0"/>
              <w:rPr>
                <w:sz w:val="20"/>
                <w:szCs w:val="20"/>
                <w:color w:val="auto"/>
              </w:rPr>
            </w:pPr>
            <w:r>
              <w:rPr>
                <w:rFonts w:ascii="Times New Roman" w:cs="Times New Roman" w:eastAsia="Times New Roman" w:hAnsi="Times New Roman"/>
                <w:sz w:val="18"/>
                <w:szCs w:val="18"/>
                <w:color w:val="auto"/>
              </w:rPr>
              <w:t>ATM cash</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912.7</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650.3</w:t>
            </w:r>
          </w:p>
        </w:tc>
        <w:tc>
          <w:tcPr>
            <w:tcW w:w="20" w:type="dxa"/>
            <w:vAlign w:val="bottom"/>
          </w:tcPr>
          <w:p>
            <w:pPr>
              <w:spacing w:after="0"/>
              <w:rPr>
                <w:sz w:val="21"/>
                <w:szCs w:val="21"/>
                <w:color w:val="auto"/>
              </w:rPr>
            </w:pPr>
          </w:p>
        </w:tc>
      </w:tr>
      <w:tr>
        <w:trPr>
          <w:trHeight w:val="243"/>
        </w:trPr>
        <w:tc>
          <w:tcPr>
            <w:tcW w:w="8540" w:type="dxa"/>
            <w:vAlign w:val="bottom"/>
            <w:gridSpan w:val="7"/>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0" w:type="dxa"/>
            <w:vAlign w:val="bottom"/>
          </w:tcPr>
          <w:p>
            <w:pPr>
              <w:spacing w:after="0"/>
              <w:rPr>
                <w:sz w:val="21"/>
                <w:szCs w:val="21"/>
                <w:color w:val="auto"/>
              </w:rPr>
            </w:pPr>
          </w:p>
        </w:tc>
      </w:tr>
      <w:tr>
        <w:trPr>
          <w:trHeight w:val="243"/>
        </w:trPr>
        <w:tc>
          <w:tcPr>
            <w:tcW w:w="8540" w:type="dxa"/>
            <w:vAlign w:val="bottom"/>
            <w:gridSpan w:val="7"/>
          </w:tcPr>
          <w:p>
            <w:pPr>
              <w:ind w:left="380"/>
              <w:spacing w:after="0"/>
              <w:rPr>
                <w:sz w:val="20"/>
                <w:szCs w:val="20"/>
                <w:color w:val="auto"/>
              </w:rPr>
            </w:pPr>
            <w:r>
              <w:rPr>
                <w:rFonts w:ascii="Times New Roman" w:cs="Times New Roman" w:eastAsia="Times New Roman" w:hAnsi="Times New Roman"/>
                <w:sz w:val="18"/>
                <w:szCs w:val="18"/>
                <w:color w:val="auto"/>
              </w:rPr>
              <w:t>Settlement assets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1,385.1</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1,910.4</w:t>
            </w:r>
          </w:p>
        </w:tc>
        <w:tc>
          <w:tcPr>
            <w:tcW w:w="20" w:type="dxa"/>
            <w:vAlign w:val="bottom"/>
          </w:tcPr>
          <w:p>
            <w:pPr>
              <w:spacing w:after="0"/>
              <w:rPr>
                <w:sz w:val="21"/>
                <w:szCs w:val="21"/>
                <w:color w:val="auto"/>
              </w:rPr>
            </w:pPr>
          </w:p>
        </w:tc>
      </w:tr>
      <w:tr>
        <w:trPr>
          <w:trHeight w:val="243"/>
        </w:trPr>
        <w:tc>
          <w:tcPr>
            <w:tcW w:w="8540" w:type="dxa"/>
            <w:vAlign w:val="bottom"/>
            <w:gridSpan w:val="7"/>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Trade accounts receivable, net of credit losses of $9.0 and $8.2</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20" w:type="dxa"/>
            <w:vAlign w:val="bottom"/>
          </w:tcPr>
          <w:p>
            <w:pPr>
              <w:spacing w:after="0"/>
              <w:rPr>
                <w:sz w:val="21"/>
                <w:szCs w:val="21"/>
                <w:color w:val="auto"/>
              </w:rPr>
            </w:pPr>
          </w:p>
        </w:tc>
      </w:tr>
      <w:tr>
        <w:trPr>
          <w:trHeight w:val="243"/>
        </w:trPr>
        <w:tc>
          <w:tcPr>
            <w:tcW w:w="8540" w:type="dxa"/>
            <w:vAlign w:val="bottom"/>
            <w:tcBorders>
              <w:bottom w:val="single" w:sz="8" w:color="CCEEFF"/>
            </w:tcBorders>
            <w:gridSpan w:val="7"/>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20" w:type="dxa"/>
            <w:vAlign w:val="bottom"/>
          </w:tcPr>
          <w:p>
            <w:pPr>
              <w:spacing w:after="0"/>
              <w:rPr>
                <w:sz w:val="21"/>
                <w:szCs w:val="21"/>
                <w:color w:val="auto"/>
              </w:rPr>
            </w:pPr>
          </w:p>
        </w:tc>
      </w:tr>
      <w:tr>
        <w:trPr>
          <w:trHeight w:val="223"/>
        </w:trPr>
        <w:tc>
          <w:tcPr>
            <w:tcW w:w="540" w:type="dxa"/>
            <w:vAlign w:val="bottom"/>
            <w:shd w:val="clear" w:color="auto" w:fill="CCEEFF"/>
          </w:tcPr>
          <w:p>
            <w:pPr>
              <w:spacing w:after="0"/>
              <w:rPr>
                <w:sz w:val="19"/>
                <w:szCs w:val="19"/>
                <w:color w:val="auto"/>
              </w:rPr>
            </w:pPr>
          </w:p>
        </w:tc>
        <w:tc>
          <w:tcPr>
            <w:tcW w:w="8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3,962.4</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4,270.2</w:t>
            </w:r>
          </w:p>
        </w:tc>
        <w:tc>
          <w:tcPr>
            <w:tcW w:w="20" w:type="dxa"/>
            <w:vAlign w:val="bottom"/>
          </w:tcPr>
          <w:p>
            <w:pPr>
              <w:spacing w:after="0"/>
              <w:rPr>
                <w:sz w:val="19"/>
                <w:szCs w:val="19"/>
                <w:color w:val="auto"/>
              </w:rPr>
            </w:pPr>
          </w:p>
        </w:tc>
      </w:tr>
      <w:tr>
        <w:trPr>
          <w:trHeight w:val="243"/>
        </w:trPr>
        <w:tc>
          <w:tcPr>
            <w:tcW w:w="854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Operating right of use lease assets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20" w:type="dxa"/>
            <w:vAlign w:val="bottom"/>
          </w:tcPr>
          <w:p>
            <w:pPr>
              <w:spacing w:after="0"/>
              <w:rPr>
                <w:sz w:val="21"/>
                <w:szCs w:val="21"/>
                <w:color w:val="auto"/>
              </w:rPr>
            </w:pPr>
          </w:p>
        </w:tc>
      </w:tr>
      <w:tr>
        <w:trPr>
          <w:trHeight w:val="243"/>
        </w:trPr>
        <w:tc>
          <w:tcPr>
            <w:tcW w:w="8540" w:type="dxa"/>
            <w:vAlign w:val="bottom"/>
            <w:gridSpan w:val="7"/>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$727.0 and $702.7</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w:t>
            </w:r>
          </w:p>
        </w:tc>
        <w:tc>
          <w:tcPr>
            <w:tcW w:w="20" w:type="dxa"/>
            <w:vAlign w:val="bottom"/>
          </w:tcPr>
          <w:p>
            <w:pPr>
              <w:spacing w:after="0"/>
              <w:rPr>
                <w:sz w:val="21"/>
                <w:szCs w:val="21"/>
                <w:color w:val="auto"/>
              </w:rPr>
            </w:pPr>
          </w:p>
        </w:tc>
      </w:tr>
      <w:tr>
        <w:trPr>
          <w:trHeight w:val="243"/>
        </w:trPr>
        <w:tc>
          <w:tcPr>
            <w:tcW w:w="854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1,018.3</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1,042.3</w:t>
            </w:r>
          </w:p>
        </w:tc>
        <w:tc>
          <w:tcPr>
            <w:tcW w:w="20" w:type="dxa"/>
            <w:vAlign w:val="bottom"/>
          </w:tcPr>
          <w:p>
            <w:pPr>
              <w:spacing w:after="0"/>
              <w:rPr>
                <w:sz w:val="21"/>
                <w:szCs w:val="21"/>
                <w:color w:val="auto"/>
              </w:rPr>
            </w:pPr>
          </w:p>
        </w:tc>
      </w:tr>
      <w:tr>
        <w:trPr>
          <w:trHeight w:val="243"/>
        </w:trPr>
        <w:tc>
          <w:tcPr>
            <w:tcW w:w="8540" w:type="dxa"/>
            <w:vAlign w:val="bottom"/>
            <w:gridSpan w:val="7"/>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Acquired intangible assets, net of accumulated amortization of $290.4 and $266.4</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20" w:type="dxa"/>
            <w:vAlign w:val="bottom"/>
          </w:tcPr>
          <w:p>
            <w:pPr>
              <w:spacing w:after="0"/>
              <w:rPr>
                <w:sz w:val="21"/>
                <w:szCs w:val="21"/>
                <w:color w:val="auto"/>
              </w:rPr>
            </w:pPr>
          </w:p>
        </w:tc>
      </w:tr>
      <w:tr>
        <w:trPr>
          <w:trHeight w:val="243"/>
        </w:trPr>
        <w:tc>
          <w:tcPr>
            <w:tcW w:w="854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Other assets, net of accumulated amortization of $105.8 and $96.9</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20" w:type="dxa"/>
            <w:vAlign w:val="bottom"/>
          </w:tcPr>
          <w:p>
            <w:pPr>
              <w:spacing w:after="0"/>
              <w:rPr>
                <w:sz w:val="21"/>
                <w:szCs w:val="21"/>
                <w:color w:val="auto"/>
              </w:rPr>
            </w:pPr>
          </w:p>
        </w:tc>
      </w:tr>
      <w:tr>
        <w:trPr>
          <w:trHeight w:val="243"/>
        </w:trPr>
        <w:tc>
          <w:tcPr>
            <w:tcW w:w="8540" w:type="dxa"/>
            <w:vAlign w:val="bottom"/>
            <w:gridSpan w:val="7"/>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Convertible notes receivable</w:t>
            </w: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20" w:type="dxa"/>
            <w:vAlign w:val="bottom"/>
          </w:tcPr>
          <w:p>
            <w:pPr>
              <w:spacing w:after="0"/>
              <w:rPr>
                <w:sz w:val="21"/>
                <w:szCs w:val="21"/>
                <w:color w:val="auto"/>
              </w:rPr>
            </w:pPr>
          </w:p>
        </w:tc>
      </w:tr>
      <w:tr>
        <w:trPr>
          <w:trHeight w:val="250"/>
        </w:trPr>
        <w:tc>
          <w:tcPr>
            <w:tcW w:w="540" w:type="dxa"/>
            <w:vAlign w:val="bottom"/>
            <w:tcBorders>
              <w:bottom w:val="single" w:sz="8" w:color="CCEEFF"/>
            </w:tcBorders>
          </w:tcPr>
          <w:p>
            <w:pPr>
              <w:spacing w:after="0"/>
              <w:rPr>
                <w:sz w:val="21"/>
                <w:szCs w:val="21"/>
                <w:color w:val="auto"/>
              </w:rPr>
            </w:pPr>
          </w:p>
        </w:tc>
        <w:tc>
          <w:tcPr>
            <w:tcW w:w="8000" w:type="dxa"/>
            <w:vAlign w:val="bottom"/>
            <w:tcBorders>
              <w:bottom w:val="single" w:sz="8" w:color="CCEEFF"/>
            </w:tcBorders>
            <w:gridSpan w:val="6"/>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6,054.1</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6,488.7</w:t>
            </w:r>
          </w:p>
        </w:tc>
        <w:tc>
          <w:tcPr>
            <w:tcW w:w="20" w:type="dxa"/>
            <w:vAlign w:val="bottom"/>
          </w:tcPr>
          <w:p>
            <w:pPr>
              <w:spacing w:after="0"/>
              <w:rPr>
                <w:sz w:val="21"/>
                <w:szCs w:val="21"/>
                <w:color w:val="auto"/>
              </w:rPr>
            </w:pPr>
          </w:p>
        </w:tc>
      </w:tr>
      <w:tr>
        <w:trPr>
          <w:trHeight w:val="196"/>
        </w:trPr>
        <w:tc>
          <w:tcPr>
            <w:tcW w:w="8540" w:type="dxa"/>
            <w:vAlign w:val="bottom"/>
            <w:gridSpan w:val="7"/>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LIABILITIES AND EQUITY</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43"/>
        </w:trPr>
        <w:tc>
          <w:tcPr>
            <w:tcW w:w="854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8540" w:type="dxa"/>
            <w:vAlign w:val="bottom"/>
            <w:gridSpan w:val="7"/>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Settlement obligations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1,385.1</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1,910.4</w:t>
            </w:r>
          </w:p>
        </w:tc>
        <w:tc>
          <w:tcPr>
            <w:tcW w:w="20" w:type="dxa"/>
            <w:vAlign w:val="bottom"/>
          </w:tcPr>
          <w:p>
            <w:pPr>
              <w:spacing w:after="0"/>
              <w:rPr>
                <w:sz w:val="21"/>
                <w:szCs w:val="21"/>
                <w:color w:val="auto"/>
              </w:rPr>
            </w:pPr>
          </w:p>
        </w:tc>
      </w:tr>
      <w:tr>
        <w:trPr>
          <w:trHeight w:val="243"/>
        </w:trPr>
        <w:tc>
          <w:tcPr>
            <w:tcW w:w="8540" w:type="dxa"/>
            <w:vAlign w:val="bottom"/>
            <w:gridSpan w:val="7"/>
          </w:tcPr>
          <w:p>
            <w:pPr>
              <w:ind w:left="380"/>
              <w:spacing w:after="0"/>
              <w:rPr>
                <w:sz w:val="20"/>
                <w:szCs w:val="20"/>
                <w:color w:val="auto"/>
              </w:rPr>
            </w:pPr>
            <w:r>
              <w:rPr>
                <w:rFonts w:ascii="Times New Roman" w:cs="Times New Roman" w:eastAsia="Times New Roman" w:hAnsi="Times New Roman"/>
                <w:sz w:val="18"/>
                <w:szCs w:val="18"/>
                <w:color w:val="auto"/>
              </w:rPr>
              <w:t>Trade accounts payable</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20" w:type="dxa"/>
            <w:vAlign w:val="bottom"/>
          </w:tcPr>
          <w:p>
            <w:pPr>
              <w:spacing w:after="0"/>
              <w:rPr>
                <w:sz w:val="21"/>
                <w:szCs w:val="21"/>
                <w:color w:val="auto"/>
              </w:rPr>
            </w:pPr>
          </w:p>
        </w:tc>
      </w:tr>
      <w:tr>
        <w:trPr>
          <w:trHeight w:val="243"/>
        </w:trPr>
        <w:tc>
          <w:tcPr>
            <w:tcW w:w="8540" w:type="dxa"/>
            <w:vAlign w:val="bottom"/>
            <w:gridSpan w:val="7"/>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20" w:type="dxa"/>
            <w:vAlign w:val="bottom"/>
          </w:tcPr>
          <w:p>
            <w:pPr>
              <w:spacing w:after="0"/>
              <w:rPr>
                <w:sz w:val="21"/>
                <w:szCs w:val="21"/>
                <w:color w:val="auto"/>
              </w:rPr>
            </w:pPr>
          </w:p>
        </w:tc>
      </w:tr>
      <w:tr>
        <w:trPr>
          <w:trHeight w:val="243"/>
        </w:trPr>
        <w:tc>
          <w:tcPr>
            <w:tcW w:w="8540" w:type="dxa"/>
            <w:vAlign w:val="bottom"/>
            <w:gridSpan w:val="7"/>
          </w:tcPr>
          <w:p>
            <w:pPr>
              <w:ind w:left="380"/>
              <w:spacing w:after="0"/>
              <w:rPr>
                <w:sz w:val="20"/>
                <w:szCs w:val="20"/>
                <w:color w:val="auto"/>
              </w:rPr>
            </w:pPr>
            <w:r>
              <w:rPr>
                <w:rFonts w:ascii="Times New Roman" w:cs="Times New Roman" w:eastAsia="Times New Roman" w:hAnsi="Times New Roman"/>
                <w:sz w:val="18"/>
                <w:szCs w:val="18"/>
                <w:color w:val="auto"/>
              </w:rPr>
              <w:t>Current portion of operating lease obligations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0" w:type="dxa"/>
            <w:vAlign w:val="bottom"/>
          </w:tcPr>
          <w:p>
            <w:pPr>
              <w:spacing w:after="0"/>
              <w:rPr>
                <w:sz w:val="21"/>
                <w:szCs w:val="21"/>
                <w:color w:val="auto"/>
              </w:rPr>
            </w:pPr>
          </w:p>
        </w:tc>
      </w:tr>
      <w:tr>
        <w:trPr>
          <w:trHeight w:val="243"/>
        </w:trPr>
        <w:tc>
          <w:tcPr>
            <w:tcW w:w="8540" w:type="dxa"/>
            <w:vAlign w:val="bottom"/>
            <w:gridSpan w:val="7"/>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Short-term debt obligations and current maturities of long-term debt obligations</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983.2</w:t>
            </w:r>
          </w:p>
        </w:tc>
        <w:tc>
          <w:tcPr>
            <w:tcW w:w="20" w:type="dxa"/>
            <w:vAlign w:val="bottom"/>
          </w:tcPr>
          <w:p>
            <w:pPr>
              <w:spacing w:after="0"/>
              <w:rPr>
                <w:sz w:val="21"/>
                <w:szCs w:val="21"/>
                <w:color w:val="auto"/>
              </w:rPr>
            </w:pPr>
          </w:p>
        </w:tc>
      </w:tr>
      <w:tr>
        <w:trPr>
          <w:trHeight w:val="243"/>
        </w:trPr>
        <w:tc>
          <w:tcPr>
            <w:tcW w:w="8540" w:type="dxa"/>
            <w:vAlign w:val="bottom"/>
            <w:gridSpan w:val="7"/>
          </w:tcPr>
          <w:p>
            <w:pPr>
              <w:ind w:left="380"/>
              <w:spacing w:after="0"/>
              <w:rPr>
                <w:sz w:val="20"/>
                <w:szCs w:val="20"/>
                <w:color w:val="auto"/>
              </w:rPr>
            </w:pPr>
            <w:r>
              <w:rPr>
                <w:rFonts w:ascii="Times New Roman" w:cs="Times New Roman" w:eastAsia="Times New Roman" w:hAnsi="Times New Roman"/>
                <w:sz w:val="18"/>
                <w:szCs w:val="18"/>
                <w:color w:val="auto"/>
              </w:rPr>
              <w:t>Income taxes payable</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20" w:type="dxa"/>
            <w:vAlign w:val="bottom"/>
          </w:tcPr>
          <w:p>
            <w:pPr>
              <w:spacing w:after="0"/>
              <w:rPr>
                <w:sz w:val="21"/>
                <w:szCs w:val="21"/>
                <w:color w:val="auto"/>
              </w:rPr>
            </w:pPr>
          </w:p>
        </w:tc>
      </w:tr>
      <w:tr>
        <w:trPr>
          <w:trHeight w:val="243"/>
        </w:trPr>
        <w:tc>
          <w:tcPr>
            <w:tcW w:w="8540" w:type="dxa"/>
            <w:vAlign w:val="bottom"/>
            <w:gridSpan w:val="7"/>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0" w:type="dxa"/>
            <w:vAlign w:val="bottom"/>
          </w:tcPr>
          <w:p>
            <w:pPr>
              <w:spacing w:after="0"/>
              <w:rPr>
                <w:sz w:val="21"/>
                <w:szCs w:val="21"/>
                <w:color w:val="auto"/>
              </w:rPr>
            </w:pPr>
          </w:p>
        </w:tc>
      </w:tr>
      <w:tr>
        <w:trPr>
          <w:trHeight w:val="223"/>
        </w:trPr>
        <w:tc>
          <w:tcPr>
            <w:tcW w:w="540" w:type="dxa"/>
            <w:vAlign w:val="bottom"/>
          </w:tcPr>
          <w:p>
            <w:pPr>
              <w:spacing w:after="0"/>
              <w:rPr>
                <w:sz w:val="19"/>
                <w:szCs w:val="19"/>
                <w:color w:val="auto"/>
              </w:rPr>
            </w:pPr>
          </w:p>
        </w:tc>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3,854.7</w:t>
            </w:r>
          </w:p>
        </w:tc>
        <w:tc>
          <w:tcPr>
            <w:tcW w:w="20" w:type="dxa"/>
            <w:vAlign w:val="bottom"/>
          </w:tcPr>
          <w:p>
            <w:pPr>
              <w:spacing w:after="0"/>
              <w:rPr>
                <w:sz w:val="19"/>
                <w:szCs w:val="19"/>
                <w:color w:val="auto"/>
              </w:rPr>
            </w:pPr>
          </w:p>
        </w:tc>
      </w:tr>
      <w:tr>
        <w:trPr>
          <w:trHeight w:val="243"/>
        </w:trPr>
        <w:tc>
          <w:tcPr>
            <w:tcW w:w="8540" w:type="dxa"/>
            <w:vAlign w:val="bottom"/>
            <w:gridSpan w:val="7"/>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Debt obligations, net of current portion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1,706.2</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1,037.6</w:t>
            </w:r>
          </w:p>
        </w:tc>
        <w:tc>
          <w:tcPr>
            <w:tcW w:w="20" w:type="dxa"/>
            <w:vAlign w:val="bottom"/>
          </w:tcPr>
          <w:p>
            <w:pPr>
              <w:spacing w:after="0"/>
              <w:rPr>
                <w:sz w:val="21"/>
                <w:szCs w:val="21"/>
                <w:color w:val="auto"/>
              </w:rPr>
            </w:pPr>
          </w:p>
        </w:tc>
      </w:tr>
      <w:tr>
        <w:trPr>
          <w:trHeight w:val="243"/>
        </w:trPr>
        <w:tc>
          <w:tcPr>
            <w:tcW w:w="854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Operating lease obligations, net of current portion</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20" w:type="dxa"/>
            <w:vAlign w:val="bottom"/>
          </w:tcPr>
          <w:p>
            <w:pPr>
              <w:spacing w:after="0"/>
              <w:rPr>
                <w:sz w:val="21"/>
                <w:szCs w:val="21"/>
                <w:color w:val="auto"/>
              </w:rPr>
            </w:pPr>
          </w:p>
        </w:tc>
      </w:tr>
      <w:tr>
        <w:trPr>
          <w:trHeight w:val="243"/>
        </w:trPr>
        <w:tc>
          <w:tcPr>
            <w:tcW w:w="8540" w:type="dxa"/>
            <w:vAlign w:val="bottom"/>
            <w:gridSpan w:val="7"/>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0" w:type="dxa"/>
            <w:vAlign w:val="bottom"/>
          </w:tcPr>
          <w:p>
            <w:pPr>
              <w:spacing w:after="0"/>
              <w:rPr>
                <w:sz w:val="21"/>
                <w:szCs w:val="21"/>
                <w:color w:val="auto"/>
              </w:rPr>
            </w:pPr>
          </w:p>
        </w:tc>
      </w:tr>
      <w:tr>
        <w:trPr>
          <w:trHeight w:val="243"/>
        </w:trPr>
        <w:tc>
          <w:tcPr>
            <w:tcW w:w="8540" w:type="dxa"/>
            <w:vAlign w:val="bottom"/>
            <w:tcBorders>
              <w:bottom w:val="single" w:sz="8" w:color="CCEEFF"/>
            </w:tcBorders>
            <w:gridSpan w:val="7"/>
          </w:tcPr>
          <w:p>
            <w:pPr>
              <w:ind w:left="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20" w:type="dxa"/>
            <w:vAlign w:val="bottom"/>
          </w:tcPr>
          <w:p>
            <w:pPr>
              <w:spacing w:after="0"/>
              <w:rPr>
                <w:sz w:val="21"/>
                <w:szCs w:val="21"/>
                <w:color w:val="auto"/>
              </w:rPr>
            </w:pPr>
          </w:p>
        </w:tc>
      </w:tr>
      <w:tr>
        <w:trPr>
          <w:trHeight w:val="223"/>
        </w:trPr>
        <w:tc>
          <w:tcPr>
            <w:tcW w:w="540" w:type="dxa"/>
            <w:vAlign w:val="bottom"/>
            <w:shd w:val="clear" w:color="auto" w:fill="CCEEFF"/>
          </w:tcPr>
          <w:p>
            <w:pPr>
              <w:spacing w:after="0"/>
              <w:rPr>
                <w:sz w:val="19"/>
                <w:szCs w:val="19"/>
                <w:color w:val="auto"/>
              </w:rPr>
            </w:pPr>
          </w:p>
        </w:tc>
        <w:tc>
          <w:tcPr>
            <w:tcW w:w="800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4,753.8</w:t>
            </w:r>
          </w:p>
        </w:tc>
        <w:tc>
          <w:tcPr>
            <w:tcW w:w="1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5,166.2</w:t>
            </w:r>
          </w:p>
        </w:tc>
        <w:tc>
          <w:tcPr>
            <w:tcW w:w="20" w:type="dxa"/>
            <w:vAlign w:val="bottom"/>
          </w:tcPr>
          <w:p>
            <w:pPr>
              <w:spacing w:after="0"/>
              <w:rPr>
                <w:sz w:val="19"/>
                <w:szCs w:val="19"/>
                <w:color w:val="auto"/>
              </w:rPr>
            </w:pPr>
          </w:p>
        </w:tc>
      </w:tr>
      <w:tr>
        <w:trPr>
          <w:trHeight w:val="223"/>
        </w:trPr>
        <w:tc>
          <w:tcPr>
            <w:tcW w:w="854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Equity:</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8540" w:type="dxa"/>
            <w:vAlign w:val="bottom"/>
            <w:gridSpan w:val="7"/>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Euronet Worldwide, Inc. stockholders’ equity:</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8540" w:type="dxa"/>
            <w:vAlign w:val="bottom"/>
            <w:gridSpan w:val="7"/>
          </w:tcPr>
          <w:p>
            <w:pPr>
              <w:ind w:left="380"/>
              <w:spacing w:after="0"/>
              <w:rPr>
                <w:sz w:val="20"/>
                <w:szCs w:val="20"/>
                <w:color w:val="auto"/>
              </w:rPr>
            </w:pPr>
            <w:r>
              <w:rPr>
                <w:rFonts w:ascii="Times New Roman" w:cs="Times New Roman" w:eastAsia="Times New Roman" w:hAnsi="Times New Roman"/>
                <w:sz w:val="18"/>
                <w:szCs w:val="18"/>
                <w:color w:val="auto"/>
              </w:rPr>
              <w:t>Preferred Stock, $0.02 par value. 10,000,000 shares authorized; none issued</w:t>
            </w:r>
          </w:p>
        </w:tc>
        <w:tc>
          <w:tcPr>
            <w:tcW w:w="18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r>
      <w:tr>
        <w:trPr>
          <w:trHeight w:val="243"/>
        </w:trPr>
        <w:tc>
          <w:tcPr>
            <w:tcW w:w="8540" w:type="dxa"/>
            <w:vAlign w:val="bottom"/>
            <w:gridSpan w:val="7"/>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Common Stock, $0.02 par value. 90,000,000 shares authorized; shares issued 67,836,577 and 67,635,309</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21"/>
                <w:szCs w:val="21"/>
                <w:color w:val="auto"/>
              </w:rPr>
            </w:pPr>
          </w:p>
        </w:tc>
      </w:tr>
      <w:tr>
        <w:trPr>
          <w:trHeight w:val="243"/>
        </w:trPr>
        <w:tc>
          <w:tcPr>
            <w:tcW w:w="8540" w:type="dxa"/>
            <w:vAlign w:val="bottom"/>
            <w:gridSpan w:val="7"/>
          </w:tcPr>
          <w:p>
            <w:pPr>
              <w:ind w:left="3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1,597.2</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1,549.8</w:t>
            </w:r>
          </w:p>
        </w:tc>
        <w:tc>
          <w:tcPr>
            <w:tcW w:w="20" w:type="dxa"/>
            <w:vAlign w:val="bottom"/>
          </w:tcPr>
          <w:p>
            <w:pPr>
              <w:spacing w:after="0"/>
              <w:rPr>
                <w:sz w:val="21"/>
                <w:szCs w:val="21"/>
                <w:color w:val="auto"/>
              </w:rPr>
            </w:pPr>
          </w:p>
        </w:tc>
      </w:tr>
      <w:tr>
        <w:trPr>
          <w:trHeight w:val="243"/>
        </w:trPr>
        <w:tc>
          <w:tcPr>
            <w:tcW w:w="8540" w:type="dxa"/>
            <w:vAlign w:val="bottom"/>
            <w:gridSpan w:val="7"/>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Treasury stock, at cost, shares issued 31,114,703 and 28,305,376</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(2,628.1)</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(2,425.4)</w:t>
            </w:r>
          </w:p>
        </w:tc>
        <w:tc>
          <w:tcPr>
            <w:tcW w:w="20" w:type="dxa"/>
            <w:vAlign w:val="bottom"/>
          </w:tcPr>
          <w:p>
            <w:pPr>
              <w:spacing w:after="0"/>
              <w:rPr>
                <w:sz w:val="21"/>
                <w:szCs w:val="21"/>
                <w:color w:val="auto"/>
              </w:rPr>
            </w:pPr>
          </w:p>
        </w:tc>
      </w:tr>
      <w:tr>
        <w:trPr>
          <w:trHeight w:val="243"/>
        </w:trPr>
        <w:tc>
          <w:tcPr>
            <w:tcW w:w="8540" w:type="dxa"/>
            <w:vAlign w:val="bottom"/>
            <w:gridSpan w:val="7"/>
          </w:tcPr>
          <w:p>
            <w:pPr>
              <w:ind w:left="38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2,471.7</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2,243.4</w:t>
            </w:r>
          </w:p>
        </w:tc>
        <w:tc>
          <w:tcPr>
            <w:tcW w:w="20" w:type="dxa"/>
            <w:vAlign w:val="bottom"/>
          </w:tcPr>
          <w:p>
            <w:pPr>
              <w:spacing w:after="0"/>
              <w:rPr>
                <w:sz w:val="21"/>
                <w:szCs w:val="21"/>
                <w:color w:val="auto"/>
              </w:rPr>
            </w:pPr>
          </w:p>
        </w:tc>
      </w:tr>
      <w:tr>
        <w:trPr>
          <w:trHeight w:val="243"/>
        </w:trPr>
        <w:tc>
          <w:tcPr>
            <w:tcW w:w="8540" w:type="dxa"/>
            <w:vAlign w:val="bottom"/>
            <w:gridSpan w:val="7"/>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0" w:type="dxa"/>
            <w:vAlign w:val="bottom"/>
          </w:tcPr>
          <w:p>
            <w:pPr>
              <w:spacing w:after="0"/>
              <w:rPr>
                <w:sz w:val="21"/>
                <w:szCs w:val="21"/>
                <w:color w:val="auto"/>
              </w:rPr>
            </w:pPr>
          </w:p>
        </w:tc>
      </w:tr>
      <w:tr>
        <w:trPr>
          <w:trHeight w:val="223"/>
        </w:trPr>
        <w:tc>
          <w:tcPr>
            <w:tcW w:w="540" w:type="dxa"/>
            <w:vAlign w:val="bottom"/>
          </w:tcPr>
          <w:p>
            <w:pPr>
              <w:spacing w:after="0"/>
              <w:rPr>
                <w:sz w:val="19"/>
                <w:szCs w:val="19"/>
                <w:color w:val="auto"/>
              </w:rPr>
            </w:pPr>
          </w:p>
        </w:tc>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Total Euronet Worldwide, Inc. stockholders’ equity</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1,307.5</w:t>
            </w:r>
          </w:p>
        </w:tc>
        <w:tc>
          <w:tcPr>
            <w:tcW w:w="20" w:type="dxa"/>
            <w:vAlign w:val="bottom"/>
          </w:tcPr>
          <w:p>
            <w:pPr>
              <w:spacing w:after="0"/>
              <w:rPr>
                <w:sz w:val="19"/>
                <w:szCs w:val="19"/>
                <w:color w:val="auto"/>
              </w:rPr>
            </w:pPr>
          </w:p>
        </w:tc>
      </w:tr>
      <w:tr>
        <w:trPr>
          <w:trHeight w:val="243"/>
        </w:trPr>
        <w:tc>
          <w:tcPr>
            <w:tcW w:w="8540" w:type="dxa"/>
            <w:vAlign w:val="bottom"/>
            <w:gridSpan w:val="7"/>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Pr>
          <w:p>
            <w:pPr>
              <w:spacing w:after="0"/>
              <w:rPr>
                <w:sz w:val="21"/>
                <w:szCs w:val="21"/>
                <w:color w:val="auto"/>
              </w:rPr>
            </w:pPr>
          </w:p>
        </w:tc>
      </w:tr>
      <w:tr>
        <w:trPr>
          <w:trHeight w:val="223"/>
        </w:trPr>
        <w:tc>
          <w:tcPr>
            <w:tcW w:w="540" w:type="dxa"/>
            <w:vAlign w:val="bottom"/>
            <w:tcBorders>
              <w:bottom w:val="single" w:sz="8" w:color="CCEEFF"/>
            </w:tcBorders>
          </w:tcPr>
          <w:p>
            <w:pPr>
              <w:spacing w:after="0"/>
              <w:rPr>
                <w:sz w:val="19"/>
                <w:szCs w:val="19"/>
                <w:color w:val="auto"/>
              </w:rPr>
            </w:pPr>
          </w:p>
        </w:tc>
        <w:tc>
          <w:tcPr>
            <w:tcW w:w="8000" w:type="dxa"/>
            <w:vAlign w:val="bottom"/>
            <w:tcBorders>
              <w:bottom w:val="single" w:sz="8" w:color="CCEEFF"/>
            </w:tcBorders>
            <w:gridSpan w:val="6"/>
          </w:tcPr>
          <w:p>
            <w:pPr>
              <w:ind w:left="160"/>
              <w:spacing w:after="0"/>
              <w:rPr>
                <w:sz w:val="20"/>
                <w:szCs w:val="20"/>
                <w:color w:val="auto"/>
              </w:rPr>
            </w:pPr>
            <w:r>
              <w:rPr>
                <w:rFonts w:ascii="Times New Roman" w:cs="Times New Roman" w:eastAsia="Times New Roman" w:hAnsi="Times New Roman"/>
                <w:sz w:val="18"/>
                <w:szCs w:val="18"/>
                <w:color w:val="auto"/>
              </w:rPr>
              <w:t>Total equity</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1,300.3</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1,322.5</w:t>
            </w:r>
          </w:p>
        </w:tc>
        <w:tc>
          <w:tcPr>
            <w:tcW w:w="20" w:type="dxa"/>
            <w:vAlign w:val="bottom"/>
          </w:tcPr>
          <w:p>
            <w:pPr>
              <w:spacing w:after="0"/>
              <w:rPr>
                <w:sz w:val="19"/>
                <w:szCs w:val="19"/>
                <w:color w:val="auto"/>
              </w:rPr>
            </w:pPr>
          </w:p>
        </w:tc>
      </w:tr>
      <w:tr>
        <w:trPr>
          <w:trHeight w:val="209"/>
        </w:trPr>
        <w:tc>
          <w:tcPr>
            <w:tcW w:w="540" w:type="dxa"/>
            <w:vAlign w:val="bottom"/>
            <w:tcBorders>
              <w:bottom w:val="single" w:sz="8" w:color="CCEEFF"/>
            </w:tcBorders>
            <w:shd w:val="clear" w:color="auto" w:fill="CCEEFF"/>
          </w:tcPr>
          <w:p>
            <w:pPr>
              <w:spacing w:after="0"/>
              <w:rPr>
                <w:sz w:val="18"/>
                <w:szCs w:val="18"/>
                <w:color w:val="auto"/>
              </w:rPr>
            </w:pPr>
          </w:p>
        </w:tc>
        <w:tc>
          <w:tcPr>
            <w:tcW w:w="8000" w:type="dxa"/>
            <w:vAlign w:val="bottom"/>
            <w:tcBorders>
              <w:bottom w:val="single" w:sz="8" w:color="CCEEFF"/>
            </w:tcBorders>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6,054.1</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6,488.7</w:t>
            </w:r>
          </w:p>
        </w:tc>
        <w:tc>
          <w:tcPr>
            <w:tcW w:w="20" w:type="dxa"/>
            <w:vAlign w:val="bottom"/>
          </w:tcPr>
          <w:p>
            <w:pPr>
              <w:spacing w:after="0"/>
              <w:rPr>
                <w:sz w:val="18"/>
                <w:szCs w:val="18"/>
                <w:color w:val="auto"/>
              </w:rPr>
            </w:pPr>
          </w:p>
        </w:tc>
      </w:tr>
      <w:tr>
        <w:trPr>
          <w:trHeight w:val="20"/>
        </w:trPr>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-8447405</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-8447405</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ectPr>
          <w:pgSz w:w="11900" w:h="16882" w:orient="portrait"/>
          <w:cols w:equalWidth="0" w:num="1">
            <w:col w:w="11260"/>
          </w:cols>
          <w:pgMar w:left="320" w:top="108" w:right="319" w:bottom="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 except share and per share data)</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49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7"/>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1,161.1</w:t>
            </w: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1,145.7</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3,281.3</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3,135.5</w:t>
            </w:r>
          </w:p>
        </w:tc>
      </w:tr>
      <w:tr>
        <w:trPr>
          <w:trHeight w:val="24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43"/>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 exclusive of depreciation</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657.0</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643.9</w:t>
            </w: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1,914.0</w:t>
            </w: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1,825.5</w:t>
            </w:r>
          </w:p>
        </w:tc>
      </w:tr>
      <w:tr>
        <w:trPr>
          <w:trHeight w:val="243"/>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w:t>
            </w:r>
          </w:p>
        </w:tc>
      </w:tr>
      <w:tr>
        <w:trPr>
          <w:trHeight w:val="243"/>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w:t>
            </w:r>
          </w:p>
        </w:tc>
      </w:tr>
      <w:tr>
        <w:trPr>
          <w:trHeight w:val="243"/>
        </w:trPr>
        <w:tc>
          <w:tcPr>
            <w:tcW w:w="49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6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w:t>
            </w:r>
          </w:p>
        </w:tc>
      </w:tr>
      <w:tr>
        <w:trPr>
          <w:trHeight w:val="237"/>
        </w:trPr>
        <w:tc>
          <w:tcPr>
            <w:tcW w:w="49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989.5</w:t>
            </w:r>
          </w:p>
        </w:tc>
        <w:tc>
          <w:tcPr>
            <w:tcW w:w="16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950.7</w:t>
            </w:r>
          </w:p>
        </w:tc>
        <w:tc>
          <w:tcPr>
            <w:tcW w:w="16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2,900.6</w:t>
            </w:r>
          </w:p>
        </w:tc>
        <w:tc>
          <w:tcPr>
            <w:tcW w:w="16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2,706.7</w:t>
            </w:r>
          </w:p>
        </w:tc>
      </w:tr>
      <w:tr>
        <w:trPr>
          <w:trHeight w:val="236"/>
        </w:trPr>
        <w:tc>
          <w:tcPr>
            <w:tcW w:w="4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1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428.8</w:t>
            </w:r>
          </w:p>
        </w:tc>
      </w:tr>
      <w:tr>
        <w:trPr>
          <w:trHeight w:val="237"/>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43"/>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43"/>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43"/>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exchange gain (loss), net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43"/>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gains (losses), net</w:t>
            </w: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7"/>
        </w:trPr>
        <w:tc>
          <w:tcPr>
            <w:tcW w:w="492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37"/>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w:t>
            </w:r>
          </w:p>
        </w:tc>
      </w:tr>
      <w:tr>
        <w:trPr>
          <w:trHeight w:val="243"/>
        </w:trPr>
        <w:tc>
          <w:tcPr>
            <w:tcW w:w="4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6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w:t>
            </w:r>
          </w:p>
        </w:tc>
      </w:tr>
      <w:tr>
        <w:trPr>
          <w:trHeight w:val="236"/>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w:t>
            </w:r>
          </w:p>
        </w:tc>
      </w:tr>
      <w:tr>
        <w:trPr>
          <w:trHeight w:val="243"/>
        </w:trPr>
        <w:tc>
          <w:tcPr>
            <w:tcW w:w="49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7"/>
        </w:trPr>
        <w:tc>
          <w:tcPr>
            <w:tcW w:w="4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attributable to Euronet Worldwide, Inc.</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w:t>
            </w:r>
          </w:p>
        </w:tc>
      </w:tr>
      <w:tr>
        <w:trPr>
          <w:trHeight w:val="20"/>
        </w:trPr>
        <w:tc>
          <w:tcPr>
            <w:tcW w:w="4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4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98"/>
        </w:trPr>
        <w:tc>
          <w:tcPr>
            <w:tcW w:w="4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Earnings per share attributable to Euronet Worldwide, Inc.</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4"/>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83"/>
        </w:trPr>
        <w:tc>
          <w:tcPr>
            <w:tcW w:w="49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6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w:t>
            </w:r>
          </w:p>
        </w:tc>
      </w:tr>
      <w:tr>
        <w:trPr>
          <w:trHeight w:val="223"/>
        </w:trPr>
        <w:tc>
          <w:tcPr>
            <w:tcW w:w="4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0"/>
        </w:trPr>
        <w:tc>
          <w:tcPr>
            <w:tcW w:w="4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4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43"/>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83"/>
        </w:trPr>
        <w:tc>
          <w:tcPr>
            <w:tcW w:w="49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37,289,653</w:t>
            </w:r>
          </w:p>
        </w:tc>
        <w:tc>
          <w:tcPr>
            <w:tcW w:w="16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40,331,347</w:t>
            </w:r>
          </w:p>
        </w:tc>
        <w:tc>
          <w:tcPr>
            <w:tcW w:w="1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38,027,010</w:t>
            </w:r>
          </w:p>
        </w:tc>
        <w:tc>
          <w:tcPr>
            <w:tcW w:w="1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42,109,970</w:t>
            </w:r>
          </w:p>
        </w:tc>
      </w:tr>
      <w:tr>
        <w:trPr>
          <w:trHeight w:val="223"/>
        </w:trPr>
        <w:tc>
          <w:tcPr>
            <w:tcW w:w="4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45,761,882</w:t>
            </w:r>
          </w:p>
        </w:tc>
        <w:tc>
          <w:tcPr>
            <w:tcW w:w="1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44,809,457</w:t>
            </w:r>
          </w:p>
        </w:tc>
        <w:tc>
          <w:tcPr>
            <w:tcW w:w="1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46,309,560</w:t>
            </w:r>
          </w:p>
        </w:tc>
        <w:tc>
          <w:tcPr>
            <w:tcW w:w="1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44,574,528</w:t>
            </w:r>
          </w:p>
        </w:tc>
      </w:tr>
      <w:tr>
        <w:trPr>
          <w:trHeight w:val="20"/>
        </w:trPr>
        <w:tc>
          <w:tcPr>
            <w:tcW w:w="4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EURONET WORLDWIDE, INC. AND SUBSIDIARIES CONSOLIDATED STATEMENTS OF COMPREHENSIVE INCOME (LOSS) (Unaudited, in millions)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00" w:type="dxa"/>
            <w:vAlign w:val="bottom"/>
            <w:tcBorders>
              <w:bottom w:val="single" w:sz="8" w:color="auto"/>
            </w:tcBorders>
            <w:gridSpan w:val="5"/>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4"/>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484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0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113.8</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0" w:type="dxa"/>
            <w:vAlign w:val="bottom"/>
          </w:tcPr>
          <w:p>
            <w:pPr>
              <w:spacing w:after="0"/>
              <w:rPr>
                <w:sz w:val="1"/>
                <w:szCs w:val="1"/>
                <w:color w:val="auto"/>
              </w:rPr>
            </w:pPr>
          </w:p>
        </w:tc>
      </w:tr>
      <w:tr>
        <w:trPr>
          <w:trHeight w:val="216"/>
        </w:trPr>
        <w:tc>
          <w:tcPr>
            <w:tcW w:w="4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Translation adjustment</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(25.7)</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income</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w:t>
            </w:r>
          </w:p>
        </w:tc>
        <w:tc>
          <w:tcPr>
            <w:tcW w:w="0" w:type="dxa"/>
            <w:vAlign w:val="bottom"/>
          </w:tcPr>
          <w:p>
            <w:pPr>
              <w:spacing w:after="0"/>
              <w:rPr>
                <w:sz w:val="1"/>
                <w:szCs w:val="1"/>
                <w:color w:val="auto"/>
              </w:rPr>
            </w:pPr>
          </w:p>
        </w:tc>
      </w:tr>
      <w:tr>
        <w:trPr>
          <w:trHeight w:val="198"/>
        </w:trPr>
        <w:tc>
          <w:tcPr>
            <w:tcW w:w="484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Comprehensive income (loss) attributable to noncontrolling</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interests</w:t>
            </w: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178"/>
        </w:trPr>
        <w:tc>
          <w:tcPr>
            <w:tcW w:w="4840" w:type="dxa"/>
            <w:vAlign w:val="bottom"/>
            <w:shd w:val="clear" w:color="auto" w:fill="CCEEFF"/>
          </w:tcPr>
          <w:p>
            <w:pPr>
              <w:ind w:left="500"/>
              <w:spacing w:after="0" w:line="177" w:lineRule="exact"/>
              <w:rPr>
                <w:sz w:val="20"/>
                <w:szCs w:val="20"/>
                <w:color w:val="auto"/>
              </w:rPr>
            </w:pPr>
            <w:r>
              <w:rPr>
                <w:rFonts w:ascii="Times New Roman" w:cs="Times New Roman" w:eastAsia="Times New Roman" w:hAnsi="Times New Roman"/>
                <w:sz w:val="18"/>
                <w:szCs w:val="18"/>
                <w:color w:val="auto"/>
              </w:rPr>
              <w:t>Comprehensive income attributable to Euronet Worldwide,</w:t>
            </w:r>
          </w:p>
        </w:tc>
        <w:tc>
          <w:tcPr>
            <w:tcW w:w="1060" w:type="dxa"/>
            <w:vAlign w:val="bottom"/>
            <w:gridSpan w:val="2"/>
            <w:vMerge w:val="restart"/>
            <w:shd w:val="clear" w:color="auto" w:fill="CCEEFF"/>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6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480" w:type="dxa"/>
            <w:vAlign w:val="bottom"/>
            <w:gridSpan w:val="2"/>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540" w:type="dxa"/>
            <w:vAlign w:val="bottom"/>
            <w:gridSpan w:val="2"/>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510.1</w:t>
            </w:r>
          </w:p>
        </w:tc>
        <w:tc>
          <w:tcPr>
            <w:tcW w:w="0" w:type="dxa"/>
            <w:vAlign w:val="bottom"/>
          </w:tcPr>
          <w:p>
            <w:pPr>
              <w:spacing w:after="0"/>
              <w:rPr>
                <w:sz w:val="1"/>
                <w:szCs w:val="1"/>
                <w:color w:val="auto"/>
              </w:rPr>
            </w:pPr>
          </w:p>
        </w:tc>
      </w:tr>
      <w:tr>
        <w:trPr>
          <w:trHeight w:val="221"/>
        </w:trPr>
        <w:tc>
          <w:tcPr>
            <w:tcW w:w="48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w:t>
            </w:r>
          </w:p>
        </w:tc>
        <w:tc>
          <w:tcPr>
            <w:tcW w:w="1060" w:type="dxa"/>
            <w:vAlign w:val="bottom"/>
            <w:gridSpan w:val="2"/>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3"/>
                <w:szCs w:val="13"/>
                <w:color w:val="auto"/>
              </w:rPr>
            </w:pPr>
          </w:p>
        </w:tc>
        <w:tc>
          <w:tcPr>
            <w:tcW w:w="11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0" w:type="dxa"/>
            <w:vAlign w:val="bottom"/>
          </w:tcPr>
          <w:p>
            <w:pPr>
              <w:spacing w:after="0"/>
              <w:rPr>
                <w:sz w:val="1"/>
                <w:szCs w:val="1"/>
                <w:color w:val="auto"/>
              </w:rPr>
            </w:pPr>
          </w:p>
        </w:tc>
      </w:tr>
      <w:tr>
        <w:trPr>
          <w:trHeight w:val="173"/>
        </w:trPr>
        <w:tc>
          <w:tcPr>
            <w:tcW w:w="5760" w:type="dxa"/>
            <w:vAlign w:val="bottom"/>
          </w:tcPr>
          <w:p>
            <w:pPr>
              <w:spacing w:after="0"/>
              <w:rPr>
                <w:sz w:val="15"/>
                <w:szCs w:val="15"/>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43,727,615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(1,755.2)</w:t>
            </w:r>
          </w:p>
        </w:tc>
        <w:tc>
          <w:tcPr>
            <w:tcW w:w="0" w:type="dxa"/>
            <w:vAlign w:val="bottom"/>
          </w:tcPr>
          <w:p>
            <w:pPr>
              <w:spacing w:after="0"/>
              <w:rPr>
                <w:sz w:val="1"/>
                <w:szCs w:val="1"/>
                <w:color w:val="auto"/>
              </w:rPr>
            </w:pPr>
          </w:p>
        </w:tc>
      </w:tr>
      <w:tr>
        <w:trPr>
          <w:trHeight w:val="22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333333"/>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w:t>
            </w:r>
          </w:p>
        </w:tc>
        <w:tc>
          <w:tcPr>
            <w:tcW w:w="0" w:type="dxa"/>
            <w:vAlign w:val="bottom"/>
          </w:tcPr>
          <w:p>
            <w:pPr>
              <w:spacing w:after="0"/>
              <w:rPr>
                <w:sz w:val="1"/>
                <w:szCs w:val="1"/>
                <w:color w:val="auto"/>
              </w:rPr>
            </w:pPr>
          </w:p>
        </w:tc>
      </w:tr>
      <w:tr>
        <w:trPr>
          <w:trHeight w:val="229"/>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333333"/>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w:t>
            </w:r>
          </w:p>
        </w:tc>
        <w:tc>
          <w:tcPr>
            <w:tcW w:w="0" w:type="dxa"/>
            <w:vAlign w:val="bottom"/>
          </w:tcPr>
          <w:p>
            <w:pPr>
              <w:spacing w:after="0"/>
              <w:rPr>
                <w:sz w:val="1"/>
                <w:szCs w:val="1"/>
                <w:color w:val="auto"/>
              </w:rPr>
            </w:pPr>
          </w:p>
        </w:tc>
      </w:tr>
      <w:tr>
        <w:trPr>
          <w:trHeight w:val="23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Stock issued under employee stock plans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108,333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333333"/>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11.2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w:t>
            </w:r>
          </w:p>
        </w:tc>
        <w:tc>
          <w:tcPr>
            <w:tcW w:w="0" w:type="dxa"/>
            <w:vAlign w:val="bottom"/>
          </w:tcPr>
          <w:p>
            <w:pPr>
              <w:spacing w:after="0"/>
              <w:rPr>
                <w:sz w:val="1"/>
                <w:szCs w:val="1"/>
                <w:color w:val="auto"/>
              </w:rPr>
            </w:pPr>
          </w:p>
        </w:tc>
      </w:tr>
      <w:tr>
        <w:trPr>
          <w:trHeight w:val="22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shares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(591,258)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09"/>
        </w:trPr>
        <w:tc>
          <w:tcPr>
            <w:tcW w:w="5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43,244,690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(1,817.1)</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0" w:gutter="0" w:footer="0" w:header="0"/>
        </w:sectPr>
      </w:pPr>
    </w:p>
    <w:bookmarkStart w:id="3" w:name="page4"/>
    <w:bookmarkEnd w:id="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Stock issued under employee stock plans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38,433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Acquisition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shares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(2,287,052)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0" w:type="dxa"/>
            <w:vAlign w:val="bottom"/>
          </w:tcPr>
          <w:p>
            <w:pPr>
              <w:spacing w:after="0"/>
              <w:rPr>
                <w:sz w:val="1"/>
                <w:szCs w:val="1"/>
                <w:color w:val="auto"/>
              </w:rPr>
            </w:pPr>
          </w:p>
        </w:tc>
      </w:tr>
      <w:tr>
        <w:trPr>
          <w:trHeight w:val="21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40,996,071</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1,397.6</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(2,066.6)</w:t>
            </w:r>
          </w:p>
        </w:tc>
        <w:tc>
          <w:tcPr>
            <w:tcW w:w="0" w:type="dxa"/>
            <w:vAlign w:val="bottom"/>
          </w:tcPr>
          <w:p>
            <w:pPr>
              <w:spacing w:after="0"/>
              <w:rPr>
                <w:sz w:val="1"/>
                <w:szCs w:val="1"/>
                <w:color w:val="auto"/>
              </w:rPr>
            </w:pPr>
          </w:p>
        </w:tc>
      </w:tr>
      <w:tr>
        <w:trPr>
          <w:trHeight w:val="229"/>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issued under employee stock plans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shares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(1,343,714)</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0" w:type="dxa"/>
            <w:vAlign w:val="bottom"/>
          </w:tcPr>
          <w:p>
            <w:pPr>
              <w:spacing w:after="0"/>
              <w:rPr>
                <w:sz w:val="1"/>
                <w:szCs w:val="1"/>
                <w:color w:val="auto"/>
              </w:rPr>
            </w:pPr>
          </w:p>
        </w:tc>
      </w:tr>
      <w:tr>
        <w:trPr>
          <w:trHeight w:val="22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Capped call, including deferred tax</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39,691,357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(2,198.8)</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576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0" w:type="dxa"/>
            <w:vAlign w:val="bottom"/>
          </w:tcPr>
          <w:p>
            <w:pPr>
              <w:spacing w:after="0"/>
              <w:rPr>
                <w:sz w:val="1"/>
                <w:szCs w:val="1"/>
                <w:color w:val="auto"/>
              </w:rPr>
            </w:pPr>
          </w:p>
        </w:tc>
      </w:tr>
      <w:tr>
        <w:trPr>
          <w:trHeight w:val="173"/>
        </w:trPr>
        <w:tc>
          <w:tcPr>
            <w:tcW w:w="576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39,329,933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(2,425.4)</w:t>
            </w:r>
          </w:p>
        </w:tc>
        <w:tc>
          <w:tcPr>
            <w:tcW w:w="0" w:type="dxa"/>
            <w:vAlign w:val="bottom"/>
          </w:tcPr>
          <w:p>
            <w:pPr>
              <w:spacing w:after="0"/>
              <w:rPr>
                <w:sz w:val="1"/>
                <w:szCs w:val="1"/>
                <w:color w:val="auto"/>
              </w:rPr>
            </w:pPr>
          </w:p>
        </w:tc>
      </w:tr>
      <w:tr>
        <w:trPr>
          <w:trHeight w:val="23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333333"/>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w:t>
            </w:r>
          </w:p>
        </w:tc>
        <w:tc>
          <w:tcPr>
            <w:tcW w:w="0" w:type="dxa"/>
            <w:vAlign w:val="bottom"/>
          </w:tcPr>
          <w:p>
            <w:pPr>
              <w:spacing w:after="0"/>
              <w:rPr>
                <w:sz w:val="1"/>
                <w:szCs w:val="1"/>
                <w:color w:val="auto"/>
              </w:rPr>
            </w:pPr>
          </w:p>
        </w:tc>
      </w:tr>
      <w:tr>
        <w:trPr>
          <w:trHeight w:val="229"/>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333333"/>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w:t>
            </w:r>
          </w:p>
        </w:tc>
        <w:tc>
          <w:tcPr>
            <w:tcW w:w="0" w:type="dxa"/>
            <w:vAlign w:val="bottom"/>
          </w:tcPr>
          <w:p>
            <w:pPr>
              <w:spacing w:after="0"/>
              <w:rPr>
                <w:sz w:val="1"/>
                <w:szCs w:val="1"/>
                <w:color w:val="auto"/>
              </w:rPr>
            </w:pPr>
          </w:p>
        </w:tc>
      </w:tr>
      <w:tr>
        <w:trPr>
          <w:trHeight w:val="22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Stock issued under employee stock plans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142,351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0"/>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333333"/>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14.8</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w:t>
            </w:r>
          </w:p>
        </w:tc>
        <w:tc>
          <w:tcPr>
            <w:tcW w:w="0" w:type="dxa"/>
            <w:vAlign w:val="bottom"/>
          </w:tcPr>
          <w:p>
            <w:pPr>
              <w:spacing w:after="0"/>
              <w:rPr>
                <w:sz w:val="1"/>
                <w:szCs w:val="1"/>
                <w:color w:val="auto"/>
              </w:rPr>
            </w:pPr>
          </w:p>
        </w:tc>
      </w:tr>
      <w:tr>
        <w:trPr>
          <w:trHeight w:val="22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shares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(1,397,090)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09"/>
        </w:trPr>
        <w:tc>
          <w:tcPr>
            <w:tcW w:w="5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38,075,194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1,563.8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(2,526.9)</w:t>
            </w:r>
          </w:p>
        </w:tc>
        <w:tc>
          <w:tcPr>
            <w:tcW w:w="0" w:type="dxa"/>
            <w:vAlign w:val="bottom"/>
          </w:tcPr>
          <w:p>
            <w:pPr>
              <w:spacing w:after="0"/>
              <w:rPr>
                <w:sz w:val="1"/>
                <w:szCs w:val="1"/>
                <w:color w:val="auto"/>
              </w:rPr>
            </w:pPr>
          </w:p>
        </w:tc>
      </w:tr>
      <w:tr>
        <w:trPr>
          <w:trHeight w:val="23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Stock issued under employee stock plans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0.3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15.7</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shares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(706,299)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10"/>
        </w:trPr>
        <w:tc>
          <w:tcPr>
            <w:tcW w:w="5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30, 2026</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37,399,184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1,579.8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(2,577.6)</w:t>
            </w:r>
          </w:p>
        </w:tc>
        <w:tc>
          <w:tcPr>
            <w:tcW w:w="0" w:type="dxa"/>
            <w:vAlign w:val="bottom"/>
          </w:tcPr>
          <w:p>
            <w:pPr>
              <w:spacing w:after="0"/>
              <w:rPr>
                <w:sz w:val="1"/>
                <w:szCs w:val="1"/>
                <w:color w:val="auto"/>
              </w:rPr>
            </w:pPr>
          </w:p>
        </w:tc>
      </w:tr>
      <w:tr>
        <w:trPr>
          <w:trHeight w:val="22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Stock issued under employee stock plans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0.7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16.7</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shares, including excise tax</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(691,741)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10"/>
        </w:trPr>
        <w:tc>
          <w:tcPr>
            <w:tcW w:w="5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2026</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36,721,874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1,597.2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(2,628.1)</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7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1,229.2</w:t>
            </w:r>
          </w:p>
        </w:tc>
        <w:tc>
          <w:tcPr>
            <w:tcW w:w="0" w:type="dxa"/>
            <w:vAlign w:val="bottom"/>
          </w:tcPr>
          <w:p>
            <w:pPr>
              <w:spacing w:after="0"/>
              <w:rPr>
                <w:sz w:val="1"/>
                <w:szCs w:val="1"/>
                <w:color w:val="auto"/>
              </w:rPr>
            </w:pPr>
          </w:p>
        </w:tc>
      </w:tr>
      <w:tr>
        <w:trPr>
          <w:trHeight w:val="229"/>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(1.0)</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Stock issued under employee stock plans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30"/>
        </w:trPr>
        <w:tc>
          <w:tcPr>
            <w:tcW w:w="5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Repurchase of shares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09"/>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1,301.7</w:t>
            </w: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Stock issued under employee stock plans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Acquisition</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shares</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0" w:type="dxa"/>
            <w:vAlign w:val="bottom"/>
          </w:tcPr>
          <w:p>
            <w:pPr>
              <w:spacing w:after="0"/>
              <w:rPr>
                <w:sz w:val="1"/>
                <w:szCs w:val="1"/>
                <w:color w:val="auto"/>
              </w:rPr>
            </w:pPr>
          </w:p>
        </w:tc>
      </w:tr>
      <w:tr>
        <w:trPr>
          <w:trHeight w:val="21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1,363.4</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0" w:type="dxa"/>
            <w:vAlign w:val="bottom"/>
          </w:tcPr>
          <w:p>
            <w:pPr>
              <w:spacing w:after="0"/>
              <w:rPr>
                <w:sz w:val="1"/>
                <w:szCs w:val="1"/>
                <w:color w:val="auto"/>
              </w:rPr>
            </w:pPr>
          </w:p>
        </w:tc>
      </w:tr>
      <w:tr>
        <w:trPr>
          <w:trHeight w:val="229"/>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issued under employee stock plans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shares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Capped call, including deferred tax</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09"/>
        </w:trPr>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2,191.9</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1,278.6</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5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57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21" w:right="3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2,243.4</w:t>
            </w:r>
          </w:p>
        </w:tc>
        <w:tc>
          <w:tcPr>
            <w:tcW w:w="5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640" w:type="dxa"/>
            <w:vAlign w:val="bottom"/>
            <w:gridSpan w:val="2"/>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5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1,322.5</w:t>
            </w:r>
          </w:p>
        </w:tc>
      </w:tr>
      <w:tr>
        <w:trPr>
          <w:trHeight w:val="229"/>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(0.2)</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29"/>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0.7</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3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Stock issued under employee stock plans</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29"/>
        </w:trPr>
        <w:tc>
          <w:tcPr>
            <w:tcW w:w="5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Repurchase of shares</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w:t>
            </w:r>
          </w:p>
        </w:tc>
      </w:tr>
      <w:tr>
        <w:trPr>
          <w:trHeight w:val="21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2,280.9</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1,226.9</w:t>
            </w:r>
          </w:p>
        </w:tc>
      </w:tr>
      <w:tr>
        <w:trPr>
          <w:trHeight w:val="229"/>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r>
      <w:tr>
        <w:trPr>
          <w:trHeight w:val="23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29"/>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Stock issued under employee stock plans</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30"/>
        </w:trPr>
        <w:tc>
          <w:tcPr>
            <w:tcW w:w="5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Repurchase of shares</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09"/>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30, 2026</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2,358.4</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1,245.3</w:t>
            </w:r>
          </w:p>
        </w:tc>
      </w:tr>
      <w:tr>
        <w:trPr>
          <w:trHeight w:val="23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r>
      <w:tr>
        <w:trPr>
          <w:trHeight w:val="229"/>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29"/>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Stock issued under employee stock plans</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29"/>
        </w:trPr>
        <w:tc>
          <w:tcPr>
            <w:tcW w:w="5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Repurchase of shares, including excise tax</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09"/>
        </w:trPr>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2026</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2,471.7</w:t>
            </w:r>
          </w:p>
        </w:tc>
        <w:tc>
          <w:tcPr>
            <w:tcW w:w="1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1,300.3</w:t>
            </w:r>
          </w:p>
        </w:tc>
      </w:tr>
      <w:tr>
        <w:trPr>
          <w:trHeight w:val="20"/>
        </w:trPr>
        <w:tc>
          <w:tcPr>
            <w:tcW w:w="5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3"/>
        </w:trPr>
        <w:tc>
          <w:tcPr>
            <w:tcW w:w="746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provided by operating activities:</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r>
      <w:tr>
        <w:trPr>
          <w:trHeight w:val="216"/>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16"/>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foreign exchange gains (loss), net</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16"/>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the dissolution of majority owned subsidiary</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working capital, net of amounts acquired:</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taxes payable, net</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Trade accounts receivable, including amounts in settlement assets</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r>
      <w:tr>
        <w:trPr>
          <w:trHeight w:val="216"/>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 including amounts in settlement assets</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16"/>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Trade accounts payable, including amounts in settlement obligations</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w:t>
            </w:r>
          </w:p>
        </w:tc>
      </w:tr>
      <w:tr>
        <w:trPr>
          <w:trHeight w:val="216"/>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revenue</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Accrued expenses and other current liabilities, including amounts in settlement obligations</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16"/>
        </w:trPr>
        <w:tc>
          <w:tcPr>
            <w:tcW w:w="7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Changes in noncurrent assets and liabilities</w:t>
            </w:r>
          </w:p>
        </w:tc>
        <w:tc>
          <w:tcPr>
            <w:tcW w:w="6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09"/>
        </w:trPr>
        <w:tc>
          <w:tcPr>
            <w:tcW w:w="74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381.9</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convertible notes receivable</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r>
      <w:tr>
        <w:trPr>
          <w:trHeight w:val="216"/>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of property and equipment</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other long-term assets</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6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09"/>
        </w:trPr>
        <w:tc>
          <w:tcPr>
            <w:tcW w:w="74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issuance of shares</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 of shares</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(441.9)</w:t>
            </w:r>
          </w:p>
        </w:tc>
      </w:tr>
      <w:tr>
        <w:trPr>
          <w:trHeight w:val="216"/>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Borrowings from credit agreements</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7,007.5</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6,948.6</w:t>
            </w:r>
          </w:p>
        </w:tc>
      </w:tr>
      <w:tr>
        <w:trPr>
          <w:trHeight w:val="216"/>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Repayments of credit agreements</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(6,322.7)</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(7,413.0)</w:t>
            </w:r>
          </w:p>
        </w:tc>
      </w:tr>
      <w:tr>
        <w:trPr>
          <w:trHeight w:val="216"/>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convertible notes</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Debt issuance costs</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16"/>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(700.4)</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(491.8)</w:t>
            </w:r>
          </w:p>
        </w:tc>
      </w:tr>
      <w:tr>
        <w:trPr>
          <w:trHeight w:val="216"/>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Capped call</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r>
      <w:tr>
        <w:trPr>
          <w:trHeight w:val="216"/>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Repayments of capital lease obligations</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(repayments) borrowings from short-term debt obligations</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w:t>
            </w:r>
          </w:p>
        </w:tc>
      </w:tr>
      <w:tr>
        <w:trPr>
          <w:trHeight w:val="216"/>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received from minority interest stockholders</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7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6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09"/>
        </w:trPr>
        <w:tc>
          <w:tcPr>
            <w:tcW w:w="74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6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w:t>
            </w:r>
          </w:p>
        </w:tc>
      </w:tr>
      <w:tr>
        <w:trPr>
          <w:trHeight w:val="209"/>
        </w:trPr>
        <w:tc>
          <w:tcPr>
            <w:tcW w:w="7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 and restricted cash</w:t>
            </w:r>
          </w:p>
        </w:tc>
        <w:tc>
          <w:tcPr>
            <w:tcW w:w="6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w:t>
            </w:r>
          </w:p>
        </w:tc>
      </w:tr>
      <w:tr>
        <w:trPr>
          <w:trHeight w:val="209"/>
        </w:trPr>
        <w:tc>
          <w:tcPr>
            <w:tcW w:w="74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Increase in cash and cash equivalents and restricted cash</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r>
      <w:tr>
        <w:trPr>
          <w:trHeight w:val="216"/>
        </w:trPr>
        <w:tc>
          <w:tcPr>
            <w:tcW w:w="7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beginning of period</w:t>
            </w:r>
          </w:p>
        </w:tc>
        <w:tc>
          <w:tcPr>
            <w:tcW w:w="6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2,362.8</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2,488.2</w:t>
            </w:r>
          </w:p>
        </w:tc>
      </w:tr>
      <w:tr>
        <w:trPr>
          <w:trHeight w:val="209"/>
        </w:trPr>
        <w:tc>
          <w:tcPr>
            <w:tcW w:w="7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end of period</w:t>
            </w:r>
          </w:p>
        </w:tc>
        <w:tc>
          <w:tcPr>
            <w:tcW w:w="6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2,401.3</w:t>
            </w:r>
          </w:p>
        </w:tc>
        <w:tc>
          <w:tcPr>
            <w:tcW w:w="1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2,690.5</w:t>
            </w:r>
          </w:p>
        </w:tc>
      </w:tr>
      <w:tr>
        <w:trPr>
          <w:trHeight w:val="20"/>
        </w:trPr>
        <w:tc>
          <w:tcPr>
            <w:tcW w:w="7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40" w:right="339" w:bottom="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 during the period</w:t>
            </w:r>
          </w:p>
        </w:tc>
        <w:tc>
          <w:tcPr>
            <w:tcW w:w="33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53.0</w:t>
            </w:r>
          </w:p>
        </w:tc>
        <w:tc>
          <w:tcPr>
            <w:tcW w:w="6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r>
      <w:tr>
        <w:trPr>
          <w:trHeight w:val="234"/>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paid during the period</w:t>
            </w:r>
          </w:p>
        </w:tc>
        <w:tc>
          <w:tcPr>
            <w:tcW w:w="33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107.4</w:t>
            </w:r>
          </w:p>
        </w:tc>
        <w:tc>
          <w:tcPr>
            <w:tcW w:w="6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GENERAL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Organization</w:t>
      </w:r>
    </w:p>
    <w:p>
      <w:pPr>
        <w:spacing w:after="0" w:line="20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Euronet Worldwide, Inc. (the "Company" or "Euronet") was established as a Delaware corporation on December 13, 1996 and succeeded Euronet Holding N.V. as the group holding company, which was founded and established in 1994. Euronet Worldwide, Inc. and its subsidiaries provide electronic payment, transaction-processing and cross-border payment services to financial institutions, merchants, businesses and consumers in more than 200 countries and territories. The Company’s services include merchant acquiring, automated teller machine transaction processing, point-of-sale and prepaid product distribution, money transfer and foreign exchange services, and card-issuing and payment-processing technology.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from the records of the Company, in conformity with accounting principles generally accepted in the U.S. (“U.S. GAAP”) and pursuant to the rules and regulations of the Securities and Exchange Commission (“SEC”). In the opinion of management, such unaudited consolidated financial statements contain all adjustments (consisting only of normal recurring adjustments) necessary to fairly present the consolidated financial position and the results of operations, comprehensive income, changes in equity and cash flows for the interim periods. The unaudited consolidated financial statements should be read in conjunction with the Company's audited consolidated financial statements for the year ended December 31, 2025, including the notes thereto, set forth in the Company's 2025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certain estimates and assumptions that affect the reported amounts of assets and liabilities and disclosures of contingent assets and liabilities at the date of the financial statements, as well as the reported amounts of revenues and expenses during the reporting period. Significant items subject to such estimates and assumptions include computing income taxes, estimating the useful lives and potential impairment of long-lived assets and goodwill, as well as allocating the purchase price to assets acquired and liabilities assumed in acquisitions and revenue recognition. Actual results could differ from those estimates. The results of operations for interim periods are not necessarily indicative of the results to be expected for the full year ending December 31,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20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Euronet’s Payments Infrastructure Segment (formerly known as the EFT Segment) normally experiences its heaviest demand for dynamic currency conversion ("DCC") services during the third quarter of the fiscal year, normally coinciding with the tourism season. The epay Segment is normally impacted by seasonality during the fourth quarter and first quarter of each year due to higher transaction levels during the holiday season and lower levels following the holiday season. Also, epay sells large loyalty rewards campaigns to retailers, which could be deployed in any given quarter and will impact the activity in that quarter accordingly. Seasonality in the Cross-Border Payments Segment (formerly known as the Money Transfer Segment) varies by region. In many markets, demand for money transfer services generally increases from May through the fourth quarter due to seasonal employment patterns and holidays and is generally lowest during the first quarter.</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RECENTLY ISSUED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Accounting Standards Update (“ASU”) 2024-03, </w:t>
      </w:r>
      <w:r>
        <w:rPr>
          <w:rFonts w:ascii="Times New Roman" w:cs="Times New Roman" w:eastAsia="Times New Roman" w:hAnsi="Times New Roman"/>
          <w:sz w:val="18"/>
          <w:szCs w:val="18"/>
          <w:i w:val="1"/>
          <w:iCs w:val="1"/>
          <w:color w:val="auto"/>
        </w:rPr>
        <w:t>Income Statement</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Reporting Comprehensive Income Expense Disaggregation Disclosures</w:t>
      </w:r>
      <w:r>
        <w:rPr>
          <w:rFonts w:ascii="Times New Roman" w:cs="Times New Roman" w:eastAsia="Times New Roman" w:hAnsi="Times New Roman"/>
          <w:sz w:val="18"/>
          <w:szCs w:val="18"/>
          <w:color w:val="auto"/>
        </w:rPr>
        <w:t>. In January 2025, the FASB issued ASU 2025-01,</w:t>
      </w:r>
      <w:r>
        <w:rPr>
          <w:rFonts w:ascii="Times New Roman" w:cs="Times New Roman" w:eastAsia="Times New Roman" w:hAnsi="Times New Roman"/>
          <w:sz w:val="18"/>
          <w:szCs w:val="18"/>
          <w:i w:val="1"/>
          <w:iCs w:val="1"/>
          <w:color w:val="auto"/>
        </w:rPr>
        <w:t xml:space="preserve"> Income Statement Reporting Comprehensive Income-Expense Disaggregation Disclosures </w:t>
      </w:r>
      <w:r>
        <w:rPr>
          <w:rFonts w:ascii="Times New Roman" w:cs="Times New Roman" w:eastAsia="Times New Roman" w:hAnsi="Times New Roman"/>
          <w:sz w:val="18"/>
          <w:szCs w:val="18"/>
          <w:color w:val="auto"/>
        </w:rPr>
        <w:t>(Subtopic 220-40): Clarifying the Effective Date to clarify the effective date of ASU 2024-03.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amendments require additional disclosures of specified categories of expenses intended in the Comprehensive Income presentation. ASU 2024-03 is required to be adopted for fiscal years commencing after December 15, 2026 and interim reporting periods beginning after December 15, 2027 with early adoption permitted. The Company expects to adopt the update for the annual financial statements issued for the year ending December 31, 2027 and is currently evaluating the impact of adopting the standard on its consolidated financial statements.</w:t>
      </w:r>
    </w:p>
    <w:p>
      <w:pPr>
        <w:spacing w:after="0" w:line="149"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In September 2025, the FASB issued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06, </w:t>
      </w:r>
      <w:r>
        <w:rPr>
          <w:rFonts w:ascii="Times New Roman" w:cs="Times New Roman" w:eastAsia="Times New Roman" w:hAnsi="Times New Roman"/>
          <w:sz w:val="18"/>
          <w:szCs w:val="18"/>
          <w:i w:val="1"/>
          <w:iCs w:val="1"/>
          <w:color w:val="auto"/>
        </w:rPr>
        <w:t>Intangibles—Goodwill and Other—Internal</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Use Software</w:t>
      </w:r>
      <w:r>
        <w:rPr>
          <w:rFonts w:ascii="Times New Roman" w:cs="Times New Roman" w:eastAsia="Times New Roman" w:hAnsi="Times New Roman"/>
          <w:sz w:val="18"/>
          <w:szCs w:val="18"/>
          <w:color w:val="auto"/>
        </w:rPr>
        <w:t xml:space="preserve"> (Subtopic 350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40), which modernizes the accounting for internal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software by removing development “project stages” and requiring capitalization to begin when management authorizes and completes funding and it is probable the project will be completed and used as intended. The ASU also supersedes the existing website development cost guidance and incorporates it into Subtopic 350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40. The guidance is effective for annual years beginning after December 15, 2027 and interim reporting, periods within these annual periods, with early adoption permitted. The Company is evaluating the impact of this ASU on its consolidated financial statements.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 2026</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material acquisitions</w:t>
      </w:r>
    </w:p>
    <w:p>
      <w:pPr>
        <w:sectPr>
          <w:pgSz w:w="11900" w:h="16838" w:orient="portrait"/>
          <w:cols w:equalWidth="0" w:num="1">
            <w:col w:w="11240"/>
          </w:cols>
          <w:pgMar w:left="320" w:top="121" w:right="339" w:bottom="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t>Acquisitions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Kyodai (Japan)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31, 2025, Euronet completed the acquisition of a 60% equity stake in UNIDOS CO. LTD from multiple shareholders for a consideration of $20.0 million, including a probable earn-out of $1.6 million. The effective date of control is June 1, 2025. The Company allocated $9.9 million of the enterprise value to customer relationships, $7.9 million to acquired net assets, $3.5 million to deferred tax liability, $12.0 million to non-controlling interest and the remaining $17.7 million to goodwill. The purchase price was allocated to the assets acquired and liabilities assumed, including identifiable intangible assets, based on their estimated fair values as of the acquisition date. The acquisition was accounted for as a business combination in accordance with U.S. GAAP, and the results of operations have been included in the Cross-Border Payments segment since the acquisition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CoreCard (USA)</w:t>
      </w:r>
    </w:p>
    <w:p>
      <w:pPr>
        <w:spacing w:after="0" w:line="229"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On October 30, 2025, the Company completed the acquisition of 100% of the outstanding equity of CoreCard Corporation pursuant to the Agreement and Plan of Merger dated July 30, 2025. Under the terms of the agreement, each CoreCard common share converted into 0.3142 shares of Euronet common stock, with fractional shares settled in cash at the closing price of Euronet stock on the trading day immediately preceding the acquisition date. In addition, unvested CoreCard Restricted Stock Units (“RSUs”) vested at closing and were settled in Euronet shares, and outstanding stock options were cash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settled at intrinsic value. The total purchase consideration was $192.7 million and consisted of the fair value of Euronet shares issued, cash in lieu of fractional shares, and cash to settle options and RSU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withholding obligations. The transaction has been accounted for as a business combination under ASC</w:t>
      </w:r>
      <w:r>
        <w:rPr>
          <w:rFonts w:ascii="Arial" w:cs="Arial" w:eastAsia="Arial" w:hAnsi="Arial"/>
          <w:sz w:val="18"/>
          <w:szCs w:val="18"/>
          <w:color w:val="auto"/>
        </w:rPr>
        <w:t> </w:t>
      </w:r>
      <w:r>
        <w:rPr>
          <w:rFonts w:ascii="Times New Roman" w:cs="Times New Roman" w:eastAsia="Times New Roman" w:hAnsi="Times New Roman"/>
          <w:sz w:val="18"/>
          <w:szCs w:val="18"/>
          <w:color w:val="auto"/>
        </w:rPr>
        <w:t>805, and CoreCard’s results are included in the Payments Infrastructure Segment beginning on the acquisition date.</w:t>
      </w:r>
    </w:p>
    <w:p>
      <w:pPr>
        <w:spacing w:after="0" w:line="19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color w:val="auto"/>
        </w:rPr>
        <w:t>No contingent consideration, escrow, or holdback was recognized. The Company acquired 100% of CoreCard; no noncontrolling interest was recognized.</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price allocation</w:t>
      </w:r>
    </w:p>
    <w:p>
      <w:pPr>
        <w:spacing w:after="0" w:line="229"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The Company performed a preliminary allocation of the purchase price for CoreCard to the assets acquired and liabilities assumed based on their estimated fair values at the acquisition date. The allocation is subject to change during the measurement period as the Company finalizes the valuation of identifiable intangible assets, working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capital items and income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balances.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CoreCard purchase price accounting at October 30, 2025 (in millions)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Assets acquired</w:t>
            </w:r>
          </w:p>
        </w:tc>
        <w:tc>
          <w:tcPr>
            <w:tcW w:w="29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96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43"/>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43"/>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receivable</w:t>
            </w:r>
          </w:p>
        </w:tc>
        <w:tc>
          <w:tcPr>
            <w:tcW w:w="2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3"/>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43"/>
        </w:trPr>
        <w:tc>
          <w:tcPr>
            <w:tcW w:w="700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investments</w:t>
            </w:r>
          </w:p>
        </w:tc>
        <w:tc>
          <w:tcPr>
            <w:tcW w:w="2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43"/>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43"/>
        </w:trPr>
        <w:tc>
          <w:tcPr>
            <w:tcW w:w="700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deferred tax assets</w:t>
            </w:r>
          </w:p>
        </w:tc>
        <w:tc>
          <w:tcPr>
            <w:tcW w:w="2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43"/>
        </w:trPr>
        <w:tc>
          <w:tcPr>
            <w:tcW w:w="700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Other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assets</w:t>
            </w:r>
          </w:p>
        </w:tc>
        <w:tc>
          <w:tcPr>
            <w:tcW w:w="2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700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Right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(ROU) lease assets</w:t>
            </w:r>
          </w:p>
        </w:tc>
        <w:tc>
          <w:tcPr>
            <w:tcW w:w="2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43"/>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2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243"/>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96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r>
        <w:trPr>
          <w:trHeight w:val="23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acquired</w:t>
            </w:r>
          </w:p>
        </w:tc>
        <w:tc>
          <w:tcPr>
            <w:tcW w:w="2960" w:type="dxa"/>
            <w:vAlign w:val="bottom"/>
          </w:tcPr>
          <w:p>
            <w:pPr>
              <w:spacing w:after="0"/>
              <w:rPr>
                <w:sz w:val="20"/>
                <w:szCs w:val="20"/>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0" w:type="dxa"/>
            <w:vAlign w:val="bottom"/>
          </w:tcPr>
          <w:p>
            <w:pPr>
              <w:spacing w:after="0"/>
              <w:rPr>
                <w:sz w:val="1"/>
                <w:szCs w:val="1"/>
                <w:color w:val="auto"/>
              </w:rPr>
            </w:pPr>
          </w:p>
        </w:tc>
      </w:tr>
      <w:tr>
        <w:trPr>
          <w:trHeight w:val="243"/>
        </w:trPr>
        <w:tc>
          <w:tcPr>
            <w:tcW w:w="7000" w:type="dxa"/>
            <w:vAlign w:val="bottom"/>
            <w:shd w:val="clear" w:color="auto" w:fill="CCEEFF"/>
          </w:tcPr>
          <w:p>
            <w:pPr>
              <w:spacing w:after="0"/>
              <w:rPr>
                <w:sz w:val="21"/>
                <w:szCs w:val="21"/>
                <w:color w:val="auto"/>
              </w:rPr>
            </w:pPr>
          </w:p>
        </w:tc>
        <w:tc>
          <w:tcPr>
            <w:tcW w:w="2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2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43"/>
        </w:trPr>
        <w:tc>
          <w:tcPr>
            <w:tcW w:w="700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Employee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payables</w:t>
            </w:r>
          </w:p>
        </w:tc>
        <w:tc>
          <w:tcPr>
            <w:tcW w:w="2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43"/>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43"/>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43"/>
        </w:trPr>
        <w:tc>
          <w:tcPr>
            <w:tcW w:w="700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Other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liabilities</w:t>
            </w:r>
          </w:p>
        </w:tc>
        <w:tc>
          <w:tcPr>
            <w:tcW w:w="2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3"/>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296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36"/>
        </w:trPr>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9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36"/>
        </w:trPr>
        <w:tc>
          <w:tcPr>
            <w:tcW w:w="7000" w:type="dxa"/>
            <w:vAlign w:val="bottom"/>
            <w:shd w:val="clear" w:color="auto" w:fill="CCEEFF"/>
          </w:tcPr>
          <w:p>
            <w:pPr>
              <w:spacing w:after="0"/>
              <w:rPr>
                <w:sz w:val="20"/>
                <w:szCs w:val="20"/>
                <w:color w:val="auto"/>
              </w:rPr>
            </w:pPr>
          </w:p>
        </w:tc>
        <w:tc>
          <w:tcPr>
            <w:tcW w:w="296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Net assets recognized (equals consideration transferred)</w:t>
            </w:r>
          </w:p>
        </w:tc>
        <w:tc>
          <w:tcPr>
            <w:tcW w:w="2960" w:type="dxa"/>
            <w:vAlign w:val="bottom"/>
          </w:tcPr>
          <w:p>
            <w:pPr>
              <w:spacing w:after="0"/>
              <w:rPr>
                <w:sz w:val="20"/>
                <w:szCs w:val="20"/>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2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00" w:type="dxa"/>
            <w:vAlign w:val="bottom"/>
            <w:vMerge w:val="continue"/>
          </w:tcPr>
          <w:p>
            <w:pPr>
              <w:spacing w:after="0"/>
              <w:rPr>
                <w:sz w:val="24"/>
                <w:szCs w:val="24"/>
                <w:color w:val="auto"/>
              </w:rPr>
            </w:pPr>
          </w:p>
        </w:tc>
        <w:tc>
          <w:tcPr>
            <w:tcW w:w="2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Preliminary goodwill of $88.4 million represents anticipated synergies, the value of the assembled workforce and the strategic benefits expected from integrating CoreCard’s issuing and processing technology with the Company’s payment platforms. The merger was intended to qualify as a tax-free reorganization under applicable provisions of the Internal Revenue Code. Accordingly, the goodwill recognized in the acquisition is not expected to be deductible for income tax purposes.</w:t>
      </w:r>
    </w:p>
    <w:p>
      <w:pPr>
        <w:spacing w:after="0" w:line="7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Measurement</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period status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purchase price allocation remains preliminary as the Company continues to evaluate certain identifiable intangible assets, working capital accounts, and related deferred taxes within the ASC 805 measurement period. During the measurement period, the Company recorded an immaterial adjustment to</w:t>
      </w:r>
    </w:p>
    <w:p>
      <w:pPr>
        <w:sectPr>
          <w:pgSz w:w="11900" w:h="16838" w:orient="portrait"/>
          <w:cols w:equalWidth="0" w:num="1">
            <w:col w:w="11240"/>
          </w:cols>
          <w:pgMar w:left="320" w:top="119" w:right="339" w:bottom="0" w:gutter="0" w:footer="0" w:header="0"/>
        </w:sectPr>
      </w:pPr>
    </w:p>
    <w:bookmarkStart w:id="7" w:name="page8"/>
    <w:bookmarkEnd w:id="7"/>
    <w:p>
      <w:pPr>
        <w:spacing w:after="0" w:line="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goodwill. Additional adjustments identified during the remainder of the measurement period may be recorded retrospectively to the acquisition date, with corresponding adjustments to goodwill.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Identifiable Intangible Assets and Estimated Useful Lives</w:t>
      </w:r>
    </w:p>
    <w:p>
      <w:pPr>
        <w:spacing w:after="0" w:line="229"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The Company noted that the identifiable intangible assets of CoreCard acquired include developed technology, customer relationships, and trade name. Fair values and useful lives are being finalized; until completion, the following table presents the aggregate amount and expected categories with preliminary useful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life ranges.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Intangibles subject to amortization (preliminary, in millions):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(Preliminary —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200" w:type="dxa"/>
            <w:vAlign w:val="bottom"/>
          </w:tcPr>
          <w:p>
            <w:pPr>
              <w:spacing w:after="0"/>
              <w:rPr>
                <w:sz w:val="13"/>
                <w:szCs w:val="13"/>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Fair Value (in</w:t>
            </w:r>
          </w:p>
        </w:tc>
        <w:tc>
          <w:tcPr>
            <w:tcW w:w="180" w:type="dxa"/>
            <w:vAlign w:val="bottom"/>
          </w:tcPr>
          <w:p>
            <w:pPr>
              <w:spacing w:after="0"/>
              <w:rPr>
                <w:sz w:val="13"/>
                <w:szCs w:val="13"/>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73"/>
        </w:trPr>
        <w:tc>
          <w:tcPr>
            <w:tcW w:w="740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6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Method</w:t>
            </w:r>
          </w:p>
        </w:tc>
        <w:tc>
          <w:tcPr>
            <w:tcW w:w="0" w:type="dxa"/>
            <w:vAlign w:val="bottom"/>
          </w:tcPr>
          <w:p>
            <w:pPr>
              <w:spacing w:after="0"/>
              <w:rPr>
                <w:sz w:val="1"/>
                <w:szCs w:val="1"/>
                <w:color w:val="auto"/>
              </w:rPr>
            </w:pPr>
          </w:p>
        </w:tc>
      </w:tr>
      <w:tr>
        <w:trPr>
          <w:trHeight w:val="237"/>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30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18</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center"/>
              <w:spacing w:after="0" w:line="207" w:lineRule="exact"/>
              <w:rPr>
                <w:sz w:val="20"/>
                <w:szCs w:val="20"/>
                <w:color w:val="auto"/>
              </w:rPr>
            </w:pPr>
            <w:r>
              <w:rPr>
                <w:rFonts w:ascii="Times New Roman" w:cs="Times New Roman" w:eastAsia="Times New Roman" w:hAnsi="Times New Roman"/>
                <w:sz w:val="18"/>
                <w:szCs w:val="18"/>
                <w:color w:val="auto"/>
              </w:rPr>
              <w:t>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w:t>
            </w:r>
          </w:p>
        </w:tc>
        <w:tc>
          <w:tcPr>
            <w:tcW w:w="0" w:type="dxa"/>
            <w:vAlign w:val="bottom"/>
          </w:tcPr>
          <w:p>
            <w:pPr>
              <w:spacing w:after="0"/>
              <w:rPr>
                <w:sz w:val="1"/>
                <w:szCs w:val="1"/>
                <w:color w:val="auto"/>
              </w:rPr>
            </w:pPr>
          </w:p>
        </w:tc>
      </w:tr>
      <w:tr>
        <w:trPr>
          <w:trHeight w:val="243"/>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CoreCard Platform (Developed Technology)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3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21"/>
                <w:szCs w:val="21"/>
                <w:color w:val="auto"/>
              </w:rPr>
            </w:pPr>
          </w:p>
        </w:tc>
        <w:tc>
          <w:tcPr>
            <w:tcW w:w="110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w:t>
            </w:r>
          </w:p>
        </w:tc>
        <w:tc>
          <w:tcPr>
            <w:tcW w:w="0" w:type="dxa"/>
            <w:vAlign w:val="bottom"/>
          </w:tcPr>
          <w:p>
            <w:pPr>
              <w:spacing w:after="0"/>
              <w:rPr>
                <w:sz w:val="1"/>
                <w:szCs w:val="1"/>
                <w:color w:val="auto"/>
              </w:rPr>
            </w:pPr>
          </w:p>
        </w:tc>
      </w:tr>
      <w:tr>
        <w:trPr>
          <w:trHeight w:val="243"/>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Large Individual Customer Relationship</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30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2.4</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line="207" w:lineRule="exact"/>
              <w:rPr>
                <w:sz w:val="20"/>
                <w:szCs w:val="20"/>
                <w:color w:val="auto"/>
              </w:rPr>
            </w:pPr>
            <w:r>
              <w:rPr>
                <w:rFonts w:ascii="Times New Roman" w:cs="Times New Roman" w:eastAsia="Times New Roman" w:hAnsi="Times New Roman"/>
                <w:sz w:val="18"/>
                <w:szCs w:val="18"/>
                <w:color w:val="auto"/>
              </w:rPr>
              <w:t>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w:t>
            </w:r>
          </w:p>
        </w:tc>
        <w:tc>
          <w:tcPr>
            <w:tcW w:w="0" w:type="dxa"/>
            <w:vAlign w:val="bottom"/>
          </w:tcPr>
          <w:p>
            <w:pPr>
              <w:spacing w:after="0"/>
              <w:rPr>
                <w:sz w:val="1"/>
                <w:szCs w:val="1"/>
                <w:color w:val="auto"/>
              </w:rPr>
            </w:pPr>
          </w:p>
        </w:tc>
      </w:tr>
      <w:tr>
        <w:trPr>
          <w:trHeight w:val="243"/>
        </w:trPr>
        <w:tc>
          <w:tcPr>
            <w:tcW w:w="7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Customer Relationships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300" w:type="dxa"/>
            <w:vAlign w:val="bottom"/>
            <w:tcBorders>
              <w:bottom w:val="single" w:sz="8" w:color="CCEEFF"/>
            </w:tcBorders>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18</w:t>
            </w:r>
          </w:p>
        </w:tc>
        <w:tc>
          <w:tcPr>
            <w:tcW w:w="160" w:type="dxa"/>
            <w:vAlign w:val="bottom"/>
            <w:tcBorders>
              <w:bottom w:val="single" w:sz="8" w:color="CCEEFF"/>
            </w:tcBorders>
          </w:tcPr>
          <w:p>
            <w:pPr>
              <w:spacing w:after="0"/>
              <w:rPr>
                <w:sz w:val="21"/>
                <w:szCs w:val="21"/>
                <w:color w:val="auto"/>
              </w:rPr>
            </w:pPr>
          </w:p>
        </w:tc>
        <w:tc>
          <w:tcPr>
            <w:tcW w:w="1100" w:type="dxa"/>
            <w:vAlign w:val="bottom"/>
            <w:tcBorders>
              <w:bottom w:val="single" w:sz="8" w:color="CCEEFF"/>
            </w:tcBorders>
          </w:tcPr>
          <w:p>
            <w:pPr>
              <w:jc w:val="center"/>
              <w:spacing w:after="0" w:line="207" w:lineRule="exact"/>
              <w:rPr>
                <w:sz w:val="20"/>
                <w:szCs w:val="20"/>
                <w:color w:val="auto"/>
              </w:rPr>
            </w:pPr>
            <w:r>
              <w:rPr>
                <w:rFonts w:ascii="Times New Roman" w:cs="Times New Roman" w:eastAsia="Times New Roman" w:hAnsi="Times New Roman"/>
                <w:sz w:val="18"/>
                <w:szCs w:val="18"/>
                <w:color w:val="auto"/>
              </w:rPr>
              <w:t>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w:t>
            </w:r>
          </w:p>
        </w:tc>
        <w:tc>
          <w:tcPr>
            <w:tcW w:w="0" w:type="dxa"/>
            <w:vAlign w:val="bottom"/>
          </w:tcPr>
          <w:p>
            <w:pPr>
              <w:spacing w:after="0"/>
              <w:rPr>
                <w:sz w:val="1"/>
                <w:szCs w:val="1"/>
                <w:color w:val="auto"/>
              </w:rPr>
            </w:pPr>
          </w:p>
        </w:tc>
      </w:tr>
      <w:tr>
        <w:trPr>
          <w:trHeight w:val="237"/>
        </w:trPr>
        <w:tc>
          <w:tcPr>
            <w:tcW w:w="7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Identifiable Intangible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Final category splits and useful lives will be determined based on market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participant assumptions, technology life cycles, and customer attrition analyses.</w:t>
      </w:r>
    </w:p>
    <w:p>
      <w:pPr>
        <w:spacing w:after="0" w:line="70" w:lineRule="exact"/>
        <w:rPr>
          <w:sz w:val="20"/>
          <w:szCs w:val="20"/>
          <w:color w:val="auto"/>
        </w:rPr>
      </w:pPr>
    </w:p>
    <w:p>
      <w:pPr>
        <w:spacing w:after="0" w:line="208" w:lineRule="exact"/>
        <w:rPr>
          <w:sz w:val="20"/>
          <w:szCs w:val="20"/>
          <w:color w:val="auto"/>
        </w:rPr>
      </w:pPr>
      <w:r>
        <w:rPr>
          <w:rFonts w:ascii="Times New Roman" w:cs="Times New Roman" w:eastAsia="Times New Roman" w:hAnsi="Times New Roman"/>
          <w:sz w:val="18"/>
          <w:szCs w:val="18"/>
          <w:color w:val="auto"/>
        </w:rPr>
        <w:t>Updates will be reflected as measurement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period adjustments under ASC</w:t>
      </w:r>
      <w:r>
        <w:rPr>
          <w:rFonts w:ascii="Arial" w:cs="Arial" w:eastAsia="Arial" w:hAnsi="Arial"/>
          <w:sz w:val="18"/>
          <w:szCs w:val="18"/>
          <w:color w:val="auto"/>
        </w:rPr>
        <w:t> </w:t>
      </w:r>
      <w:r>
        <w:rPr>
          <w:rFonts w:ascii="Times New Roman" w:cs="Times New Roman" w:eastAsia="Times New Roman" w:hAnsi="Times New Roman"/>
          <w:sz w:val="18"/>
          <w:szCs w:val="18"/>
          <w:color w:val="auto"/>
        </w:rPr>
        <w:t>805.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Post-acquisition Results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October 31, 2025 to December 31, 2025, CoreCard contributed revenue of $12.7 million, gross margin of $8.0 million and operating income of $1.9 million to consolidated results (excludes purchase accounting amortization).</w:t>
      </w:r>
    </w:p>
    <w:p>
      <w:pPr>
        <w:spacing w:after="0" w:line="162" w:lineRule="exact"/>
        <w:rPr>
          <w:sz w:val="20"/>
          <w:szCs w:val="20"/>
          <w:color w:val="auto"/>
        </w:rPr>
      </w:pPr>
    </w:p>
    <w:p>
      <w:pPr>
        <w:jc w:val="both"/>
        <w:ind w:left="60" w:hanging="44"/>
        <w:spacing w:after="0" w:line="282" w:lineRule="auto"/>
        <w:rPr>
          <w:sz w:val="20"/>
          <w:szCs w:val="20"/>
          <w:color w:val="auto"/>
        </w:rPr>
      </w:pPr>
      <w:r>
        <w:rPr>
          <w:rFonts w:ascii="Times New Roman" w:cs="Times New Roman" w:eastAsia="Times New Roman" w:hAnsi="Times New Roman"/>
          <w:sz w:val="18"/>
          <w:szCs w:val="18"/>
          <w:color w:val="auto"/>
        </w:rPr>
        <w:t>From January 1, 2026 to September 30, 2026, CoreCard contributed revenue of $74.4 million, gross margin of $44.9 million and operating income of $20.3 million to consolidated results (excludes purchase accounting amortization).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SETTLEMENT ASSETS AND OBLIGATIONS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Settlement assets represent funds received or to be received from agents for unsettled money transfers and from merchants for unsettled prepaid transactions. The Company records corresponding settlement obligations relating to accounts payable. Settlement assets consist of cash and cash equivalents, restricted cash, accounts receivable and prepaid expenses and other current assets. The settlement cash held at the Company is primarily generated from the monies remitted by consumers through Company agents and financial institutions in payment of the face value of the payment service or foreign currency purchased and the related fees charged to purchase the currency. The Company uses its cash and cash equivalents to pay the face value of the payment service product upon presentation by the recipient. Cash received by Company agents and merchants generally becomes available to us within two weeks after initial receipt by the business partner. Receivables from business partners represent funds collected by such business partners that are in transit to the Company.</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Settlement obligations consist of accrued expenses for money transfers, content providers, and electronic funds transfer customer deposits and accounts payable to agents and content providers. Money transfer accrued expenses represent amounts to be paid to transferees when they request funds. Most agents typically settle with transferees first then obtain reimbursement from us. Money order accrued expenses represent amounts not yet presented for payment. Due to the agent funding and settlement process, accrued expenses to agents represent amounts due to agents for money transfers that have not been settled with transferees.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40" w:type="dxa"/>
            <w:vAlign w:val="bottom"/>
          </w:tcPr>
          <w:p>
            <w:pPr>
              <w:spacing w:after="0"/>
              <w:rPr>
                <w:sz w:val="10"/>
                <w:szCs w:val="10"/>
                <w:color w:val="auto"/>
              </w:rPr>
            </w:pPr>
          </w:p>
        </w:tc>
        <w:tc>
          <w:tcPr>
            <w:tcW w:w="1000" w:type="dxa"/>
            <w:vAlign w:val="bottom"/>
          </w:tcPr>
          <w:p>
            <w:pPr>
              <w:jc w:val="right"/>
              <w:ind w:right="114"/>
              <w:spacing w:after="0" w:line="118" w:lineRule="exact"/>
              <w:rPr>
                <w:sz w:val="20"/>
                <w:szCs w:val="20"/>
                <w:color w:val="auto"/>
              </w:rPr>
            </w:pPr>
            <w:r>
              <w:rPr>
                <w:rFonts w:ascii="Times New Roman" w:cs="Times New Roman" w:eastAsia="Times New Roman" w:hAnsi="Times New Roman"/>
                <w:sz w:val="13"/>
                <w:szCs w:val="13"/>
                <w:b w:val="1"/>
                <w:bCs w:val="1"/>
                <w:color w:val="auto"/>
              </w:rPr>
              <w:t>September</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jc w:val="right"/>
              <w:ind w:right="54"/>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3"/>
        </w:trPr>
        <w:tc>
          <w:tcPr>
            <w:tcW w:w="85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30, 2026</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8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assets:</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Settlement cash and 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420" w:type="dxa"/>
            <w:vAlign w:val="bottom"/>
            <w:gridSpan w:val="3"/>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503.1</w:t>
            </w: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 restricted cash</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0" w:type="dxa"/>
            <w:vAlign w:val="bottom"/>
          </w:tcPr>
          <w:p>
            <w:pPr>
              <w:spacing w:after="0"/>
              <w:rPr>
                <w:sz w:val="1"/>
                <w:szCs w:val="1"/>
                <w:color w:val="auto"/>
              </w:rPr>
            </w:pPr>
          </w:p>
        </w:tc>
      </w:tr>
      <w:tr>
        <w:trPr>
          <w:trHeight w:val="216"/>
        </w:trPr>
        <w:tc>
          <w:tcPr>
            <w:tcW w:w="8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receivable, net of credit losses of $42.1 and $39.0</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971.6</w:t>
            </w: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0" w:type="dxa"/>
            <w:vAlign w:val="bottom"/>
          </w:tcPr>
          <w:p>
            <w:pPr>
              <w:spacing w:after="0"/>
              <w:rPr>
                <w:sz w:val="1"/>
                <w:szCs w:val="1"/>
                <w:color w:val="auto"/>
              </w:rPr>
            </w:pPr>
          </w:p>
        </w:tc>
      </w:tr>
      <w:tr>
        <w:trPr>
          <w:trHeight w:val="249"/>
        </w:trPr>
        <w:tc>
          <w:tcPr>
            <w:tcW w:w="8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settlement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1,385.1</w:t>
            </w: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1,910.4</w:t>
            </w:r>
          </w:p>
        </w:tc>
        <w:tc>
          <w:tcPr>
            <w:tcW w:w="0" w:type="dxa"/>
            <w:vAlign w:val="bottom"/>
          </w:tcPr>
          <w:p>
            <w:pPr>
              <w:spacing w:after="0"/>
              <w:rPr>
                <w:sz w:val="1"/>
                <w:szCs w:val="1"/>
                <w:color w:val="auto"/>
              </w:rPr>
            </w:pPr>
          </w:p>
        </w:tc>
      </w:tr>
      <w:tr>
        <w:trPr>
          <w:trHeight w:val="196"/>
        </w:trPr>
        <w:tc>
          <w:tcPr>
            <w:tcW w:w="85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Settlement obligations: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Trade account payables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515.1</w:t>
            </w:r>
          </w:p>
        </w:tc>
        <w:tc>
          <w:tcPr>
            <w:tcW w:w="420" w:type="dxa"/>
            <w:vAlign w:val="bottom"/>
            <w:gridSpan w:val="3"/>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901.0</w:t>
            </w: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1,009.4</w:t>
            </w:r>
          </w:p>
        </w:tc>
        <w:tc>
          <w:tcPr>
            <w:tcW w:w="0" w:type="dxa"/>
            <w:vAlign w:val="bottom"/>
          </w:tcPr>
          <w:p>
            <w:pPr>
              <w:spacing w:after="0"/>
              <w:rPr>
                <w:sz w:val="1"/>
                <w:szCs w:val="1"/>
                <w:color w:val="auto"/>
              </w:rPr>
            </w:pPr>
          </w:p>
        </w:tc>
      </w:tr>
      <w:tr>
        <w:trPr>
          <w:trHeight w:val="209"/>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settlement obligations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1,385.1</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1,910.4</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reconciles cash and cash equivalents, restricted cash, ATM cash, settlement cash and cash equivalents, and settlement restricted cash as presented within "Cash and cash equivalents and restricted cash" in the Consolidated Statement of Cash Flows.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3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60" w:type="dxa"/>
            <w:vAlign w:val="bottom"/>
            <w:vMerge w:val="restart"/>
          </w:tcPr>
          <w:p>
            <w:pPr>
              <w:spacing w:after="0"/>
              <w:rPr>
                <w:sz w:val="10"/>
                <w:szCs w:val="10"/>
                <w:color w:val="auto"/>
              </w:rPr>
            </w:pPr>
          </w:p>
        </w:tc>
        <w:tc>
          <w:tcPr>
            <w:tcW w:w="14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00" w:type="dxa"/>
            <w:vAlign w:val="bottom"/>
          </w:tcPr>
          <w:p>
            <w:pPr>
              <w:jc w:val="center"/>
              <w:ind w:left="231"/>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300" w:type="dxa"/>
            <w:vAlign w:val="bottom"/>
          </w:tcPr>
          <w:p>
            <w:pPr>
              <w:jc w:val="center"/>
              <w:ind w:left="111"/>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6"/>
        </w:trPr>
        <w:tc>
          <w:tcPr>
            <w:tcW w:w="53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vMerge w:val="continue"/>
          </w:tcPr>
          <w:p>
            <w:pPr>
              <w:spacing w:after="0"/>
              <w:rPr>
                <w:sz w:val="15"/>
                <w:szCs w:val="15"/>
                <w:color w:val="auto"/>
              </w:rPr>
            </w:pPr>
          </w:p>
        </w:tc>
        <w:tc>
          <w:tcPr>
            <w:tcW w:w="13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bl>
    <w:p>
      <w:pPr>
        <w:sectPr>
          <w:pgSz w:w="11900" w:h="16900" w:orient="portrait"/>
          <w:cols w:equalWidth="0" w:num="1">
            <w:col w:w="11240"/>
          </w:cols>
          <w:pgMar w:left="320" w:top="121" w:right="3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955.4</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1,040.3</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1,172.5</w:t>
            </w:r>
          </w:p>
        </w:tc>
        <w:tc>
          <w:tcPr>
            <w:tcW w:w="56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1,278.8</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ATM cash</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912.7</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848.4</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Settlement cash and cash equivalents</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503.1</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480.8</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367.2</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restricted cash</w:t>
            </w:r>
          </w:p>
        </w:tc>
        <w:tc>
          <w:tcPr>
            <w:tcW w:w="5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w:t>
            </w:r>
          </w:p>
        </w:tc>
      </w:tr>
      <w:tr>
        <w:trPr>
          <w:trHeight w:val="21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end of period</w:t>
            </w:r>
          </w:p>
        </w:tc>
        <w:tc>
          <w:tcPr>
            <w:tcW w:w="520" w:type="dxa"/>
            <w:vAlign w:val="bottom"/>
          </w:tcPr>
          <w:p>
            <w:pPr>
              <w:spacing w:after="0"/>
              <w:rPr>
                <w:sz w:val="18"/>
                <w:szCs w:val="18"/>
                <w:color w:val="auto"/>
              </w:rPr>
            </w:pPr>
          </w:p>
        </w:tc>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2,401.3</w:t>
            </w:r>
          </w:p>
        </w:tc>
        <w:tc>
          <w:tcPr>
            <w:tcW w:w="160" w:type="dxa"/>
            <w:vAlign w:val="bottom"/>
          </w:tcPr>
          <w:p>
            <w:pPr>
              <w:spacing w:after="0"/>
              <w:rPr>
                <w:sz w:val="18"/>
                <w:szCs w:val="18"/>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2,362.8</w:t>
            </w:r>
          </w:p>
        </w:tc>
        <w:tc>
          <w:tcPr>
            <w:tcW w:w="160" w:type="dxa"/>
            <w:vAlign w:val="bottom"/>
          </w:tcPr>
          <w:p>
            <w:pPr>
              <w:spacing w:after="0"/>
              <w:rPr>
                <w:sz w:val="18"/>
                <w:szCs w:val="18"/>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2,690.5</w:t>
            </w:r>
          </w:p>
        </w:tc>
        <w:tc>
          <w:tcPr>
            <w:tcW w:w="180" w:type="dxa"/>
            <w:vAlign w:val="bottom"/>
          </w:tcPr>
          <w:p>
            <w:pPr>
              <w:spacing w:after="0"/>
              <w:rPr>
                <w:sz w:val="18"/>
                <w:szCs w:val="18"/>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2,488.2</w:t>
            </w:r>
          </w:p>
        </w:tc>
      </w:tr>
      <w:tr>
        <w:trPr>
          <w:trHeight w:val="20"/>
        </w:trPr>
        <w:tc>
          <w:tcPr>
            <w:tcW w:w="5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39"/>
        </w:trPr>
        <w:tc>
          <w:tcPr>
            <w:tcW w:w="5000" w:type="dxa"/>
            <w:vAlign w:val="bottom"/>
          </w:tcPr>
          <w:p>
            <w:pPr>
              <w:spacing w:after="0"/>
              <w:rPr>
                <w:sz w:val="24"/>
                <w:szCs w:val="24"/>
                <w:color w:val="auto"/>
              </w:rPr>
            </w:pPr>
          </w:p>
        </w:tc>
        <w:tc>
          <w:tcPr>
            <w:tcW w:w="9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12</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STOCKHOLDERS' EQUITY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share has been computed by dividing earnings available to common stockholders by the weighted average number of common shares outstanding during the respective period. Diluted earnings per share has been computed by dividing earnings available to common stockholders by the weighted average shares outstanding during the respective period, after adjusting for the potential dilution of options to purchase the Company’s common stock, assumed vesting of restricted stock units and the assumed conversion of the Company’s convertible debt, if such conversion would be dilutive.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computation of diluted earnings and diluted weighted average number of common shares outstanding: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(earnings in millions, shares in actual amounts)</w:t>
            </w:r>
          </w:p>
        </w:tc>
        <w:tc>
          <w:tcPr>
            <w:tcW w:w="200" w:type="dxa"/>
            <w:vAlign w:val="bottom"/>
          </w:tcPr>
          <w:p>
            <w:pPr>
              <w:spacing w:after="0"/>
              <w:rPr>
                <w:sz w:val="15"/>
                <w:szCs w:val="15"/>
                <w:color w:val="auto"/>
              </w:rPr>
            </w:pPr>
          </w:p>
        </w:tc>
        <w:tc>
          <w:tcPr>
            <w:tcW w:w="25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5"/>
                <w:szCs w:val="15"/>
                <w:color w:val="auto"/>
              </w:rPr>
            </w:pPr>
          </w:p>
        </w:tc>
        <w:tc>
          <w:tcPr>
            <w:tcW w:w="24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7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Computation of diluted earnings: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attributable to Euronet Worldwide, Inc.</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w:t>
            </w:r>
          </w:p>
        </w:tc>
      </w:tr>
      <w:tr>
        <w:trPr>
          <w:trHeight w:val="198"/>
        </w:trPr>
        <w:tc>
          <w:tcPr>
            <w:tcW w:w="5780" w:type="dxa"/>
            <w:vAlign w:val="bottom"/>
            <w:shd w:val="clear" w:color="auto" w:fill="CCEEFF"/>
          </w:tcPr>
          <w:p>
            <w:pPr>
              <w:ind w:left="240"/>
              <w:spacing w:after="0" w:line="198" w:lineRule="exact"/>
              <w:rPr>
                <w:sz w:val="20"/>
                <w:szCs w:val="20"/>
                <w:color w:val="auto"/>
              </w:rPr>
            </w:pPr>
            <w:r>
              <w:rPr>
                <w:rFonts w:ascii="Times New Roman" w:cs="Times New Roman" w:eastAsia="Times New Roman" w:hAnsi="Times New Roman"/>
                <w:sz w:val="18"/>
                <w:szCs w:val="18"/>
                <w:color w:val="auto"/>
              </w:rPr>
              <w:t>Add: Interest expense from assumed conversion of convertible notes, net of</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4"/>
        </w:trPr>
        <w:tc>
          <w:tcPr>
            <w:tcW w:w="5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w:t>
            </w:r>
          </w:p>
        </w:tc>
        <w:tc>
          <w:tcPr>
            <w:tcW w:w="2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9"/>
        </w:trPr>
        <w:tc>
          <w:tcPr>
            <w:tcW w:w="5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Net income for diluted earnings per share calculation</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20" w:type="dxa"/>
            <w:vAlign w:val="bottom"/>
          </w:tcPr>
          <w:p>
            <w:pPr>
              <w:spacing w:after="0"/>
              <w:rPr>
                <w:sz w:val="18"/>
                <w:szCs w:val="18"/>
                <w:color w:val="auto"/>
              </w:rPr>
            </w:pPr>
          </w:p>
        </w:tc>
        <w:tc>
          <w:tcPr>
            <w:tcW w:w="2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20" w:type="dxa"/>
            <w:vAlign w:val="bottom"/>
          </w:tcPr>
          <w:p>
            <w:pPr>
              <w:spacing w:after="0"/>
              <w:rPr>
                <w:sz w:val="18"/>
                <w:szCs w:val="18"/>
                <w:color w:val="auto"/>
              </w:rPr>
            </w:pPr>
          </w:p>
        </w:tc>
        <w:tc>
          <w:tcPr>
            <w:tcW w:w="2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w:t>
            </w:r>
          </w:p>
        </w:tc>
      </w:tr>
      <w:tr>
        <w:trPr>
          <w:trHeight w:val="216"/>
        </w:trPr>
        <w:tc>
          <w:tcPr>
            <w:tcW w:w="5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Computation of diluted weighted average shares outstanding:</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37,289,653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40,331,347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38,027,010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42,109,970</w:t>
            </w:r>
          </w:p>
        </w:tc>
      </w:tr>
      <w:tr>
        <w:trPr>
          <w:trHeight w:val="198"/>
        </w:trPr>
        <w:tc>
          <w:tcPr>
            <w:tcW w:w="5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Incremental shares from assumed exercise of stock options and vesting of</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424,306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366,087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234,627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350,510</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Incremental shares from assumed conversion of convertible debt</w:t>
            </w: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8,047,923</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4,112,023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8,047,923</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2,114,048</w:t>
            </w:r>
          </w:p>
        </w:tc>
      </w:tr>
      <w:tr>
        <w:trPr>
          <w:trHeight w:val="21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45,761,882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44,809,457</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46,309,560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44,574,528</w:t>
            </w:r>
          </w:p>
        </w:tc>
      </w:tr>
      <w:tr>
        <w:trPr>
          <w:trHeight w:val="20"/>
        </w:trPr>
        <w:tc>
          <w:tcPr>
            <w:tcW w:w="5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 includes all stock options and restricted stock units that are dilutive to the Company's weighted average common shares outstanding during the period. The calculation of diluted earnings per share excludes stock options or shares of restricted stock units that are anti-dilutive to the Company's weighted average common shares outstanding of approximately 5.5 million and 5.7 million for the three and nine months ended September 30, 2026 and 5.2 million and 3.9 million for the three and nine months ended September 30, 2025, respectively.</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Euronet issued Convertible Senior Notes ("Convertible Notes") due March 2049 (the “2049 Convertible Notes”) and due October of 2030 (the “2030 Convertible Notes”). The Convertible Notes currently have a settlement feature requiring us upon conversion to settle the principal amount of the debt and any conversion value in excess of the principal value ("conversion premium"), for cash or shares of Euronet's common stock or a combination thereof, at the Company's option. Incremental shares assumed for conversion of Convertible Notes are required to be included in the dilutive earnings per share calculation, if dilutive, regardless of whether the market price trigger has been met. Therefore, the Convertible Notes are included in the calculation of diluted earnings per share if their inclusion is dilutive. The dilutive effect increases the more the market price exceeds the applicable conversion price for each series of the Convertible Notes.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2025, in connection with the offering of the 2030 Convertible Notes, the Company entered into several Capped Call Options with various counterparties, which cover, subject to anti-dilution adjustments substantially similar to those in the 2030 Convertible Notes, an aggregate of 7.9 million shares of the Company’s common stock, the same number of shares that initially would be issuable upon conversion of the 2030 Convertible Notes. The Capped Call Options meet the criteria for classification as equity and, as such, are not remeasured each reporting period. During the third quarter of 2025, the Company paid $99.8 million for the Capped Call Options, which was recorded as a reduction to “Additional paid-in capital” within the Company’s consolidated financial statements along with the offsetting associated deferred tax impact of $25.9 million.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During March 2025, almost all of the holders of the 2049 Convertible Notes exercised their right to require the Company to repurchase their 2049 Notes, and the Company repurchased $491.8 million of the 2049 Convertible Notes leaving $33.2 million of the 2049 Convertible Notes remain outstanding as of September 30, 2026.</w:t>
      </w:r>
    </w:p>
    <w:p>
      <w:pPr>
        <w:spacing w:after="0" w:line="143"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The issuance of the 2030 Convertible Notes increased the weighted average incremental shares from assumed conversion from 4.1 million and 2.1 million in the three and nine months ended September 30, 2025, respectively, to 8.0 million in both the three and nine months ended September 30, 2026.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10, Debt Obligations, to the consolidated financial statements for more information about the Convertible Notes and the Capped Call Options.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3, 2025, the Company put a repurchase program in place to repurchase up to $400 million in value, but not more than 8.0 million shares of common stock through June 3, 2027. As of September 30, 2026, approximately $68.4 million in value of additional shares were available to be repurchased under this repurchase program.</w:t>
      </w:r>
    </w:p>
    <w:p>
      <w:pPr>
        <w:sectPr>
          <w:pgSz w:w="11900" w:h="16838" w:orient="portrait"/>
          <w:cols w:equalWidth="0" w:num="1">
            <w:col w:w="11240"/>
          </w:cols>
          <w:pgMar w:left="320" w:top="140" w:right="339" w:bottom="20" w:gutter="0" w:footer="0" w:header="0"/>
        </w:sectPr>
      </w:pPr>
    </w:p>
    <w:bookmarkStart w:id="9" w:name="page10"/>
    <w:bookmarkEnd w:id="9"/>
    <w:p>
      <w:pPr>
        <w:spacing w:after="0" w:line="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24, 2026, the Company put a repurchase program in place to repurchase up to $425 million in value, but not more than 10 million shares of common stock. The Company has not made any repurchases under this plan.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Repurchases under the program may take place in the open market or in privately negotiated transactions, including derivative transactions, and may be made under a Rule 10b5-1 plan.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Income (loss)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foreign currency translation losses of $25.7 million and $(95.6) million for the three and nine months ended September 30, 2026 and a foreign currency translation loss of $20.7 million and a foreign currency translation gain of $249.3 million for the three and nine months ended September 30, 2025, respectively. There were no reclassifications of foreign currency translation adjustments into the consolidated statements of income for the three and nine months ended September 30, 2026 and 2025.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AND ACQUIRED INTANGIBLE ASSETS, NET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acquired intangible assets and goodwill activity for the nine months ended September 30, 2026 is presented below:</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Acquired</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6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Intangible</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Intangible</w:t>
            </w:r>
          </w:p>
        </w:tc>
      </w:tr>
      <w:tr>
        <w:trPr>
          <w:trHeight w:val="199"/>
        </w:trPr>
        <w:tc>
          <w:tcPr>
            <w:tcW w:w="7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4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2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Assets</w:t>
            </w:r>
          </w:p>
        </w:tc>
      </w:tr>
      <w:tr>
        <w:trPr>
          <w:trHeight w:val="209"/>
        </w:trPr>
        <w:tc>
          <w:tcPr>
            <w:tcW w:w="6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1,042.3</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1,303.5</w:t>
            </w:r>
          </w:p>
        </w:tc>
      </w:tr>
      <w:tr>
        <w:trPr>
          <w:trHeight w:val="21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Increases (decreases):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7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7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Impairment</w:t>
            </w:r>
          </w:p>
        </w:tc>
        <w:tc>
          <w:tcPr>
            <w:tcW w:w="2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16"/>
        </w:trPr>
        <w:tc>
          <w:tcPr>
            <w:tcW w:w="71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10"/>
        </w:trPr>
        <w:tc>
          <w:tcPr>
            <w:tcW w:w="7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2026</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1,018.3</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1,252.1</w:t>
            </w:r>
          </w:p>
        </w:tc>
      </w:tr>
      <w:tr>
        <w:trPr>
          <w:trHeight w:val="20"/>
        </w:trPr>
        <w:tc>
          <w:tcPr>
            <w:tcW w:w="6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 the total goodwill balance of $1,018.3 million as of September 30, 2026, $409.0 million relates to the Cross-Border Payments Segment, $481.4 million relates to the Payments Infrastructure Segment and the remaining $127.9 million relates to the epay Segment. Estimated amortization expense on acquired intangible assets with finite lives as of September 30, 2026, is expected to total $9.6 million for the remainder of 2026, $35.8 million for 2027, $23.8 million for 2028, $19.7 million for 2029, $19.6 million for 2030 and $18.7 million for 2031.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CONVERTIBLE NOTES RECEIVABLE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loaned $60.0 million to Koin Mobile, LLC and Marker Trax, LLC under two promissory notes (the "2028 Notes"), which were fully executed on October 19, 2023. Under the terms of the 2028 Notes, interest will accrue on the 2028 Notes at 2% per annum and all unpaid principal and interest will be due and payable on October 18, 2028 if not converted earlier as discussed below.</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27, 2025, the Company loaned $25.0 million to Marker Trax Digital, LLC under a promissory note (the "2030 Note"). Under the terms of the 2030 Note, interest will accrue on the 2030 Note at 2% per annum and all unpaid principal and interest will be due and payable on March 27, 2030 if not converted earlier as discussed below.</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 security interest in all of the assets of Koin Mobile, LLC, Marker Trax, LLC, and Marker Trax Digital, LLC. The aggregate outstanding principal and accrued interest under the 2028 Notes and the 2030 Note were $85.0 million and $4.4 million at September 30, 2026. The aggregate outstanding principal and accrued interest under the 2028 Notes and the 2030 Note were $85.0 million and $3.0 million at December 31, 2025.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2028 Notes and the 2030 Note are convertible into preferred equity of Koin Mobile, LLC, Marker Trax, LLC and Marker Trax Digital, LLC, at the option of the Company upon the occurrence of certain events including a qualified equity financing, change in control, achievement of profitability or at the option of the Company at maturity, as defined in the related promissory note purchase agreements.</w:t>
      </w:r>
    </w:p>
    <w:p>
      <w:pPr>
        <w:spacing w:after="0" w:line="17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convertible notes are accounted for as loans receivable at amortized cost in accordance with Accounting Standards Codification ("ASC") Topic 310, Receivables. The Company evaluates the collectability of the convertible notes and records an allowance for expected credit losses, when necessary, in accordance with ASC Topic 326, Financial Instruments—Credit Losses, including the guidance in ASC Subtopic 326-20, Financial Instruments—Credit Losses—Measured at Amortized Cost. Based on its evaluation as of September 30, 2026, the Company concluded that no allowance for expected credit losses was necessary.</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7, 2026, the Company loaned an additional $8.0 million to Koin Mobile, LLC under a convertible promissory note bearing paid-in-kind interest at 2% per annum and maturing October 6, 2031. Following conversion of the 2028 Note issued by Koin Mobile, LLC, the note is convertible at the Company’s option into Class A common units that would result in the Company holding 51% of the fully diluted voting power of Koin Mobile, LLC. However, currently the Company does not any voting rights or any other significant influence. The note is secured by the assets of Koin Mobile, LLC.</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ACCRUED EXPENSES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in millions)</w:t>
            </w:r>
          </w:p>
        </w:tc>
        <w:tc>
          <w:tcPr>
            <w:tcW w:w="180" w:type="dxa"/>
            <w:vAlign w:val="bottom"/>
          </w:tcPr>
          <w:p>
            <w:pPr>
              <w:spacing w:after="0"/>
              <w:rPr>
                <w:sz w:val="10"/>
                <w:szCs w:val="10"/>
                <w:color w:val="auto"/>
              </w:rPr>
            </w:pPr>
          </w:p>
        </w:tc>
        <w:tc>
          <w:tcPr>
            <w:tcW w:w="1100" w:type="dxa"/>
            <w:vAlign w:val="bottom"/>
          </w:tcPr>
          <w:p>
            <w:pPr>
              <w:jc w:val="right"/>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jc w:val="right"/>
              <w:ind w:right="57"/>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3"/>
        </w:trPr>
        <w:tc>
          <w:tcPr>
            <w:tcW w:w="85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83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0" w:type="dxa"/>
            <w:vAlign w:val="bottom"/>
          </w:tcPr>
          <w:p>
            <w:pPr>
              <w:spacing w:after="0"/>
              <w:rPr>
                <w:sz w:val="1"/>
                <w:szCs w:val="1"/>
                <w:color w:val="auto"/>
              </w:rPr>
            </w:pPr>
          </w:p>
        </w:tc>
      </w:tr>
      <w:tr>
        <w:trPr>
          <w:trHeight w:val="216"/>
        </w:trPr>
        <w:tc>
          <w:tcPr>
            <w:tcW w:w="8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Other tax payables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16"/>
        </w:trPr>
        <w:tc>
          <w:tcPr>
            <w:tcW w:w="85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Derivative liabilities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16"/>
        </w:trPr>
        <w:tc>
          <w:tcPr>
            <w:tcW w:w="852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8"/>
                <w:szCs w:val="18"/>
                <w:color w:val="auto"/>
              </w:rPr>
              <w:t>Accrued payroll expenses</w:t>
            </w:r>
          </w:p>
        </w:tc>
        <w:tc>
          <w:tcPr>
            <w:tcW w:w="18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0" w:type="dxa"/>
            <w:vAlign w:val="bottom"/>
          </w:tcPr>
          <w:p>
            <w:pPr>
              <w:spacing w:after="0"/>
              <w:rPr>
                <w:sz w:val="1"/>
                <w:szCs w:val="1"/>
                <w:color w:val="auto"/>
              </w:rPr>
            </w:pPr>
          </w:p>
        </w:tc>
      </w:tr>
    </w:tbl>
    <w:p>
      <w:pPr>
        <w:sectPr>
          <w:pgSz w:w="11900" w:h="16900" w:orient="portrait"/>
          <w:cols w:equalWidth="0" w:num="1">
            <w:col w:w="11240"/>
          </w:cols>
          <w:pgMar w:left="320" w:top="121" w:right="3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Current portion of capital lease obligations</w:t>
            </w: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9"/>
        </w:trPr>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483.7</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494.9</w:t>
            </w:r>
          </w:p>
        </w:tc>
      </w:tr>
      <w:tr>
        <w:trPr>
          <w:trHeight w:val="20"/>
        </w:trPr>
        <w:tc>
          <w:tcPr>
            <w:tcW w:w="85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DEFERRED REVENUES</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records deferred revenues when cash payments are received or due in advance of the Company's performance. The decrease in the deferred revenue balance for the nine months ended September 30, 2026 was primarily driven by $33.1 million of revenues recognized that were included in the deferred revenue balance as of December 31, 2025 and $30.1 million of cash payments received in the current year for which the Company has not yet satisfied the performance obligations.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DEBT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obligations consist of the following:</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3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jc w:val="right"/>
              <w:ind w:right="73"/>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jc w:val="right"/>
              <w:ind w:right="53"/>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3"/>
        </w:trPr>
        <w:tc>
          <w:tcPr>
            <w:tcW w:w="83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Facility:</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Revolving credit agreement</w:t>
            </w:r>
          </w:p>
        </w:tc>
        <w:tc>
          <w:tcPr>
            <w:tcW w:w="3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689.1</w:t>
            </w:r>
          </w:p>
        </w:tc>
        <w:tc>
          <w:tcPr>
            <w:tcW w:w="3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0.625% convertible notes, unsecured, due 2030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0.75% convertible notes, unsecured, due 2049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1.375% Senior Notes, due 2026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704.6</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Uncommitted credit agreements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obligations</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10"/>
        </w:trPr>
        <w:tc>
          <w:tcPr>
            <w:tcW w:w="8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 obligations</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2,198.6</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2,047.3</w:t>
            </w:r>
          </w:p>
        </w:tc>
        <w:tc>
          <w:tcPr>
            <w:tcW w:w="0" w:type="dxa"/>
            <w:vAlign w:val="bottom"/>
          </w:tcPr>
          <w:p>
            <w:pPr>
              <w:spacing w:after="0"/>
              <w:rPr>
                <w:sz w:val="1"/>
                <w:szCs w:val="1"/>
                <w:color w:val="auto"/>
              </w:rPr>
            </w:pPr>
          </w:p>
        </w:tc>
      </w:tr>
      <w:tr>
        <w:trPr>
          <w:trHeight w:val="209"/>
        </w:trPr>
        <w:tc>
          <w:tcPr>
            <w:tcW w:w="8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value of debt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2,020.8</w:t>
            </w:r>
          </w:p>
        </w:tc>
        <w:tc>
          <w:tcPr>
            <w:tcW w:w="0" w:type="dxa"/>
            <w:vAlign w:val="bottom"/>
          </w:tcPr>
          <w:p>
            <w:pPr>
              <w:spacing w:after="0"/>
              <w:rPr>
                <w:sz w:val="1"/>
                <w:szCs w:val="1"/>
                <w:color w:val="auto"/>
              </w:rPr>
            </w:pPr>
          </w:p>
        </w:tc>
      </w:tr>
      <w:tr>
        <w:trPr>
          <w:trHeight w:val="216"/>
        </w:trPr>
        <w:tc>
          <w:tcPr>
            <w:tcW w:w="8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Short-term debt obligations and current maturities of long-term debt obligations</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(470.5)</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(983.2)</w:t>
            </w:r>
          </w:p>
        </w:tc>
        <w:tc>
          <w:tcPr>
            <w:tcW w:w="0" w:type="dxa"/>
            <w:vAlign w:val="bottom"/>
          </w:tcPr>
          <w:p>
            <w:pPr>
              <w:spacing w:after="0"/>
              <w:rPr>
                <w:sz w:val="1"/>
                <w:szCs w:val="1"/>
                <w:color w:val="auto"/>
              </w:rPr>
            </w:pPr>
          </w:p>
        </w:tc>
      </w:tr>
      <w:tr>
        <w:trPr>
          <w:trHeight w:val="210"/>
        </w:trPr>
        <w:tc>
          <w:tcPr>
            <w:tcW w:w="8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obligations</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1,706.2</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1,037.6</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17, 2024, the Company amended its revolving credit agreement (the “Credit Facility”) to increase the facility from $1.25 billion to $1.9 billion and to extend the expiration to December 17, 2029. The amended Credit Facility includes a multi-currency borrowing tranche totaling $1,685 million and a U.S. dollar borrowing tranche totaling $215 million. The amended Credit Facility also removes the credit spread adjustment on SOFR and SONIA borrowings. All other terms remain substantially the same as the existing Credit Facility. The multi-currency tranche of the revolving Credit Facility contains a sublimit of up to $500 million for the issuance of letters of credit, a $75 million sublimit for U.S. dollar swingline loans and a $75 million sublimit for swingline loans in euros or British pounds sterling. The multi-currency tranche of the Credit Facility allows for borrowings in British pounds sterling, euro and U.S. dollars. Subject to certain conditions, the Company has the option to increase the Credit Facility by up to an additional $500 million by requesting additional commitments from existing or new lenders.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Borrowings under the revolving Credit Facility (other than swing line loans) bear interest based on a margin over a secured financing rate or the base rate, as selected by the Company, which varies from 0.875% to 1.375%, in each case based on the Company’s current credit rating. The applicable margin for borrowings under the Credit Facility, based on the Company’s current credit rating is 1.075%. In addition, the Company pays a facility fee on the total commitments made under the revolving Credit Facility, which varies from 0.125% to 0.250%. The current facility fee is 0.175%.</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agreement contains customary affirmative and negative covenants, events of default and financial covenants, including (all as defined in the Credit Facility): (i) a Consolidated Total Leverage Ratio, depending on certain circumstances defined in the Credit Facility, not to exceed a range between 3.5 to 1.0 and 4.5 to 1.0; and (ii) a Consolidated Interest Coverage Ratio of not less than 3.0 to 1.0. Subject to meeting certain customary covenants (as defined in the Credit Facility), the Company is permitted to repurchase common stock and debt. The Company was in compliance with all debt covenants as of September 30, 2026.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2049 Convertible Notes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18, 2019, the Company completed the sale of $525.0 million of Convertible Senior Notes ("2049 Convertible Notes"). The 2049 Convertible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mature in March 2049 unless redeemed or converted prior to such date and are convertible into shares of Euronet common stock at a conversion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of approximately $188.73 per share if certain conditions are met (relating to the closing price of Euronet common stock exceeding certain thresholds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specified periods). Holders of the 2049 Convertible Notes have the option to require the Company to purchase their notes on each of March 15,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15, 2029, March 15, 2034, March 15, 2039 and March 15, 2044 at a repurchase price equal to 100% of the principal amount of the 2049 Convertible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be repurchased, plus accrued and unpaid interest to, but excluding, the relevant repurchase date. In connection with the issuance of the 2049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Notes, the Company recorded $12.8 million in debt issuance costs, which were amortized through March 1, 2025. Almost all of the 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exercised their right to require the Company to repurchase their notes in March 2025, and we repurchased the tendered 2049 Convertible Notes at that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combination of cash on hand and a borrowing under our Credit Facility. As of September 30, 2026, $33.2 million of the 2049 Convertible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0" w:right="339" w:bottom="0" w:gutter="0" w:footer="0" w:header="0"/>
        </w:sectPr>
      </w:pP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2030 Convertible Notes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15, 2025, the Company completed the sale of $1,000.0 million of Convertible Senior Notes maturing in October 2030 ("2030 Convertible Notes"). The 2030 Convertible Notes mature in October 2030 unless redeemed or converted prior to such date and are convertible into shares of Euronet common stock at a conversion price of approximately $127.04 per share if certain conditions are met (relating to the closing price of Euronet common stock exceeding certain thresholds for specified periods). The 2030 Convertible Notes bear interest at a rate of 0.625% per year, payable semi-annually in arrears on April 1 and October 1 of each year, beginning on April 1, 2026. In connection with the issuance of the 2030 Convertible Notes, we recorded $23.5 million in debt issuance costs, which will be amortized through October 1, 2030. The 2030 Convertible Notes are convertible at the option of the holders at any time prior to the close of business on the business day immediately preceding April 1, 2030 if certain conditions are met.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Capped Call Transactions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August 2025, in connection with the issuance of the 2030 Convertible Notes, the Company entered into privately negotiated capped call transactions (the “2025 Capped Call Transactions”) with certain of the initial purchasers of the 2030 Convertible Notes or affiliates thereof and other financial institutions (the “Option Counterparties”). The capped call transactions initially cover, subject to customary anti-dilution adjustments, the number of shares of the Company’s common stock that initially would be issuable upon conversion of the 2030 Convertible Notes. The 2025 Capped Call Transactions are net purchased call options in Euronet common stock. The 2025 Capped Call Transactions are separate transactions, entered into by the Company with the Option Counterparties, and are not part of the terms of the 2030 Convertible Notes and will not change the holders’ rights under the 2030 Convertible Notes. Holders of the 2030 Convertible Notes will not have any rights with respect to the capped Call Transactions. The Company has concluded that the 2025 Capped Call Transactions meet the scope exceptions for derivative instruments, and as such, the 2025 Capped Call Transactions meet the criteria for classification in equity and are included as a reduction to additional paid in capital.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1.375% Senior Notes due 2026</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22, 2019, the Company completed the sale of €600.0 million ($669.9 million) aggregate principal amount of Senior Notes that were due in May 2026 (the “Senior Notes”). The Senior Notes accrued interest at a rate of 1.375% per year, payable annually in arrears. During the second quarter of 2026, the Company repaid the €600.0 million principal amount outstanding under the Senior Notes upon maturity. As of September 30, 2026, no amounts were outstanding under the Senior Notes.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Uncommitted Credit Agreements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15, 2026, the Company entered into an uncommitted demand credit agreement with U.S. Bank National Association providing for a discretionary, non-revolving credit facility of up to $100 million. The facility may be used solely to provide vault cash for automated teller machines owned by the Company and its wholly owned subsidiaries. Advances under the facility are made solely at the lender's discretion, are payable on demand, and mature no later than November 15, 2026, unless extended by the lender. Outstanding borrowings bear interest at Daily Simple SOFR plus 1.10%. As of September 30, 2026, the Company had $100.0 million outstanding under the facility. The weighted-average interest rate from loan inception date to September 30, 2026, was 4.74%.</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24, 2026, the Company entered into an uncommitted non-revolving credit facility with Wells Fargo Bank, National Association providing for borrowings of up to $300 million. The facility may be used solely to provide vault cash for automated teller machines owned by the Company and its wholly owned subsidiaries. The agreement expires on November 30, 2026, unless terminated earlier by the lender. As of September 30, 2026, the Company had $150.0 million outstanding under the facility. Outstanding borrowings bear interest at Daily Simple SOFR plus 1.25%. The weighted-average interest rate from loan inception date to September 30, 2026, was 4.90%.</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24, 2026, the Company entered into an Uncommitted Loan Agreement with Bank of America, N.A. providing for an uncommitted revolving credit facility with a maximum facility of $400 million. The facility may be used solely to provide vault cash for automated teller machines owned by the Company and its wholly owned subsidiaries. Any advances under the facility are made solely at the discretion of Bank of America, which has no contractual obligation to fund borrowings and may reduce the facility limit, demand repayment of outstanding loans, or terminate the facility at any time. The agreement expires on June 23, 2027, unless terminated earlier by the lender. Loans may be denominated in U.S. dollars or euros and bear interest at rates based on Prime, Term SOFR, EURIBOR, or other rates agreed between the parties at the time of borrowing. As of September 30, 2026, the Company had $195.7 million outstanding under the facility. The weighted-average interest rate from loan inception date to September 30, 2026, was 4.68%.</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obligations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of the Company’s subsidiaries have available lines of credit and overdraft credit facilities that generally provide for short-term borrowings that are used from time to time for working capital purposes. On October 9, 2024, the Company completed a line of credit facility of MYR 100 million and an overdraft credit facility of MYR 140 million for its Malaysian business. Each advance under this facility shall be made for a term of one month or such other period of up to 12 months. As of September 30, 2026 $24.5 million was borrowed under this line of credit facility. There were no borrowings on the overdraft facility. Including the Malaysian facility, there was a total of $30.6 million outstanding under our subsidiaries credit lines and overdraft facilities as of September 30, 2026.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Issuance Costs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2026, the Company had unamortized debt issuance costs of $18.4 million for the 2030 Convertible Notes and $3.5 million for the Credit Facility that will be amortized through October 2030 and November 2029,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DERIVATIVE INSTRUMENTS AND HEDGING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exposed to foreign currency exchange risk resulting from (i) the collection of funds or the settlement of money transfer transactions in currencies other than the U.S. dollar, (ii) derivative contracts written to its customers in connection with providing cross-currency money transfer services and (iii) certain foreign currency denominated other asset and liability positions. The Company enters into foreign currency derivative contracts, primarily</w:t>
      </w:r>
    </w:p>
    <w:p>
      <w:pPr>
        <w:sectPr>
          <w:pgSz w:w="11900" w:h="16838" w:orient="portrait"/>
          <w:cols w:equalWidth="0" w:num="1">
            <w:col w:w="11240"/>
          </w:cols>
          <w:pgMar w:left="320" w:top="335" w:right="339" w:bottom="0" w:gutter="0" w:footer="0" w:header="0"/>
        </w:sectPr>
      </w:pPr>
    </w:p>
    <w:bookmarkStart w:id="12" w:name="page13"/>
    <w:bookmarkEnd w:id="12"/>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foreign currency forwards and cross-currency swaps, to minimize its exposure related to fluctuations in foreign currency exchange rates. As a matter of Company policy, the derivative instruments used in these activities are economic hedges and are not designated as hedges under ASC 815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primarily due to either the relatively short duration of the contract term or the effects of fluctuations in currency exchange rates are reflected concurrently in earnings for both the derivative instrument and the transaction and have an offsetting effect.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contracts - Ria Operations and Corporate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United States, the Company uses short-duration foreign currency forward contracts, generally with maturities up to 14 days, to offset the fluctuation in foreign currency exchange rates on the collection of money transfer funds between initiation of a transaction and its settlement. Due to the short duration of these contracts and the Company’s credit profile, the Company is generally not required to post collateral with respect to these foreign currency forward contracts. Most derivative contracts executed with counterparties in the U.S. are governed by an International Swaps and Derivatives Association agreement that includes standard netting arrangements; therefore, asset and liability positions from forward contracts and all other foreign exchange transactions with the same counterparty are net settled upon maturity. The Company had foreign currency forward contracts outstanding in the U.S. with a notional value of $398.5 million and $532.2 million as of September 30, 2026 and December 31, 2025, respectively. The foreign currency forward contracts consist primarily in Australian dollars, Canadian dollars, British pounds sterling, euros and Mexican pesos.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Company uses forward contracts, typically with maturities from a few days to less than one year, to offset foreign exchange rate fluctuations on certain short-term borrowings that are payable in currencies other than the U.S. dollar. The Company had foreign currency forward contracts outstanding with a notional value of $592.6 million and $852.7 million as of September 30, 2026 and December 31, 2025, respectively, primarily in euro.</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contracts - Xe Operations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Xe writes derivative instruments, primarily foreign currency forward contracts and cross-currency swaps, mostly with counterparties comprised of individuals and small-to-medium size businesses and derives a currency margin from this activity as part of its operations. Xe aggregates its foreign currency exposures arising from customer contracts and hedges the resulting net currency risks by entering into offsetting contracts with established financial institution counterparties. Foreign exchange revenues from Xe's total portfolio of positions were $21.0 million and $64.4 million for the three and nine months ended September 30, 2026 and $22.8 million and $69.3 million for the three and nine months ended September 30, 2025. All of the derivative contracts used in the Company's Xe operations are economic hedges and are not designated as hedges under ASC 815. The duration of these derivative contracts is generally less than one year.</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Xe's total portfolio of positions can change significantly from period to period based on, among other factors, market movements and changes in customer contract positions. Xe manages counterparty credit risk (the risk that counterparties will default and not make payments according to the terms of the agreements) on an individual counterparty basis. It mitigates this risk by entering contracts with collateral posting requirements and/or by performing financial assessments prior to contract execution, conducting periodic evaluations of counterparty performance and maintaining a diverse portfolio of qualified counterparties. Xe does not expect any significant losses from counterparty defaults.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equivalent U.S. dollar notional amount of foreign currency derivative customer contracts held by the Company in its Xe operations as of September 30, 2026 and December 31, 2025 was $0.9 billion and $0.7 billion, respectively. The significant majority of customer contracts are written in major currencies such as the euro, U.S. dollar, British pounds sterling, Australian dollar and New Zealand dollar.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Balance Sheet Presentation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of the derivative instruments as recorded in the Consolidated Balance Sheets as of the dates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20" w:type="dxa"/>
            <w:vAlign w:val="bottom"/>
          </w:tcPr>
          <w:p>
            <w:pPr>
              <w:spacing w:after="0"/>
              <w:rPr>
                <w:sz w:val="15"/>
                <w:szCs w:val="15"/>
                <w:color w:val="auto"/>
              </w:rPr>
            </w:pPr>
          </w:p>
        </w:tc>
        <w:tc>
          <w:tcPr>
            <w:tcW w:w="2700" w:type="dxa"/>
            <w:vAlign w:val="bottom"/>
            <w:tcBorders>
              <w:bottom w:val="single" w:sz="8" w:color="auto"/>
            </w:tcBorders>
            <w:gridSpan w:val="4"/>
          </w:tcPr>
          <w:p>
            <w:pPr>
              <w:jc w:val="right"/>
              <w:ind w:right="205"/>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jc w:val="right"/>
              <w:ind w:right="64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17"/>
        </w:trPr>
        <w:tc>
          <w:tcPr>
            <w:tcW w:w="3320" w:type="dxa"/>
            <w:vAlign w:val="bottom"/>
          </w:tcPr>
          <w:p>
            <w:pPr>
              <w:spacing w:after="0"/>
              <w:rPr>
                <w:sz w:val="10"/>
                <w:szCs w:val="10"/>
                <w:color w:val="auto"/>
              </w:rPr>
            </w:pPr>
          </w:p>
        </w:tc>
        <w:tc>
          <w:tcPr>
            <w:tcW w:w="1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8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September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tcPr>
          <w:p>
            <w:pPr>
              <w:spacing w:after="0"/>
              <w:rPr>
                <w:sz w:val="10"/>
                <w:szCs w:val="10"/>
                <w:color w:val="auto"/>
              </w:rPr>
            </w:pPr>
          </w:p>
        </w:tc>
        <w:tc>
          <w:tcPr>
            <w:tcW w:w="1840" w:type="dxa"/>
            <w:vAlign w:val="bottom"/>
            <w:gridSpan w:val="4"/>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8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September</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3"/>
        </w:trPr>
        <w:tc>
          <w:tcPr>
            <w:tcW w:w="3320" w:type="dxa"/>
            <w:vAlign w:val="bottom"/>
          </w:tcPr>
          <w:p>
            <w:pPr>
              <w:spacing w:after="0"/>
              <w:rPr>
                <w:sz w:val="15"/>
                <w:szCs w:val="15"/>
                <w:color w:val="auto"/>
              </w:rPr>
            </w:pPr>
          </w:p>
        </w:tc>
        <w:tc>
          <w:tcPr>
            <w:tcW w:w="1820" w:type="dxa"/>
            <w:vAlign w:val="bottom"/>
            <w:gridSpan w:val="3"/>
            <w:vMerge w:val="continue"/>
          </w:tcPr>
          <w:p>
            <w:pPr>
              <w:spacing w:after="0"/>
              <w:rPr>
                <w:sz w:val="15"/>
                <w:szCs w:val="15"/>
                <w:color w:val="auto"/>
              </w:rPr>
            </w:pPr>
          </w:p>
        </w:tc>
        <w:tc>
          <w:tcPr>
            <w:tcW w:w="880" w:type="dxa"/>
            <w:vAlign w:val="bottom"/>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30, 2026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840" w:type="dxa"/>
            <w:vAlign w:val="bottom"/>
            <w:gridSpan w:val="4"/>
            <w:vMerge w:val="continue"/>
          </w:tcPr>
          <w:p>
            <w:pPr>
              <w:spacing w:after="0"/>
              <w:rPr>
                <w:sz w:val="15"/>
                <w:szCs w:val="15"/>
                <w:color w:val="auto"/>
              </w:rPr>
            </w:pPr>
          </w:p>
        </w:tc>
        <w:tc>
          <w:tcPr>
            <w:tcW w:w="880" w:type="dxa"/>
            <w:vAlign w:val="bottom"/>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30, 2026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74"/>
        </w:trPr>
        <w:tc>
          <w:tcPr>
            <w:tcW w:w="3320" w:type="dxa"/>
            <w:vAlign w:val="bottom"/>
            <w:tcBorders>
              <w:top w:val="single" w:sz="8" w:color="CCEEFF"/>
            </w:tcBorders>
            <w:shd w:val="clear" w:color="auto" w:fill="CCEEFF"/>
          </w:tcPr>
          <w:p>
            <w:pPr>
              <w:ind w:left="60"/>
              <w:spacing w:after="0" w:line="174" w:lineRule="exact"/>
              <w:rPr>
                <w:sz w:val="20"/>
                <w:szCs w:val="20"/>
                <w:color w:val="auto"/>
              </w:rPr>
            </w:pPr>
            <w:r>
              <w:rPr>
                <w:rFonts w:ascii="Times New Roman" w:cs="Times New Roman" w:eastAsia="Times New Roman" w:hAnsi="Times New Roman"/>
                <w:sz w:val="18"/>
                <w:szCs w:val="18"/>
                <w:b w:val="1"/>
                <w:bCs w:val="1"/>
                <w:color w:val="auto"/>
              </w:rPr>
              <w:t>Derivatives not designated as hedging</w:t>
            </w:r>
          </w:p>
        </w:tc>
        <w:tc>
          <w:tcPr>
            <w:tcW w:w="15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1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ind w:left="320"/>
              <w:spacing w:after="0" w:line="198" w:lineRule="exact"/>
              <w:rPr>
                <w:sz w:val="20"/>
                <w:szCs w:val="20"/>
                <w:color w:val="auto"/>
              </w:rPr>
            </w:pPr>
            <w:r>
              <w:rPr>
                <w:rFonts w:ascii="Times New Roman" w:cs="Times New Roman" w:eastAsia="Times New Roman" w:hAnsi="Times New Roman"/>
                <w:sz w:val="18"/>
                <w:szCs w:val="18"/>
                <w:color w:val="auto"/>
                <w:w w:val="99"/>
              </w:rPr>
              <w:t>Other current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8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Other current assets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20" w:type="dxa"/>
            <w:vAlign w:val="bottom"/>
          </w:tcPr>
          <w:p>
            <w:pPr>
              <w:spacing w:after="0"/>
              <w:rPr>
                <w:sz w:val="20"/>
                <w:szCs w:val="20"/>
                <w:color w:val="auto"/>
              </w:rPr>
            </w:pPr>
          </w:p>
        </w:tc>
        <w:tc>
          <w:tcPr>
            <w:tcW w:w="1300" w:type="dxa"/>
            <w:vAlign w:val="bottom"/>
          </w:tcPr>
          <w:p>
            <w:pPr>
              <w:jc w:val="center"/>
              <w:ind w:left="136"/>
              <w:spacing w:after="0"/>
              <w:rPr>
                <w:sz w:val="20"/>
                <w:szCs w:val="20"/>
                <w:color w:val="auto"/>
              </w:rPr>
            </w:pPr>
            <w:r>
              <w:rPr>
                <w:rFonts w:ascii="Times New Roman" w:cs="Times New Roman" w:eastAsia="Times New Roman" w:hAnsi="Times New Roman"/>
                <w:sz w:val="18"/>
                <w:szCs w:val="18"/>
                <w:color w:val="auto"/>
              </w:rPr>
              <w:t>liabilities</w:t>
            </w: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gross and net fair value of derivative assets and liabilities as of September 30, 2026 and December 31, 2025 (in millions):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Offsetting of Derivative Assets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6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 Amounts</w:t>
            </w:r>
          </w:p>
        </w:tc>
        <w:tc>
          <w:tcPr>
            <w:tcW w:w="16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Derivatives not</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As of September 30, 2026</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of Recognized</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Net Amounts</w:t>
            </w:r>
          </w:p>
        </w:tc>
        <w:tc>
          <w:tcPr>
            <w:tcW w:w="0" w:type="dxa"/>
            <w:vAlign w:val="bottom"/>
          </w:tcPr>
          <w:p>
            <w:pPr>
              <w:spacing w:after="0"/>
              <w:rPr>
                <w:sz w:val="1"/>
                <w:szCs w:val="1"/>
                <w:color w:val="auto"/>
              </w:rPr>
            </w:pPr>
          </w:p>
        </w:tc>
      </w:tr>
      <w:tr>
        <w:trPr>
          <w:trHeight w:val="173"/>
        </w:trPr>
        <w:tc>
          <w:tcPr>
            <w:tcW w:w="41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6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180" w:type="dxa"/>
            <w:vAlign w:val="bottom"/>
            <w:tcBorders>
              <w:top w:val="single" w:sz="8" w:color="auto"/>
            </w:tcBorders>
            <w:shd w:val="clear" w:color="auto" w:fill="CCEEFF"/>
          </w:tcPr>
          <w:p>
            <w:pPr>
              <w:ind w:left="60"/>
              <w:spacing w:after="0" w:line="191" w:lineRule="exact"/>
              <w:rPr>
                <w:sz w:val="20"/>
                <w:szCs w:val="20"/>
                <w:color w:val="auto"/>
              </w:rPr>
            </w:pPr>
            <w:r>
              <w:rPr>
                <w:rFonts w:ascii="Times New Roman" w:cs="Times New Roman" w:eastAsia="Times New Roman" w:hAnsi="Times New Roman"/>
                <w:sz w:val="18"/>
                <w:szCs w:val="18"/>
                <w:color w:val="auto"/>
              </w:rPr>
              <w:t>Derivatives subject to a master netting arrangement or</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similar agreement</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513"/>
        </w:trPr>
        <w:tc>
          <w:tcPr>
            <w:tcW w:w="4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180" w:type="dxa"/>
            <w:vAlign w:val="bottom"/>
            <w:shd w:val="clear" w:color="auto" w:fill="CCEEFF"/>
          </w:tcPr>
          <w:p>
            <w:pPr>
              <w:ind w:left="60"/>
              <w:spacing w:after="0" w:line="191" w:lineRule="exact"/>
              <w:rPr>
                <w:sz w:val="20"/>
                <w:szCs w:val="20"/>
                <w:color w:val="auto"/>
              </w:rPr>
            </w:pPr>
            <w:r>
              <w:rPr>
                <w:rFonts w:ascii="Times New Roman" w:cs="Times New Roman" w:eastAsia="Times New Roman" w:hAnsi="Times New Roman"/>
                <w:sz w:val="18"/>
                <w:szCs w:val="18"/>
                <w:color w:val="auto"/>
              </w:rPr>
              <w:t>Derivatives subject to a master netting arrangement or</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similar agreement</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432"/>
        </w:trPr>
        <w:tc>
          <w:tcPr>
            <w:tcW w:w="4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Offsetting of Derivative Liabilities</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41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As of September 30, 2026</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6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Net Amounts</w:t>
            </w:r>
          </w:p>
        </w:tc>
        <w:tc>
          <w:tcPr>
            <w:tcW w:w="1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Derivatives not</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Net Amounts</w:t>
            </w:r>
          </w:p>
        </w:tc>
        <w:tc>
          <w:tcPr>
            <w:tcW w:w="0" w:type="dxa"/>
            <w:vAlign w:val="bottom"/>
          </w:tcPr>
          <w:p>
            <w:pPr>
              <w:spacing w:after="0"/>
              <w:rPr>
                <w:sz w:val="1"/>
                <w:szCs w:val="1"/>
                <w:color w:val="auto"/>
              </w:rPr>
            </w:pPr>
          </w:p>
        </w:tc>
      </w:tr>
      <w:tr>
        <w:trPr>
          <w:trHeight w:val="190"/>
        </w:trPr>
        <w:tc>
          <w:tcPr>
            <w:tcW w:w="4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of Recognized</w:t>
            </w:r>
          </w:p>
        </w:tc>
        <w:tc>
          <w:tcPr>
            <w:tcW w:w="16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Offset in the</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Presented in the</w:t>
            </w:r>
          </w:p>
        </w:tc>
        <w:tc>
          <w:tcPr>
            <w:tcW w:w="16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offset in the</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68" w:orient="portrait"/>
          <w:cols w:equalWidth="0" w:num="1">
            <w:col w:w="11240"/>
          </w:cols>
          <w:pgMar w:left="320" w:top="121" w:right="339" w:bottom="0" w:gutter="0" w:footer="0" w:header="0"/>
        </w:sectPr>
      </w:pPr>
    </w:p>
    <w:bookmarkStart w:id="13" w:name="page14"/>
    <w:bookmarkEnd w:id="13"/>
    <w:p>
      <w:pPr>
        <w:ind w:left="4740"/>
        <w:spacing w:after="0"/>
        <w:rPr>
          <w:sz w:val="20"/>
          <w:szCs w:val="20"/>
          <w:color w:val="auto"/>
        </w:rPr>
      </w:pPr>
      <w:r>
        <w:rPr>
          <w:rFonts w:ascii="Times New Roman" w:cs="Times New Roman" w:eastAsia="Times New Roman" w:hAnsi="Times New Roman"/>
          <w:sz w:val="14"/>
          <w:szCs w:val="14"/>
          <w:b w:val="1"/>
          <w:bCs w:val="1"/>
          <w:color w:val="auto"/>
        </w:rPr>
        <w:t>Liabilities</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Consolidated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Sheet</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Consolidated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Sheet</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Consolidated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Sheet</w:t>
      </w:r>
    </w:p>
    <w:p>
      <w:pPr>
        <w:spacing w:after="0" w:line="96" w:lineRule="exact"/>
        <w:rPr>
          <w:sz w:val="20"/>
          <w:szCs w:val="20"/>
          <w:color w:val="auto"/>
        </w:rPr>
      </w:pPr>
    </w:p>
    <w:p>
      <w:pPr>
        <w:sectPr>
          <w:pgSz w:w="11900" w:h="16838" w:orient="portrait"/>
          <w:cols w:equalWidth="0" w:num="4">
            <w:col w:w="5360" w:space="680"/>
            <w:col w:w="860" w:space="540"/>
            <w:col w:w="860" w:space="560"/>
            <w:col w:w="2380"/>
          </w:cols>
          <w:pgMar w:left="320" w:top="114" w:right="339" w:bottom="0" w:gutter="0" w:footer="0" w:header="0"/>
        </w:sectPr>
      </w:pPr>
    </w:p>
    <w:tbl>
      <w:tblPr>
        <w:tblLayout w:type="fixed"/>
        <w:tblInd w:w="0" w:type="dxa"/>
        <w:tblCellMar>
          <w:top w:w="0" w:type="dxa"/>
          <w:left w:w="0" w:type="dxa"/>
          <w:bottom w:w="0" w:type="dxa"/>
          <w:right w:w="0" w:type="dxa"/>
        </w:tblCellMar>
      </w:tblPr>
      <w:tr>
        <w:trPr>
          <w:trHeight w:val="211"/>
        </w:trPr>
        <w:tc>
          <w:tcPr>
            <w:tcW w:w="41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Derivatives subject to a master netting arrangement or</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234"/>
        </w:trPr>
        <w:tc>
          <w:tcPr>
            <w:tcW w:w="4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similar agreement</w:t>
            </w:r>
          </w:p>
        </w:tc>
        <w:tc>
          <w:tcPr>
            <w:tcW w:w="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513"/>
        </w:trPr>
        <w:tc>
          <w:tcPr>
            <w:tcW w:w="4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6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191"/>
        </w:trPr>
        <w:tc>
          <w:tcPr>
            <w:tcW w:w="4180" w:type="dxa"/>
            <w:vAlign w:val="bottom"/>
            <w:shd w:val="clear" w:color="auto" w:fill="CCEEFF"/>
          </w:tcPr>
          <w:p>
            <w:pPr>
              <w:ind w:left="60"/>
              <w:spacing w:after="0" w:line="191" w:lineRule="exact"/>
              <w:rPr>
                <w:sz w:val="20"/>
                <w:szCs w:val="20"/>
                <w:color w:val="auto"/>
              </w:rPr>
            </w:pPr>
            <w:r>
              <w:rPr>
                <w:rFonts w:ascii="Times New Roman" w:cs="Times New Roman" w:eastAsia="Times New Roman" w:hAnsi="Times New Roman"/>
                <w:sz w:val="18"/>
                <w:szCs w:val="18"/>
                <w:color w:val="auto"/>
              </w:rPr>
              <w:t>Derivatives subject to a master netting arrangement or</w:t>
            </w: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34"/>
        </w:trPr>
        <w:tc>
          <w:tcPr>
            <w:tcW w:w="4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similar agreement</w:t>
            </w:r>
          </w:p>
        </w:tc>
        <w:tc>
          <w:tcPr>
            <w:tcW w:w="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Fair Value Measurements, for the determination of the fair values of derivatives.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Statement Presentation</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location and amount of gains (losses) on derivatives in the Consolidated Statements of Income for the three and nine months ended September 30, 2026 and 2025:</w:t>
      </w:r>
    </w:p>
    <w:p>
      <w:pPr>
        <w:spacing w:after="0" w:line="155"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4"/>
          <w:szCs w:val="14"/>
          <w:b w:val="1"/>
          <w:bCs w:val="1"/>
          <w:color w:val="auto"/>
        </w:rPr>
        <w:t>Amount of Gain Recognized in Income on</w:t>
      </w:r>
    </w:p>
    <w:p>
      <w:pPr>
        <w:jc w:val="center"/>
        <w:ind w:left="5960"/>
        <w:spacing w:after="0"/>
        <w:rPr>
          <w:sz w:val="20"/>
          <w:szCs w:val="20"/>
          <w:color w:val="auto"/>
        </w:rPr>
      </w:pPr>
      <w:r>
        <w:rPr>
          <w:rFonts w:ascii="Times New Roman" w:cs="Times New Roman" w:eastAsia="Times New Roman" w:hAnsi="Times New Roman"/>
          <w:sz w:val="14"/>
          <w:szCs w:val="14"/>
          <w:b w:val="1"/>
          <w:bCs w:val="1"/>
          <w:color w:val="auto"/>
        </w:rPr>
        <w:t>Derivative Contracts (a)</w:t>
      </w:r>
    </w:p>
    <w:tbl>
      <w:tblPr>
        <w:tblLayout w:type="fixed"/>
        <w:tblInd w:w="0" w:type="dxa"/>
        <w:tblCellMar>
          <w:top w:w="0" w:type="dxa"/>
          <w:left w:w="0" w:type="dxa"/>
          <w:bottom w:w="0" w:type="dxa"/>
          <w:right w:w="0" w:type="dxa"/>
        </w:tblCellMar>
      </w:tblPr>
      <w:tr>
        <w:trPr>
          <w:trHeight w:val="142"/>
        </w:trPr>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 of Gain (Loss) Recognized in</w:t>
            </w:r>
          </w:p>
        </w:tc>
        <w:tc>
          <w:tcPr>
            <w:tcW w:w="20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5"/>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Borders>
              <w:top w:val="single" w:sz="8" w:color="auto"/>
            </w:tcBorders>
          </w:tcPr>
          <w:p>
            <w:pPr>
              <w:spacing w:after="0"/>
              <w:rPr>
                <w:sz w:val="12"/>
                <w:szCs w:val="12"/>
                <w:color w:val="auto"/>
              </w:rPr>
            </w:pPr>
          </w:p>
        </w:tc>
        <w:tc>
          <w:tcPr>
            <w:tcW w:w="2400" w:type="dxa"/>
            <w:vAlign w:val="bottom"/>
            <w:tcBorders>
              <w:top w:val="single" w:sz="8" w:color="auto"/>
            </w:tcBorders>
            <w:gridSpan w:val="4"/>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04"/>
        </w:trPr>
        <w:tc>
          <w:tcPr>
            <w:tcW w:w="2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(in millions)</w:t>
            </w:r>
          </w:p>
        </w:tc>
        <w:tc>
          <w:tcPr>
            <w:tcW w:w="3000" w:type="dxa"/>
            <w:vAlign w:val="bottom"/>
            <w:gridSpan w:val="2"/>
            <w:vMerge w:val="continue"/>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vMerge w:val="restart"/>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920" w:type="dxa"/>
            <w:vAlign w:val="bottom"/>
            <w:tcBorders>
              <w:top w:val="single" w:sz="8" w:color="auto"/>
            </w:tcBorders>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vMerge w:val="restart"/>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920" w:type="dxa"/>
            <w:vAlign w:val="bottom"/>
            <w:tcBorders>
              <w:top w:val="single" w:sz="8" w:color="auto"/>
            </w:tcBorders>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73"/>
        </w:trPr>
        <w:tc>
          <w:tcPr>
            <w:tcW w:w="2840" w:type="dxa"/>
            <w:vAlign w:val="bottom"/>
            <w:gridSpan w:val="2"/>
            <w:vMerge w:val="continue"/>
          </w:tcPr>
          <w:p>
            <w:pPr>
              <w:spacing w:after="0"/>
              <w:rPr>
                <w:sz w:val="15"/>
                <w:szCs w:val="15"/>
                <w:color w:val="auto"/>
              </w:rPr>
            </w:pPr>
          </w:p>
        </w:tc>
        <w:tc>
          <w:tcPr>
            <w:tcW w:w="3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on Derivative Contracts</w:t>
            </w:r>
          </w:p>
        </w:tc>
        <w:tc>
          <w:tcPr>
            <w:tcW w:w="2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680" w:type="dxa"/>
            <w:vAlign w:val="bottom"/>
            <w:tcBorders>
              <w:top w:val="single" w:sz="8" w:color="auto"/>
            </w:tcBorders>
            <w:shd w:val="clear" w:color="auto" w:fill="CCEEFF"/>
          </w:tcPr>
          <w:p>
            <w:pPr>
              <w:ind w:left="60"/>
              <w:spacing w:after="0" w:line="191" w:lineRule="exact"/>
              <w:rPr>
                <w:sz w:val="20"/>
                <w:szCs w:val="20"/>
                <w:color w:val="auto"/>
              </w:rPr>
            </w:pPr>
            <w:r>
              <w:rPr>
                <w:rFonts w:ascii="Times New Roman" w:cs="Times New Roman" w:eastAsia="Times New Roman" w:hAnsi="Times New Roman"/>
                <w:sz w:val="18"/>
                <w:szCs w:val="18"/>
                <w:color w:val="auto"/>
              </w:rPr>
              <w:t>Foreign currency exchange</w:t>
            </w:r>
          </w:p>
        </w:tc>
        <w:tc>
          <w:tcPr>
            <w:tcW w:w="160" w:type="dxa"/>
            <w:vAlign w:val="bottom"/>
            <w:tcBorders>
              <w:top w:val="single" w:sz="8" w:color="CCEEFF"/>
            </w:tcBorders>
            <w:shd w:val="clear" w:color="auto" w:fill="CCEEFF"/>
          </w:tcPr>
          <w:p>
            <w:pPr>
              <w:spacing w:after="0"/>
              <w:rPr>
                <w:sz w:val="16"/>
                <w:szCs w:val="16"/>
                <w:color w:val="auto"/>
              </w:rPr>
            </w:pPr>
          </w:p>
        </w:tc>
        <w:tc>
          <w:tcPr>
            <w:tcW w:w="2840" w:type="dxa"/>
            <w:vAlign w:val="bottom"/>
            <w:tcBorders>
              <w:top w:val="single" w:sz="8" w:color="auto"/>
            </w:tcBorders>
            <w:shd w:val="clear" w:color="auto" w:fill="CCEEFF"/>
          </w:tcPr>
          <w:p>
            <w:pPr>
              <w:jc w:val="center"/>
              <w:ind w:left="79"/>
              <w:spacing w:after="0" w:line="191" w:lineRule="exact"/>
              <w:rPr>
                <w:sz w:val="20"/>
                <w:szCs w:val="20"/>
                <w:color w:val="auto"/>
              </w:rPr>
            </w:pPr>
            <w:r>
              <w:rPr>
                <w:rFonts w:ascii="Times New Roman" w:cs="Times New Roman" w:eastAsia="Times New Roman" w:hAnsi="Times New Roman"/>
                <w:sz w:val="18"/>
                <w:szCs w:val="18"/>
                <w:color w:val="auto"/>
              </w:rPr>
              <w:t>Foreign currency exchange gain</w:t>
            </w: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contracts - Ria Operations</w:t>
            </w:r>
          </w:p>
        </w:tc>
        <w:tc>
          <w:tcPr>
            <w:tcW w:w="30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(loss), net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8"/>
        <w:spacing w:after="0" w:line="266" w:lineRule="auto"/>
        <w:tabs>
          <w:tab w:leader="none" w:pos="2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enters into derivative contracts such as foreign currency exchange forwards and cross-currency swaps as part of its Xe operations. These derivative contracts are excluded from this table as they are part of the broader disclosure of foreign currency exchange revenues for this business discussed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Fair Value Measurements, for the determination of the fair values of derivatives.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MEASUREMENTS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Fair value measurements used in the unaudited consolidated financial statements are based upon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20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Level 1 – Unadjusted quoted prices in active markets for identical assets or liabilities.</w:t>
      </w:r>
    </w:p>
    <w:p>
      <w:pPr>
        <w:spacing w:after="0" w:line="27" w:lineRule="exact"/>
        <w:rPr>
          <w:sz w:val="20"/>
          <w:szCs w:val="20"/>
          <w:color w:val="auto"/>
        </w:rPr>
      </w:pPr>
    </w:p>
    <w:p>
      <w:pPr>
        <w:ind w:left="660" w:hanging="8"/>
        <w:spacing w:after="0" w:line="258" w:lineRule="auto"/>
        <w:rPr>
          <w:sz w:val="20"/>
          <w:szCs w:val="20"/>
          <w:color w:val="auto"/>
        </w:rPr>
      </w:pPr>
      <w:r>
        <w:rPr>
          <w:rFonts w:ascii="Times New Roman" w:cs="Times New Roman" w:eastAsia="Times New Roman" w:hAnsi="Times New Roman"/>
          <w:sz w:val="18"/>
          <w:szCs w:val="18"/>
          <w:color w:val="auto"/>
        </w:rPr>
        <w:t>Level 2 – Valuations based on quoted prices for similar assets or liabilities, quoted prices in markets that are not active, or other inputs that are observable or can be corroborated by observable data for substantially the full term of the assets or liabilities.</w:t>
      </w:r>
    </w:p>
    <w:p>
      <w:pPr>
        <w:ind w:left="660" w:hanging="8"/>
        <w:spacing w:after="0" w:line="276" w:lineRule="auto"/>
        <w:rPr>
          <w:sz w:val="20"/>
          <w:szCs w:val="20"/>
          <w:color w:val="auto"/>
        </w:rPr>
      </w:pPr>
      <w:r>
        <w:rPr>
          <w:rFonts w:ascii="Times New Roman" w:cs="Times New Roman" w:eastAsia="Times New Roman" w:hAnsi="Times New Roman"/>
          <w:sz w:val="18"/>
          <w:szCs w:val="18"/>
          <w:color w:val="auto"/>
        </w:rPr>
        <w:t>Level 3 – Unobservable inputs in which little or no market activity exists, therefore requiring an entity to develop its own assumptions about the inputs that market participants would use in pricing.</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financial assets and liabilities measured and recorded at fair value on a recurring basis: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00" w:type="dxa"/>
            <w:vAlign w:val="bottom"/>
            <w:gridSpan w:val="2"/>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880" w:type="dxa"/>
            <w:vAlign w:val="bottom"/>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18"/>
                <w:szCs w:val="18"/>
                <w:color w:val="auto"/>
              </w:rPr>
            </w:pPr>
          </w:p>
        </w:tc>
        <w:tc>
          <w:tcPr>
            <w:tcW w:w="2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Other current assets</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right="716"/>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16"/>
        </w:trPr>
        <w:tc>
          <w:tcPr>
            <w:tcW w:w="3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Marketable securities</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Other current assets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Other current liabilities</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60" w:type="dxa"/>
            <w:vAlign w:val="bottom"/>
          </w:tcPr>
          <w:p>
            <w:pPr>
              <w:spacing w:after="0"/>
              <w:rPr>
                <w:sz w:val="20"/>
                <w:szCs w:val="20"/>
                <w:color w:val="auto"/>
              </w:rPr>
            </w:pPr>
          </w:p>
        </w:tc>
        <w:tc>
          <w:tcPr>
            <w:tcW w:w="880" w:type="dxa"/>
            <w:vAlign w:val="bottom"/>
          </w:tcPr>
          <w:p>
            <w:pPr>
              <w:jc w:val="center"/>
              <w:ind w:right="716"/>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346"/>
        </w:trPr>
        <w:tc>
          <w:tcPr>
            <w:tcW w:w="3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center"/>
              <w:ind w:left="137"/>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400" w:type="dxa"/>
            <w:vAlign w:val="bottom"/>
            <w:gridSpan w:val="2"/>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880" w:type="dxa"/>
            <w:vAlign w:val="bottom"/>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18"/>
                <w:szCs w:val="18"/>
                <w:color w:val="auto"/>
              </w:rPr>
            </w:pPr>
          </w:p>
        </w:tc>
        <w:tc>
          <w:tcPr>
            <w:tcW w:w="2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Other current assets</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right="716"/>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16"/>
        </w:trPr>
        <w:tc>
          <w:tcPr>
            <w:tcW w:w="3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Marketable securities</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Other current liabilities</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60" w:type="dxa"/>
            <w:vAlign w:val="bottom"/>
          </w:tcPr>
          <w:p>
            <w:pPr>
              <w:spacing w:after="0"/>
              <w:rPr>
                <w:sz w:val="20"/>
                <w:szCs w:val="20"/>
                <w:color w:val="auto"/>
              </w:rPr>
            </w:pPr>
          </w:p>
        </w:tc>
        <w:tc>
          <w:tcPr>
            <w:tcW w:w="880" w:type="dxa"/>
            <w:vAlign w:val="bottom"/>
          </w:tcPr>
          <w:p>
            <w:pPr>
              <w:jc w:val="center"/>
              <w:ind w:right="716"/>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bl>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Fair Value Disclosures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amounts of cash and cash equivalents, trade accounts receivable, trade accounts payable and short-term debt obligations approximate fair value due to their short maturities. The carrying value of the Company's revolving credit facility approximates fair value because the interest rate is based on the Secured Overnight Financing Rate ("SOFR"), which resets at various intervals of less than one year.</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convertible notes receivable are accounted for as loans receivable at amortized cost in accordance with Accounting Standards Codification ("ASC") Topic 310, Receivables, and are evaluated for expected credit losses in accordance with ASC Topic 326, Financial Instruments—Credit Losses.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estimates the fair value of the convertible notes receivable using significant unobservable inputs, including assumptions regarding the borrowers' financial condition, expected future cash flows, discount rates and the value of the contractual conversion features. Accordingly, the estimated fair value of the convertible notes receivable is classified as a Level 3 measurement within the fair value hierarchy. As of September 30, 2026, the carrying amount approximates the fair value of the convertible notes receivable were both $89.4 million.</w:t>
      </w:r>
    </w:p>
    <w:p>
      <w:pPr>
        <w:sectPr>
          <w:pgSz w:w="11900" w:h="16838" w:orient="portrait"/>
          <w:cols w:equalWidth="0" w:num="1">
            <w:col w:w="11240"/>
          </w:cols>
          <w:pgMar w:left="320" w:top="114" w:right="339" w:bottom="0" w:gutter="0" w:footer="0" w:header="0"/>
          <w:type w:val="continuous"/>
        </w:sectPr>
      </w:pPr>
    </w:p>
    <w:bookmarkStart w:id="14" w:name="page15"/>
    <w:bookmarkEnd w:id="14"/>
    <w:p>
      <w:pPr>
        <w:spacing w:after="0" w:line="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estimates the fair value of the 2049 Convertible Notes and 2030 Convertible Notes using quoted prices in inactive markets for identical liabilities (Level 2). </w:t>
      </w:r>
      <w:r>
        <w:rPr>
          <w:rFonts w:ascii="Times New Roman" w:cs="Times New Roman" w:eastAsia="Times New Roman" w:hAnsi="Times New Roman"/>
          <w:sz w:val="18"/>
          <w:szCs w:val="18"/>
          <w:color w:val="252525"/>
        </w:rPr>
        <w:t>As of September 30, 2026,</w:t>
      </w:r>
      <w:r>
        <w:rPr>
          <w:rFonts w:ascii="Times New Roman" w:cs="Times New Roman" w:eastAsia="Times New Roman" w:hAnsi="Times New Roman"/>
          <w:sz w:val="18"/>
          <w:szCs w:val="18"/>
          <w:color w:val="auto"/>
        </w:rPr>
        <w:t xml:space="preserve"> the fair values of the 2049 Convertible Notes and 2030 Convertible Notes were $30.3 million and $896.9 million, with carrying values of $33.2 million and $1,000.0 million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Euronet's Chief Executive Officer (CEO) is the Chief Operating Decision Maker (CODM) and is responsible for assessing performance and making resource allocation decisions across the Company's operating segments. The CODM evaluates segment performance primarily based on financial metrics such as revenue, operating income, and other key performance indicators. In making resource allocation decisions, the CODM reviews segment operating income and revenue on a monthly basis to assess profitability and efficiency across segments. Additionally, the CODM considers forecast-to-actual variances in revenue, operating income, and key performance indicators as part of the forecasting process. These measures are used to guide decisions related to capital investments, personnel allocation, and strategic initiatives across the Company’s segments. The CODM also evaluates segment-level profitability and return on assets when making long-term investment decisions and assessing segment performance relative to strategic goals. The accounting policies of the segments are the same as those described in the summary of significant accounting policies.</w:t>
      </w:r>
    </w:p>
    <w:p>
      <w:pPr>
        <w:spacing w:after="0" w:line="1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2026, the Company updated the names of its reportable operating segments to better align with its current business strategy and external communications. The changes were limited to the segment names and did not affect the composition of the reportable operating segments, the manner in which the Chief Operating Decision Maker evaluates segment performance, or the presentation of previously reported segment information. The Company has changed the name of its EFT Processing Segment to Payments Infrastructure and the name of its Money Transfer Segment to Cross-Border Payments. These name changes more accurately reflect the products and services provided by these segments.</w:t>
      </w:r>
    </w:p>
    <w:p>
      <w:pPr>
        <w:spacing w:after="0" w:line="1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Euronet's reportable operating segments have been determined in accordance with ASC Topic 280, Segment Reporting ("ASC 280"). The Company currently operates in the following three reportable operating segments:</w:t>
      </w:r>
    </w:p>
    <w:p>
      <w:pPr>
        <w:spacing w:after="0" w:line="162" w:lineRule="exact"/>
        <w:rPr>
          <w:sz w:val="20"/>
          <w:szCs w:val="20"/>
          <w:color w:val="auto"/>
        </w:rPr>
      </w:pPr>
    </w:p>
    <w:p>
      <w:pPr>
        <w:jc w:val="both"/>
        <w:ind w:firstLine="280"/>
        <w:spacing w:after="0" w:line="258" w:lineRule="auto"/>
        <w:tabs>
          <w:tab w:leader="none" w:pos="47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Payments Infrastructure Segment (formerly EFT Processing Segment), the Company processes transactions for a network of ATMs and POS terminals across Europe, the Middle East, Africa, Asia Pacific and the United States. Euronet provides comprehensive electronic payment solutions consisting of ATM cash withdrawal and deposit services, ATM network participation, outsourced ATM and POS management solutions, credit, debit and prepaid card outsourcing, dynamic currency conversion, domestic and international surcharges and other value added services. Through this segment, the Company also offers a suite of integrated electronic financial transaction software solutions for electronic payment and transaction delivery systems.</w:t>
      </w:r>
    </w:p>
    <w:p>
      <w:pPr>
        <w:spacing w:after="0" w:line="183" w:lineRule="exact"/>
        <w:rPr>
          <w:rFonts w:ascii="Times New Roman" w:cs="Times New Roman" w:eastAsia="Times New Roman" w:hAnsi="Times New Roman"/>
          <w:sz w:val="18"/>
          <w:szCs w:val="18"/>
          <w:color w:val="auto"/>
        </w:rPr>
      </w:pPr>
    </w:p>
    <w:p>
      <w:pPr>
        <w:jc w:val="both"/>
        <w:ind w:firstLine="280"/>
        <w:spacing w:after="0" w:line="266" w:lineRule="auto"/>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epay Segment, Euronet provides distribution, processing and collection services for electronic payment products, and prepaid mobile airtime through a network of POS terminals in Europe, the Middle East, Asia Pacific, North America and South America. The epay Segment also provides vouchers and physical gift fulfillment services in Europe.</w:t>
      </w:r>
    </w:p>
    <w:p>
      <w:pPr>
        <w:spacing w:after="0" w:line="175" w:lineRule="exact"/>
        <w:rPr>
          <w:rFonts w:ascii="Times New Roman" w:cs="Times New Roman" w:eastAsia="Times New Roman" w:hAnsi="Times New Roman"/>
          <w:sz w:val="18"/>
          <w:szCs w:val="18"/>
          <w:color w:val="auto"/>
        </w:rPr>
      </w:pPr>
    </w:p>
    <w:p>
      <w:pPr>
        <w:jc w:val="both"/>
        <w:ind w:firstLine="280"/>
        <w:spacing w:after="0" w:line="254" w:lineRule="auto"/>
        <w:tabs>
          <w:tab w:leader="none" w:pos="47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Cross-Border Payments Segment (formerly Money Transfer Segment), Euronet provides global money transfers and currency exchange information in retail stores, apps, and websites through Ria, Xe and the Dandelion cross-border real-time payments network. Cross-Border Payments offers real-time, cross-border payments to consumers and businesses across more than 200 countries and territories, enabling banks, fintechs and big tech platforms to integrate an international payments solution into their own platforms. Ria offers real-time international money transfers with a special focus on emerging markets. In addition, Ria offers safe and affordable money transfers through a global network of cash locations and online, serving over 20 million customers annually. Xe offers web and app-based currency information and industry-leading consumer and business cross-border money transfer services. Customers can send money, buy property overseas, and execute other international payments via the Xe website or app. Dandelion offers consumer and business transaction processing and fulfillment with alternative payout channels like bank accounts, cash pick-up and mobile wallets. Dandelion powers cross-border payments for Xe and Ria, as well as third party banks, fintechs, and big tech platforms.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Company accounts for non-operating activity, share-based compensation expense, certain intersegment eliminations and the costs of providing corporate and other administrative services in the administrative division, "Corporate Services, Eliminations and Other." These services are not directly identifiable with the Company’s reportable operating segments.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Company's reportable segment results for the three months ended September 30, 2026 and 2025:</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620" w:type="dxa"/>
            <w:vAlign w:val="bottom"/>
            <w:tcBorders>
              <w:bottom w:val="single" w:sz="8" w:color="auto"/>
            </w:tcBorders>
            <w:gridSpan w:val="7"/>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Corporate</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Cross-Border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restart"/>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epay</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Eliminations and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45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w:t>
            </w:r>
          </w:p>
        </w:tc>
        <w:tc>
          <w:tcPr>
            <w:tcW w:w="4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1,161.1</w:t>
            </w:r>
          </w:p>
        </w:tc>
        <w:tc>
          <w:tcPr>
            <w:tcW w:w="0" w:type="dxa"/>
            <w:vAlign w:val="bottom"/>
          </w:tcPr>
          <w:p>
            <w:pPr>
              <w:spacing w:after="0"/>
              <w:rPr>
                <w:sz w:val="1"/>
                <w:szCs w:val="1"/>
                <w:color w:val="auto"/>
              </w:rPr>
            </w:pPr>
          </w:p>
        </w:tc>
      </w:tr>
      <w:tr>
        <w:trPr>
          <w:trHeight w:val="230"/>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 operating costs, exclusive of depreciation</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657.0</w:t>
            </w:r>
          </w:p>
        </w:tc>
        <w:tc>
          <w:tcPr>
            <w:tcW w:w="0" w:type="dxa"/>
            <w:vAlign w:val="bottom"/>
          </w:tcPr>
          <w:p>
            <w:pPr>
              <w:spacing w:after="0"/>
              <w:rPr>
                <w:sz w:val="1"/>
                <w:szCs w:val="1"/>
                <w:color w:val="auto"/>
              </w:rPr>
            </w:pPr>
          </w:p>
        </w:tc>
      </w:tr>
      <w:tr>
        <w:trPr>
          <w:trHeight w:val="256"/>
        </w:trPr>
        <w:tc>
          <w:tcPr>
            <w:tcW w:w="4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Salaries and benefits</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0" w:type="dxa"/>
            <w:vAlign w:val="bottom"/>
          </w:tcPr>
          <w:p>
            <w:pPr>
              <w:spacing w:after="0"/>
              <w:rPr>
                <w:sz w:val="1"/>
                <w:szCs w:val="1"/>
                <w:color w:val="auto"/>
              </w:rPr>
            </w:pPr>
          </w:p>
        </w:tc>
      </w:tr>
      <w:tr>
        <w:trPr>
          <w:trHeight w:val="257"/>
        </w:trPr>
        <w:tc>
          <w:tcPr>
            <w:tcW w:w="4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56"/>
        </w:trPr>
        <w:tc>
          <w:tcPr>
            <w:tcW w:w="46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36"/>
        </w:trPr>
        <w:tc>
          <w:tcPr>
            <w:tcW w:w="4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989.5</w:t>
            </w:r>
          </w:p>
        </w:tc>
        <w:tc>
          <w:tcPr>
            <w:tcW w:w="0" w:type="dxa"/>
            <w:vAlign w:val="bottom"/>
          </w:tcPr>
          <w:p>
            <w:pPr>
              <w:spacing w:after="0"/>
              <w:rPr>
                <w:sz w:val="1"/>
                <w:szCs w:val="1"/>
                <w:color w:val="auto"/>
              </w:rPr>
            </w:pPr>
          </w:p>
        </w:tc>
      </w:tr>
      <w:tr>
        <w:trPr>
          <w:trHeight w:val="236"/>
        </w:trPr>
        <w:tc>
          <w:tcPr>
            <w:tcW w:w="46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7"/>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Corporate</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restart"/>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Cross-Border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epay</w:t>
            </w: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Eliminations and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46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45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10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9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10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11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108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21" w:right="339" w:bottom="0" w:gutter="0" w:footer="0" w:header="0"/>
        </w:sectPr>
      </w:pPr>
    </w:p>
    <w:bookmarkStart w:id="15" w:name="page16"/>
    <w:bookmarkEnd w:id="1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w:t>
            </w:r>
          </w:p>
        </w:tc>
        <w:tc>
          <w:tcPr>
            <w:tcW w:w="5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w:t>
            </w:r>
          </w:p>
        </w:tc>
        <w:tc>
          <w:tcPr>
            <w:tcW w:w="540" w:type="dxa"/>
            <w:vAlign w:val="bottom"/>
            <w:gridSpan w:val="2"/>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1,145.7</w:t>
            </w:r>
          </w:p>
        </w:tc>
        <w:tc>
          <w:tcPr>
            <w:tcW w:w="20" w:type="dxa"/>
            <w:vAlign w:val="bottom"/>
          </w:tcPr>
          <w:p>
            <w:pPr>
              <w:spacing w:after="0"/>
              <w:rPr>
                <w:sz w:val="19"/>
                <w:szCs w:val="19"/>
                <w:color w:val="auto"/>
              </w:rPr>
            </w:pP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 operating costs, exclusive of depreciation</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643.9</w:t>
            </w:r>
          </w:p>
        </w:tc>
        <w:tc>
          <w:tcPr>
            <w:tcW w:w="20" w:type="dxa"/>
            <w:vAlign w:val="bottom"/>
          </w:tcPr>
          <w:p>
            <w:pPr>
              <w:spacing w:after="0"/>
              <w:rPr>
                <w:sz w:val="19"/>
                <w:szCs w:val="19"/>
                <w:color w:val="auto"/>
              </w:rPr>
            </w:pPr>
          </w:p>
        </w:tc>
      </w:tr>
      <w:tr>
        <w:trPr>
          <w:trHeight w:val="229"/>
        </w:trPr>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Salaries and benefits</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20" w:type="dxa"/>
            <w:vAlign w:val="bottom"/>
          </w:tcPr>
          <w:p>
            <w:pPr>
              <w:spacing w:after="0"/>
              <w:rPr>
                <w:sz w:val="19"/>
                <w:szCs w:val="19"/>
                <w:color w:val="auto"/>
              </w:rPr>
            </w:pPr>
          </w:p>
        </w:tc>
      </w:tr>
      <w:tr>
        <w:trPr>
          <w:trHeight w:val="229"/>
        </w:trPr>
        <w:tc>
          <w:tcPr>
            <w:tcW w:w="4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0" w:type="dxa"/>
            <w:vAlign w:val="bottom"/>
          </w:tcPr>
          <w:p>
            <w:pPr>
              <w:spacing w:after="0"/>
              <w:rPr>
                <w:sz w:val="19"/>
                <w:szCs w:val="19"/>
                <w:color w:val="auto"/>
              </w:rPr>
            </w:pPr>
          </w:p>
        </w:tc>
      </w:tr>
      <w:tr>
        <w:trPr>
          <w:trHeight w:val="230"/>
        </w:trPr>
        <w:tc>
          <w:tcPr>
            <w:tcW w:w="4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0" w:type="dxa"/>
            <w:vAlign w:val="bottom"/>
          </w:tcPr>
          <w:p>
            <w:pPr>
              <w:spacing w:after="0"/>
              <w:rPr>
                <w:sz w:val="19"/>
                <w:szCs w:val="19"/>
                <w:color w:val="auto"/>
              </w:rPr>
            </w:pPr>
          </w:p>
        </w:tc>
      </w:tr>
      <w:tr>
        <w:trPr>
          <w:trHeight w:val="209"/>
        </w:trPr>
        <w:tc>
          <w:tcPr>
            <w:tcW w:w="4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950.7</w:t>
            </w:r>
          </w:p>
        </w:tc>
        <w:tc>
          <w:tcPr>
            <w:tcW w:w="20" w:type="dxa"/>
            <w:vAlign w:val="bottom"/>
          </w:tcPr>
          <w:p>
            <w:pPr>
              <w:spacing w:after="0"/>
              <w:rPr>
                <w:sz w:val="18"/>
                <w:szCs w:val="18"/>
                <w:color w:val="auto"/>
              </w:rPr>
            </w:pPr>
          </w:p>
        </w:tc>
      </w:tr>
      <w:tr>
        <w:trPr>
          <w:trHeight w:val="210"/>
        </w:trPr>
        <w:tc>
          <w:tcPr>
            <w:tcW w:w="4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Operating income (loss)</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20" w:type="dxa"/>
            <w:vAlign w:val="bottom"/>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4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4620" w:type="dxa"/>
            <w:vAlign w:val="bottom"/>
            <w:tcBorders>
              <w:bottom w:val="single" w:sz="8" w:color="9A9A9A"/>
            </w:tcBorders>
          </w:tcPr>
          <w:p>
            <w:pPr>
              <w:spacing w:after="0"/>
              <w:rPr>
                <w:sz w:val="19"/>
                <w:szCs w:val="19"/>
                <w:color w:val="auto"/>
              </w:rPr>
            </w:pPr>
          </w:p>
        </w:tc>
        <w:tc>
          <w:tcPr>
            <w:tcW w:w="420" w:type="dxa"/>
            <w:vAlign w:val="bottom"/>
            <w:tcBorders>
              <w:bottom w:val="single" w:sz="8" w:color="9A9A9A"/>
            </w:tcBorders>
          </w:tcPr>
          <w:p>
            <w:pPr>
              <w:spacing w:after="0"/>
              <w:rPr>
                <w:sz w:val="19"/>
                <w:szCs w:val="19"/>
                <w:color w:val="auto"/>
              </w:rPr>
            </w:pPr>
          </w:p>
        </w:tc>
        <w:tc>
          <w:tcPr>
            <w:tcW w:w="8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420" w:type="dxa"/>
            <w:vAlign w:val="bottom"/>
            <w:tcBorders>
              <w:bottom w:val="single" w:sz="8" w:color="9A9A9A"/>
            </w:tcBorders>
          </w:tcPr>
          <w:p>
            <w:pPr>
              <w:spacing w:after="0"/>
              <w:rPr>
                <w:sz w:val="19"/>
                <w:szCs w:val="19"/>
                <w:color w:val="auto"/>
              </w:rPr>
            </w:pPr>
          </w:p>
        </w:tc>
        <w:tc>
          <w:tcPr>
            <w:tcW w:w="80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420" w:type="dxa"/>
            <w:vAlign w:val="bottom"/>
            <w:tcBorders>
              <w:bottom w:val="single" w:sz="8" w:color="9A9A9A"/>
            </w:tcBorders>
          </w:tcPr>
          <w:p>
            <w:pPr>
              <w:spacing w:after="0"/>
              <w:rPr>
                <w:sz w:val="19"/>
                <w:szCs w:val="19"/>
                <w:color w:val="auto"/>
              </w:rPr>
            </w:pPr>
          </w:p>
        </w:tc>
        <w:tc>
          <w:tcPr>
            <w:tcW w:w="80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420" w:type="dxa"/>
            <w:vAlign w:val="bottom"/>
            <w:tcBorders>
              <w:bottom w:val="single" w:sz="8" w:color="9A9A9A"/>
            </w:tcBorders>
          </w:tcPr>
          <w:p>
            <w:pPr>
              <w:spacing w:after="0"/>
              <w:rPr>
                <w:sz w:val="19"/>
                <w:szCs w:val="19"/>
                <w:color w:val="auto"/>
              </w:rPr>
            </w:pPr>
          </w:p>
        </w:tc>
        <w:tc>
          <w:tcPr>
            <w:tcW w:w="8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80" w:type="dxa"/>
            <w:vAlign w:val="bottom"/>
            <w:tcBorders>
              <w:bottom w:val="single" w:sz="8" w:color="9A9A9A"/>
            </w:tcBorders>
          </w:tcPr>
          <w:p>
            <w:pPr>
              <w:spacing w:after="0"/>
              <w:rPr>
                <w:sz w:val="19"/>
                <w:szCs w:val="19"/>
                <w:color w:val="auto"/>
              </w:rPr>
            </w:pPr>
          </w:p>
        </w:tc>
        <w:tc>
          <w:tcPr>
            <w:tcW w:w="88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gridSpan w:val="8"/>
          </w:tcPr>
          <w:p>
            <w:pPr>
              <w:ind w:left="5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Corporate</w:t>
            </w: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Cross-Border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epay</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Eliminations and</w:t>
            </w:r>
          </w:p>
        </w:tc>
        <w:tc>
          <w:tcPr>
            <w:tcW w:w="180" w:type="dxa"/>
            <w:vAlign w:val="bottom"/>
          </w:tcPr>
          <w:p>
            <w:pPr>
              <w:spacing w:after="0"/>
              <w:rPr>
                <w:sz w:val="12"/>
                <w:szCs w:val="12"/>
                <w:color w:val="auto"/>
              </w:rPr>
            </w:pPr>
          </w:p>
        </w:tc>
        <w:tc>
          <w:tcPr>
            <w:tcW w:w="108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45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1,110.4</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1,295.8</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3,281.3</w:t>
            </w:r>
          </w:p>
        </w:tc>
        <w:tc>
          <w:tcPr>
            <w:tcW w:w="0" w:type="dxa"/>
            <w:vAlign w:val="bottom"/>
          </w:tcPr>
          <w:p>
            <w:pPr>
              <w:spacing w:after="0"/>
              <w:rPr>
                <w:sz w:val="1"/>
                <w:szCs w:val="1"/>
                <w:color w:val="auto"/>
              </w:rPr>
            </w:pPr>
          </w:p>
        </w:tc>
      </w:tr>
      <w:tr>
        <w:trPr>
          <w:trHeight w:val="230"/>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 operating costs, exclusive of depreciation</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1,914.0</w:t>
            </w:r>
          </w:p>
        </w:tc>
        <w:tc>
          <w:tcPr>
            <w:tcW w:w="0" w:type="dxa"/>
            <w:vAlign w:val="bottom"/>
          </w:tcPr>
          <w:p>
            <w:pPr>
              <w:spacing w:after="0"/>
              <w:rPr>
                <w:sz w:val="1"/>
                <w:szCs w:val="1"/>
                <w:color w:val="auto"/>
              </w:rPr>
            </w:pPr>
          </w:p>
        </w:tc>
      </w:tr>
      <w:tr>
        <w:trPr>
          <w:trHeight w:val="256"/>
        </w:trPr>
        <w:tc>
          <w:tcPr>
            <w:tcW w:w="4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Salaries and benefits</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0" w:type="dxa"/>
            <w:vAlign w:val="bottom"/>
          </w:tcPr>
          <w:p>
            <w:pPr>
              <w:spacing w:after="0"/>
              <w:rPr>
                <w:sz w:val="1"/>
                <w:szCs w:val="1"/>
                <w:color w:val="auto"/>
              </w:rPr>
            </w:pPr>
          </w:p>
        </w:tc>
      </w:tr>
      <w:tr>
        <w:trPr>
          <w:trHeight w:val="257"/>
        </w:trPr>
        <w:tc>
          <w:tcPr>
            <w:tcW w:w="4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0" w:type="dxa"/>
            <w:vAlign w:val="bottom"/>
          </w:tcPr>
          <w:p>
            <w:pPr>
              <w:spacing w:after="0"/>
              <w:rPr>
                <w:sz w:val="1"/>
                <w:szCs w:val="1"/>
                <w:color w:val="auto"/>
              </w:rPr>
            </w:pPr>
          </w:p>
        </w:tc>
      </w:tr>
      <w:tr>
        <w:trPr>
          <w:trHeight w:val="237"/>
        </w:trPr>
        <w:tc>
          <w:tcPr>
            <w:tcW w:w="4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872.7</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785.2</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1,173.3</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2,900.6</w:t>
            </w:r>
          </w:p>
        </w:tc>
        <w:tc>
          <w:tcPr>
            <w:tcW w:w="0" w:type="dxa"/>
            <w:vAlign w:val="bottom"/>
          </w:tcPr>
          <w:p>
            <w:pPr>
              <w:spacing w:after="0"/>
              <w:rPr>
                <w:sz w:val="1"/>
                <w:szCs w:val="1"/>
                <w:color w:val="auto"/>
              </w:rPr>
            </w:pPr>
          </w:p>
        </w:tc>
      </w:tr>
      <w:tr>
        <w:trPr>
          <w:trHeight w:val="236"/>
        </w:trPr>
        <w:tc>
          <w:tcPr>
            <w:tcW w:w="46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Operating income (expense)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900" w:orient="portrait"/>
          <w:cols w:equalWidth="0" w:num="1">
            <w:col w:w="11260"/>
          </w:cols>
          <w:pgMar w:left="320" w:top="140"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millions)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23" w:lineRule="exact"/>
        <w:rPr>
          <w:sz w:val="20"/>
          <w:szCs w:val="20"/>
          <w:color w:val="auto"/>
        </w:rPr>
      </w:pPr>
    </w:p>
    <w:p>
      <w:pPr>
        <w:ind w:left="100" w:right="320"/>
        <w:spacing w:after="0" w:line="266" w:lineRule="auto"/>
        <w:rPr>
          <w:sz w:val="20"/>
          <w:szCs w:val="20"/>
          <w:color w:val="auto"/>
        </w:rPr>
      </w:pPr>
      <w:r>
        <w:rPr>
          <w:rFonts w:ascii="Times New Roman" w:cs="Times New Roman" w:eastAsia="Times New Roman" w:hAnsi="Times New Roman"/>
          <w:sz w:val="18"/>
          <w:szCs w:val="18"/>
          <w:color w:val="auto"/>
        </w:rPr>
        <w:t>Direct operating costs, exclusive of depreciation Salaries and benefits</w:t>
      </w:r>
    </w:p>
    <w:p>
      <w:pPr>
        <w:ind w:left="100" w:right="1300"/>
        <w:spacing w:after="0" w:line="301" w:lineRule="auto"/>
        <w:rPr>
          <w:sz w:val="20"/>
          <w:szCs w:val="20"/>
          <w:color w:val="auto"/>
        </w:rPr>
      </w:pPr>
      <w:r>
        <w:rPr>
          <w:rFonts w:ascii="Times New Roman" w:cs="Times New Roman" w:eastAsia="Times New Roman" w:hAnsi="Times New Roman"/>
          <w:sz w:val="17"/>
          <w:szCs w:val="17"/>
          <w:color w:val="auto"/>
        </w:rPr>
        <w:t>Selling, general and administrative Depreciation and amortization</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Corporate</w:t>
            </w: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08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Cross-Border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epay</w:t>
            </w: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Eliminations and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160" w:type="dxa"/>
            <w:vAlign w:val="bottom"/>
          </w:tcPr>
          <w:p>
            <w:pPr>
              <w:spacing w:after="0"/>
              <w:rPr>
                <w:sz w:val="15"/>
                <w:szCs w:val="15"/>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980.4</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1,328.0</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3,135.5</w:t>
            </w:r>
          </w:p>
        </w:tc>
        <w:tc>
          <w:tcPr>
            <w:tcW w:w="0" w:type="dxa"/>
            <w:vAlign w:val="bottom"/>
          </w:tcPr>
          <w:p>
            <w:pPr>
              <w:spacing w:after="0"/>
              <w:rPr>
                <w:sz w:val="1"/>
                <w:szCs w:val="1"/>
                <w:color w:val="auto"/>
              </w:rPr>
            </w:pPr>
          </w:p>
        </w:tc>
      </w:tr>
      <w:tr>
        <w:trPr>
          <w:trHeight w:val="434"/>
        </w:trPr>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1,825.5</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0" w:type="dxa"/>
            <w:vAlign w:val="bottom"/>
          </w:tcPr>
          <w:p>
            <w:pPr>
              <w:spacing w:after="0"/>
              <w:rPr>
                <w:sz w:val="1"/>
                <w:szCs w:val="1"/>
                <w:color w:val="auto"/>
              </w:rPr>
            </w:pPr>
          </w:p>
        </w:tc>
      </w:tr>
      <w:tr>
        <w:trPr>
          <w:trHeight w:val="232"/>
        </w:trPr>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-581025</wp:posOffset>
            </wp:positionV>
            <wp:extent cx="71323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-289560</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-880745</wp:posOffset>
            </wp:positionV>
            <wp:extent cx="71323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ectPr>
          <w:pgSz w:w="11900" w:h="16900" w:orient="portrait"/>
          <w:cols w:equalWidth="0" w:num="2">
            <w:col w:w="3900" w:space="720"/>
            <w:col w:w="6640"/>
          </w:cols>
          <w:pgMar w:left="320" w:top="140" w:right="319" w:bottom="0" w:gutter="0" w:footer="0" w:header="0"/>
          <w:type w:val="continuous"/>
        </w:sectPr>
      </w:pPr>
    </w:p>
    <w:tbl>
      <w:tblPr>
        <w:tblLayout w:type="fixed"/>
        <w:tblInd w:w="0" w:type="dxa"/>
        <w:tblCellMar>
          <w:top w:w="0" w:type="dxa"/>
          <w:left w:w="0" w:type="dxa"/>
          <w:bottom w:w="0" w:type="dxa"/>
          <w:right w:w="0" w:type="dxa"/>
        </w:tblCellMar>
      </w:tblPr>
      <w:tr>
        <w:trPr>
          <w:trHeight w:val="192"/>
        </w:trPr>
        <w:tc>
          <w:tcPr>
            <w:tcW w:w="4620" w:type="dxa"/>
            <w:vAlign w:val="bottom"/>
            <w:tcBorders>
              <w:top w:val="single" w:sz="8" w:color="CCEEFF"/>
            </w:tcBorders>
            <w:shd w:val="clear" w:color="auto" w:fill="CCEEFF"/>
          </w:tcPr>
          <w:p>
            <w:pPr>
              <w:ind w:left="260"/>
              <w:spacing w:after="0" w:line="192" w:lineRule="exact"/>
              <w:rPr>
                <w:sz w:val="20"/>
                <w:szCs w:val="20"/>
                <w:color w:val="auto"/>
              </w:rPr>
            </w:pPr>
            <w:r>
              <w:rPr>
                <w:rFonts w:ascii="Times New Roman" w:cs="Times New Roman" w:eastAsia="Times New Roman" w:hAnsi="Times New Roman"/>
                <w:sz w:val="18"/>
                <w:szCs w:val="18"/>
                <w:color w:val="auto"/>
              </w:rPr>
              <w:t>Total operating expenses</w:t>
            </w:r>
          </w:p>
        </w:tc>
        <w:tc>
          <w:tcPr>
            <w:tcW w:w="42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744.4</w:t>
            </w:r>
          </w:p>
        </w:tc>
        <w:tc>
          <w:tcPr>
            <w:tcW w:w="1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745.1</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1,158.0</w:t>
            </w:r>
          </w:p>
        </w:tc>
        <w:tc>
          <w:tcPr>
            <w:tcW w:w="1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gridSpan w:val="2"/>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59.2</w:t>
            </w: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2,706.7</w:t>
            </w:r>
          </w:p>
        </w:tc>
        <w:tc>
          <w:tcPr>
            <w:tcW w:w="20" w:type="dxa"/>
            <w:vAlign w:val="bottom"/>
          </w:tcPr>
          <w:p>
            <w:pPr>
              <w:spacing w:after="0"/>
              <w:rPr>
                <w:sz w:val="16"/>
                <w:szCs w:val="16"/>
                <w:color w:val="auto"/>
              </w:rPr>
            </w:pPr>
          </w:p>
        </w:tc>
      </w:tr>
      <w:tr>
        <w:trPr>
          <w:trHeight w:val="210"/>
        </w:trPr>
        <w:tc>
          <w:tcPr>
            <w:tcW w:w="4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Operating income (expense)</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20" w:type="dxa"/>
            <w:vAlign w:val="bottom"/>
          </w:tcPr>
          <w:p>
            <w:pPr>
              <w:spacing w:after="0"/>
              <w:rPr>
                <w:sz w:val="18"/>
                <w:szCs w:val="18"/>
                <w:color w:val="auto"/>
              </w:rPr>
            </w:pPr>
          </w:p>
        </w:tc>
        <w:tc>
          <w:tcPr>
            <w:tcW w:w="1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20" w:type="dxa"/>
            <w:vAlign w:val="bottom"/>
          </w:tcPr>
          <w:p>
            <w:pPr>
              <w:spacing w:after="0"/>
              <w:rPr>
                <w:sz w:val="18"/>
                <w:szCs w:val="18"/>
                <w:color w:val="auto"/>
              </w:rPr>
            </w:pPr>
          </w:p>
        </w:tc>
        <w:tc>
          <w:tcPr>
            <w:tcW w:w="6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20" w:type="dxa"/>
            <w:vAlign w:val="bottom"/>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4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5860" w:type="dxa"/>
            <w:vAlign w:val="bottom"/>
            <w:tcBorders>
              <w:bottom w:val="single" w:sz="8" w:color="9A9A9A"/>
            </w:tcBorders>
            <w:gridSpan w:val="3"/>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420" w:type="dxa"/>
            <w:vAlign w:val="bottom"/>
            <w:tcBorders>
              <w:bottom w:val="single" w:sz="8" w:color="9A9A9A"/>
            </w:tcBorders>
          </w:tcPr>
          <w:p>
            <w:pPr>
              <w:spacing w:after="0"/>
              <w:rPr>
                <w:sz w:val="19"/>
                <w:szCs w:val="19"/>
                <w:color w:val="auto"/>
              </w:rPr>
            </w:pPr>
          </w:p>
        </w:tc>
        <w:tc>
          <w:tcPr>
            <w:tcW w:w="80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80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66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40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80" w:type="dxa"/>
            <w:vAlign w:val="bottom"/>
            <w:tcBorders>
              <w:bottom w:val="single" w:sz="8" w:color="9A9A9A"/>
            </w:tcBorders>
          </w:tcPr>
          <w:p>
            <w:pPr>
              <w:spacing w:after="0"/>
              <w:rPr>
                <w:sz w:val="19"/>
                <w:szCs w:val="19"/>
                <w:color w:val="auto"/>
              </w:rPr>
            </w:pPr>
          </w:p>
        </w:tc>
        <w:tc>
          <w:tcPr>
            <w:tcW w:w="88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r>
      <w:tr>
        <w:trPr>
          <w:trHeight w:val="648"/>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presents the Company's total assets by reportable segment:</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5"/>
        </w:trPr>
        <w:tc>
          <w:tcPr>
            <w:tcW w:w="4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6"/>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Total Assets as of</w:t>
            </w: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46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 w:type="dxa"/>
            <w:vAlign w:val="bottom"/>
          </w:tcPr>
          <w:p>
            <w:pPr>
              <w:spacing w:after="0"/>
              <w:rPr>
                <w:sz w:val="18"/>
                <w:szCs w:val="18"/>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Infrastructure</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3,013.9</w:t>
            </w:r>
          </w:p>
        </w:tc>
        <w:tc>
          <w:tcPr>
            <w:tcW w:w="20" w:type="dxa"/>
            <w:vAlign w:val="bottom"/>
          </w:tcPr>
          <w:p>
            <w:pPr>
              <w:spacing w:after="0"/>
              <w:rPr>
                <w:sz w:val="18"/>
                <w:szCs w:val="18"/>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epay</w:t>
            </w: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902.7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1,251.5</w:t>
            </w:r>
          </w:p>
        </w:tc>
        <w:tc>
          <w:tcPr>
            <w:tcW w:w="20" w:type="dxa"/>
            <w:vAlign w:val="bottom"/>
          </w:tcPr>
          <w:p>
            <w:pPr>
              <w:spacing w:after="0"/>
              <w:rPr>
                <w:sz w:val="19"/>
                <w:szCs w:val="19"/>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Cross-Border Payments</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1,885.1</w:t>
            </w:r>
          </w:p>
        </w:tc>
        <w:tc>
          <w:tcPr>
            <w:tcW w:w="20" w:type="dxa"/>
            <w:vAlign w:val="bottom"/>
          </w:tcPr>
          <w:p>
            <w:pPr>
              <w:spacing w:after="0"/>
              <w:rPr>
                <w:sz w:val="19"/>
                <w:szCs w:val="19"/>
                <w:color w:val="auto"/>
              </w:rPr>
            </w:pPr>
          </w:p>
        </w:tc>
      </w:tr>
      <w:tr>
        <w:trPr>
          <w:trHeight w:val="230"/>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Corporate Services, Eliminations and Other</w:t>
            </w:r>
          </w:p>
        </w:tc>
        <w:tc>
          <w:tcPr>
            <w:tcW w:w="4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20" w:type="dxa"/>
            <w:vAlign w:val="bottom"/>
          </w:tcPr>
          <w:p>
            <w:pPr>
              <w:spacing w:after="0"/>
              <w:rPr>
                <w:sz w:val="19"/>
                <w:szCs w:val="19"/>
                <w:color w:val="auto"/>
              </w:rPr>
            </w:pPr>
          </w:p>
        </w:tc>
      </w:tr>
      <w:tr>
        <w:trPr>
          <w:trHeight w:val="209"/>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6,054.1</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6,488.7</w:t>
            </w:r>
          </w:p>
        </w:tc>
        <w:tc>
          <w:tcPr>
            <w:tcW w:w="20" w:type="dxa"/>
            <w:vAlign w:val="bottom"/>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-1623695</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-1623695</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6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The following table presents the Company's revenues disaggregated by segment and region. Sales and usage-based taxes are excluded from revenues. The Company believes disaggregation by segment and region best depicts how the nature, amount, timing, and uncertainty of revenue and cash flows are affected by economic factors. The disaggregation of revenues by segment and region is based on management's assessment of segment performance together with allocation of financial resources, both capital and operating support costs, on a segment and regional level. Both segments and regions benefit from synergies achieved through concentration of operations and are influenced by macro-economic, regulatory and political factors in the respective segment and region.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9"/>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8"/>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Cross-</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Cross-Border</w:t>
            </w: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epay</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Border</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epay</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1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4"/>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2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767.2</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582.9</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1,968.1</w:t>
            </w:r>
          </w:p>
        </w:tc>
        <w:tc>
          <w:tcPr>
            <w:tcW w:w="0" w:type="dxa"/>
            <w:vAlign w:val="bottom"/>
          </w:tcPr>
          <w:p>
            <w:pPr>
              <w:spacing w:after="0"/>
              <w:rPr>
                <w:sz w:val="1"/>
                <w:szCs w:val="1"/>
                <w:color w:val="auto"/>
              </w:rPr>
            </w:pPr>
          </w:p>
        </w:tc>
      </w:tr>
      <w:tr>
        <w:trPr>
          <w:trHeight w:val="229"/>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805.5</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0" w:type="dxa"/>
            <w:vAlign w:val="bottom"/>
          </w:tcPr>
          <w:p>
            <w:pPr>
              <w:spacing w:after="0"/>
              <w:rPr>
                <w:sz w:val="1"/>
                <w:szCs w:val="1"/>
                <w:color w:val="auto"/>
              </w:rPr>
            </w:pPr>
          </w:p>
        </w:tc>
      </w:tr>
      <w:tr>
        <w:trPr>
          <w:trHeight w:val="229"/>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Eliminations</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9"/>
        </w:trPr>
        <w:tc>
          <w:tcPr>
            <w:tcW w:w="2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437.9</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1,110.4</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882.2</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1,295.8</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3,281.3</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9"/>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8"/>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Payments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epay</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Cross-Border</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Payments</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epay</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Cross-Border</w:t>
            </w:r>
          </w:p>
        </w:tc>
        <w:tc>
          <w:tcPr>
            <w:tcW w:w="260" w:type="dxa"/>
            <w:vAlign w:val="bottom"/>
          </w:tcPr>
          <w:p>
            <w:pPr>
              <w:spacing w:after="0"/>
              <w:rPr>
                <w:sz w:val="10"/>
                <w:szCs w:val="10"/>
                <w:color w:val="auto"/>
              </w:rPr>
            </w:pPr>
          </w:p>
        </w:tc>
        <w:tc>
          <w:tcPr>
            <w:tcW w:w="76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0"/>
        </w:trPr>
        <w:tc>
          <w:tcPr>
            <w:tcW w:w="21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ectPr>
          <w:pgSz w:w="11900" w:h="16900" w:orient="portrait"/>
          <w:cols w:equalWidth="0" w:num="1">
            <w:col w:w="11260"/>
          </w:cols>
          <w:pgMar w:left="320" w:top="140" w:right="319" w:bottom="0" w:gutter="0" w:footer="0" w:header="0"/>
          <w:type w:val="continuous"/>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9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44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40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715.5</w:t>
            </w:r>
          </w:p>
        </w:tc>
        <w:tc>
          <w:tcPr>
            <w:tcW w:w="44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1,859.3</w:t>
            </w:r>
          </w:p>
        </w:tc>
      </w:tr>
      <w:tr>
        <w:trPr>
          <w:trHeight w:val="229"/>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787.0</w:t>
            </w:r>
          </w:p>
        </w:tc>
      </w:tr>
      <w:tr>
        <w:trPr>
          <w:trHeight w:val="230"/>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w:t>
            </w:r>
          </w:p>
        </w:tc>
      </w:tr>
      <w:tr>
        <w:trPr>
          <w:trHeight w:val="229"/>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r>
      <w:tr>
        <w:trPr>
          <w:trHeight w:val="229"/>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Eliminations</w:t>
            </w:r>
          </w:p>
        </w:tc>
        <w:tc>
          <w:tcPr>
            <w:tcW w:w="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0"/>
        </w:trPr>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409.4</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452.4</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1,145.7</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980.4</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834.0</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1,328.0</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3,135.5</w:t>
            </w:r>
          </w:p>
        </w:tc>
      </w:tr>
      <w:tr>
        <w:trPr>
          <w:trHeight w:val="20"/>
        </w:trPr>
        <w:tc>
          <w:tcPr>
            <w:tcW w:w="1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385"/>
        </w:trPr>
        <w:tc>
          <w:tcPr>
            <w:tcW w:w="1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w w:val="99"/>
              </w:rPr>
              <w:t>24</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effective income tax rate was 28.7% and 34.7% for the three and nine months ended September 30, 2026, compared to 30.6% and 26.8% for the three and nine months ended September 30, 2025.</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effective income tax rate for the three and nine months ended September 30, 2026 was higher than the applicable statutory income tax rate of 21% as a result of certain foreign earnings being subject to higher local statutory tax rates and our U.S. deferred tax activity. The Company's effective income tax rate for the three and nine months ended September 30, 2025 was higher than the applicable statutory income tax rate of 21% as a result of certain of its foreign earnings being subject to higher local statutory tax rates.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2026, the Company had $128.3 million of stand-by letters of credit/bank guarantees issued on the Company's behalf, of which $1.7 million are collateralized by cash deposits held by the respective issuing banks.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certain circumstances, the Company grants guarantees in support of obligations of subsidiaries. As of September 30, 2026, the Company had granted off balance sheet guarantees for cash in various ATM networks amounting to $11.6 million over the terms of the cash supply agreements and performance guarantees amounting to approximately $79.5 million over the terms of agreements with the Company's customers.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Company enters into agreements with commercial counterparties that contain indemnification provisions, the terms of which may vary depending on the negotiated terms of each respective agreement. The amount of such potential obligations is generally not stated in the agreements. The Company's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152" w:lineRule="exact"/>
        <w:rPr>
          <w:sz w:val="20"/>
          <w:szCs w:val="20"/>
          <w:color w:val="auto"/>
        </w:rPr>
      </w:pPr>
    </w:p>
    <w:p>
      <w:pPr>
        <w:ind w:left="660" w:hanging="9"/>
        <w:spacing w:after="0" w:line="255" w:lineRule="auto"/>
        <w:rPr>
          <w:sz w:val="20"/>
          <w:szCs w:val="20"/>
          <w:color w:val="auto"/>
        </w:rPr>
      </w:pPr>
      <w:r>
        <w:rPr>
          <w:rFonts w:ascii="Times New Roman" w:cs="Times New Roman" w:eastAsia="Times New Roman" w:hAnsi="Times New Roman"/>
          <w:sz w:val="18"/>
          <w:szCs w:val="18"/>
          <w:color w:val="auto"/>
        </w:rPr>
        <w:t>In connection with contracts with financial institutions in the Payments Infrastructure Segment, the Company is responsible for managing the damage to ATMs and theft of ATM network cash. As of September 30, 2026, the balance of such cash used in the Company's ATM networks for which the Company was responsible was approximately $867.3 million. The Company and suppliers maintain insurance policies to mitigate this exposure;</w:t>
      </w:r>
    </w:p>
    <w:p>
      <w:pPr>
        <w:spacing w:after="0" w:line="3" w:lineRule="exact"/>
        <w:rPr>
          <w:sz w:val="20"/>
          <w:szCs w:val="20"/>
          <w:color w:val="auto"/>
        </w:rPr>
      </w:pPr>
    </w:p>
    <w:p>
      <w:pPr>
        <w:ind w:left="660" w:hanging="9"/>
        <w:spacing w:after="0" w:line="254" w:lineRule="auto"/>
        <w:rPr>
          <w:sz w:val="20"/>
          <w:szCs w:val="20"/>
          <w:color w:val="auto"/>
        </w:rPr>
      </w:pPr>
      <w:r>
        <w:rPr>
          <w:rFonts w:ascii="Times New Roman" w:cs="Times New Roman" w:eastAsia="Times New Roman" w:hAnsi="Times New Roman"/>
          <w:sz w:val="18"/>
          <w:szCs w:val="18"/>
          <w:color w:val="auto"/>
        </w:rPr>
        <w:t>In connection with contracts with financial institutions in the Payments Infrastructure Segment, the Company is responsible for losses suffered by the Company's customers and other parties as a result of the breach of the Company's computer systems, including in particular, losses arising from fraudulent transactions made using information stolen through the Company's processing systems. The Company maintains insurance policies to mitigate this exposure;</w:t>
      </w:r>
    </w:p>
    <w:p>
      <w:pPr>
        <w:spacing w:after="0" w:line="1" w:lineRule="exact"/>
        <w:rPr>
          <w:sz w:val="20"/>
          <w:szCs w:val="20"/>
          <w:color w:val="auto"/>
        </w:rPr>
      </w:pPr>
    </w:p>
    <w:p>
      <w:pPr>
        <w:ind w:left="660" w:hanging="9"/>
        <w:spacing w:after="0" w:line="255" w:lineRule="auto"/>
        <w:rPr>
          <w:sz w:val="20"/>
          <w:szCs w:val="20"/>
          <w:color w:val="auto"/>
        </w:rPr>
      </w:pPr>
      <w:r>
        <w:rPr>
          <w:rFonts w:ascii="Times New Roman" w:cs="Times New Roman" w:eastAsia="Times New Roman" w:hAnsi="Times New Roman"/>
          <w:sz w:val="18"/>
          <w:szCs w:val="18"/>
          <w:color w:val="auto"/>
        </w:rPr>
        <w:t>In connection with the license of proprietary systems to customers, the Company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1" w:lineRule="exact"/>
        <w:rPr>
          <w:sz w:val="20"/>
          <w:szCs w:val="20"/>
          <w:color w:val="auto"/>
        </w:rPr>
      </w:pPr>
    </w:p>
    <w:p>
      <w:pPr>
        <w:ind w:left="660" w:hanging="9"/>
        <w:spacing w:after="0" w:line="255" w:lineRule="auto"/>
        <w:rPr>
          <w:sz w:val="20"/>
          <w:szCs w:val="20"/>
          <w:color w:val="auto"/>
        </w:rPr>
      </w:pPr>
      <w:r>
        <w:rPr>
          <w:rFonts w:ascii="Times New Roman" w:cs="Times New Roman" w:eastAsia="Times New Roman" w:hAnsi="Times New Roman"/>
          <w:sz w:val="18"/>
          <w:szCs w:val="18"/>
          <w:color w:val="auto"/>
        </w:rPr>
        <w:t>The Company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1" w:lineRule="exact"/>
        <w:rPr>
          <w:sz w:val="20"/>
          <w:szCs w:val="20"/>
          <w:color w:val="auto"/>
        </w:rPr>
      </w:pPr>
    </w:p>
    <w:p>
      <w:pPr>
        <w:jc w:val="right"/>
        <w:ind w:left="660" w:hanging="9"/>
        <w:spacing w:after="0" w:line="253" w:lineRule="auto"/>
        <w:rPr>
          <w:sz w:val="20"/>
          <w:szCs w:val="20"/>
          <w:color w:val="auto"/>
        </w:rPr>
      </w:pPr>
      <w:r>
        <w:rPr>
          <w:rFonts w:ascii="Times New Roman" w:cs="Times New Roman" w:eastAsia="Times New Roman" w:hAnsi="Times New Roman"/>
          <w:sz w:val="18"/>
          <w:szCs w:val="18"/>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of operating units or assets made by the Company, the Company has agreed to indemnify the seller against third party claims made against the seller relating to the operating unit or asset and arising after the closing of the transaction, and (ii) in connection with dispositions made by the Company, the Company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 and</w:t>
      </w:r>
    </w:p>
    <w:p>
      <w:pPr>
        <w:ind w:left="660" w:hanging="9"/>
        <w:spacing w:after="0" w:line="263" w:lineRule="auto"/>
        <w:rPr>
          <w:sz w:val="20"/>
          <w:szCs w:val="20"/>
          <w:color w:val="auto"/>
        </w:rPr>
      </w:pPr>
      <w:r>
        <w:rPr>
          <w:rFonts w:ascii="Times New Roman" w:cs="Times New Roman" w:eastAsia="Times New Roman" w:hAnsi="Times New Roman"/>
          <w:sz w:val="18"/>
          <w:szCs w:val="18"/>
          <w:color w:val="auto"/>
        </w:rPr>
        <w:t>The Company has entered into agreements with certain third parties, including banks that provide fiduciary and other services to the Company or the Company's benefit plans. Under such agreements, the Company has agreed to indemnify such service providers for third-party claims relating to carrying out their respective duties under such agreements.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also required to meet minimum capitalization and cash requirements of various regulatory authorities in the jurisdictions in which the Company has operations. The Company has obtained surety bonds in compliance with money transfer licensing requirements of the applicable governmental authorities.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date, the Company is not aware of any significant claims made by the indemnified parties or third parties to guarantee agreements with the Company and, accordingly, no liabilities were recorded as of September 30, 2026 or December 31,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7780" w:firstLine="8"/>
        <w:spacing w:after="0" w:line="532" w:lineRule="auto"/>
        <w:tabs>
          <w:tab w:leader="none" w:pos="345"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LITIGATION AND CONTINGENCIES Litigation and contingencies</w:t>
      </w:r>
    </w:p>
    <w:p>
      <w:pPr>
        <w:spacing w:after="0" w:line="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From time to time, the Company is a party to legal or regulatory proceedings arising in the ordinary course of the Company's business. Currently, there are no legal proceedings or regulatory findings that management believes, either individually or in the aggregate, would have a material adverse effect on the</w:t>
      </w:r>
    </w:p>
    <w:p>
      <w:pPr>
        <w:sectPr>
          <w:pgSz w:w="11900" w:h="16838" w:orient="portrait"/>
          <w:cols w:equalWidth="0" w:num="1">
            <w:col w:w="11240"/>
          </w:cols>
          <w:pgMar w:left="320" w:top="140" w:right="339" w:bottom="0" w:gutter="0" w:footer="0" w:header="0"/>
        </w:sectPr>
      </w:pPr>
    </w:p>
    <w:bookmarkStart w:id="17" w:name="page18"/>
    <w:bookmarkEnd w:id="17"/>
    <w:p>
      <w:pPr>
        <w:jc w:val="both"/>
        <w:spacing w:after="0" w:line="263" w:lineRule="auto"/>
        <w:rPr>
          <w:sz w:val="20"/>
          <w:szCs w:val="20"/>
          <w:color w:val="auto"/>
        </w:rPr>
      </w:pPr>
      <w:r>
        <w:rPr>
          <w:rFonts w:ascii="Times New Roman" w:cs="Times New Roman" w:eastAsia="Times New Roman" w:hAnsi="Times New Roman"/>
          <w:sz w:val="18"/>
          <w:szCs w:val="18"/>
          <w:color w:val="auto"/>
        </w:rPr>
        <w:t>Company's consolidated financial condition or results of operations. In accordance with U.S. GAAP, the Company records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w:t>
      </w:r>
    </w:p>
    <w:p>
      <w:pPr>
        <w:spacing w:after="0" w:line="4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July 2024, the Company has received multiple differing judicial decisions in the Italian court system addressing withholding taxes on certain agency relationships within the Cross-Border Payments Segment in Italy. The Company had taken the position that the withholding tax is not applicable after consulting with tax advisors and receiving a tax opinion on September 13, 2010. The Company, along with the tax advisors, continue to agree with the Company’s prior conclusion. The Company completed an assessment as required under US GAAP and concluded that it is reasonably possible that a liability has been incurred, but not “probable”. The principal amount of the agent-based withholding tax could be approximately €18.4 million for all open periods, exclusive of potential interest and penalties, if any.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2025, the Company was notified of a fire, resulting in the loss of Malaysian Ringgit notes in the custody of a third-party service provider. The third-party service provider had the risk of loss based on the terms of the contractual arrangement. The bank note balance of approximately $11.0 million was moved to other receivables as of September 30, 2026. At this time the Company has determined that it is probable the bank notes will be recovered from the third-party service provider.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(17) LEASES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enters into operating leases for ATM sites, office spaces, retail stores and equipment. The Company's finance leases are immaterial. Right of use (ROU) assets and lease liabilities are recognized at the lease commencement date based on the present value of the lease payments over the lease terms.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present value of lease payments is determined using the incremental borrowing rate based on information available at the lease commencement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recognizes lease expense for these leases on a straight-line basis over the lease term.</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Most leases include an option to renew, with renewal terms that can extend the lease terms. The exercise of lease renewal options is at the Company's sole discretion. The depreciable life of assets and leasehold improvements are limited by the expected lease terms. The Company also has a unilateral termination right for most of the ATM site leases. Since the Company is not reasonably certain not to exercise termination options, payments for ATM site leases with termination options subject to the short-term lease exemption are expensed in the period incurred and corresponding leases are excluded from the right of use lease asset and lease liability balances. Certain of the Company's lease agreements include variable rental payments based on revenues generated from the use of the leased location and certain leases include rental payments adjusted periodically for inflation. Variable lease payments are recognized when the event, activity or circumstance in the lease agreement on which those payments are assessed occurs and are excluded from the right of use assets and lease liabilities balances. The lease agreements do not contain any material residual value guarantees or material restrictive covenants.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minimum lease payments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non-cancelable operating leases (with initial lease terms in excess of one year) as of September 30, 2026 are:</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of September 30, 2026</w:t>
            </w:r>
          </w:p>
        </w:tc>
        <w:tc>
          <w:tcPr>
            <w:tcW w:w="160" w:type="dxa"/>
            <w:vAlign w:val="bottom"/>
          </w:tcPr>
          <w:p>
            <w:pPr>
              <w:spacing w:after="0"/>
              <w:rPr>
                <w:sz w:val="15"/>
                <w:szCs w:val="15"/>
                <w:color w:val="auto"/>
              </w:rPr>
            </w:pPr>
          </w:p>
        </w:tc>
      </w:tr>
      <w:tr>
        <w:trPr>
          <w:trHeight w:val="209"/>
        </w:trPr>
        <w:tc>
          <w:tcPr>
            <w:tcW w:w="5800" w:type="dxa"/>
            <w:vAlign w:val="bottom"/>
          </w:tcPr>
          <w:p>
            <w:pPr>
              <w:spacing w:after="0"/>
              <w:rPr>
                <w:sz w:val="20"/>
                <w:szCs w:val="20"/>
                <w:color w:val="auto"/>
              </w:rPr>
            </w:pPr>
            <w:r>
              <w:rPr>
                <w:rFonts w:ascii="Times New Roman" w:cs="Times New Roman" w:eastAsia="Times New Roman" w:hAnsi="Times New Roman"/>
                <w:sz w:val="14"/>
                <w:szCs w:val="14"/>
                <w:color w:val="auto"/>
              </w:rPr>
              <w:t>Maturity of Lease Liabilities (in millions)</w:t>
            </w:r>
          </w:p>
        </w:tc>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Operating Leases (1)</w:t>
            </w:r>
          </w:p>
        </w:tc>
      </w:tr>
      <w:tr>
        <w:trPr>
          <w:trHeight w:val="209"/>
        </w:trPr>
        <w:tc>
          <w:tcPr>
            <w:tcW w:w="5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3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6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6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6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3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shd w:val="clear" w:color="auto" w:fill="CCEEFF"/>
          </w:tcPr>
          <w:p>
            <w:pPr>
              <w:spacing w:after="0"/>
              <w:rPr>
                <w:sz w:val="18"/>
                <w:szCs w:val="18"/>
                <w:color w:val="auto"/>
              </w:rPr>
            </w:pPr>
          </w:p>
        </w:tc>
      </w:tr>
      <w:tr>
        <w:trPr>
          <w:trHeight w:val="216"/>
        </w:trPr>
        <w:tc>
          <w:tcPr>
            <w:tcW w:w="5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34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60" w:type="dxa"/>
            <w:vAlign w:val="bottom"/>
            <w:tcBorders>
              <w:bottom w:val="single" w:sz="8" w:color="CCEEFF"/>
            </w:tcBorders>
          </w:tcPr>
          <w:p>
            <w:pPr>
              <w:spacing w:after="0"/>
              <w:rPr>
                <w:sz w:val="18"/>
                <w:szCs w:val="18"/>
                <w:color w:val="auto"/>
              </w:rPr>
            </w:pPr>
          </w:p>
        </w:tc>
      </w:tr>
      <w:tr>
        <w:trPr>
          <w:trHeight w:val="210"/>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34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60" w:type="dxa"/>
            <w:vAlign w:val="bottom"/>
            <w:shd w:val="clear" w:color="auto" w:fill="CCEEFF"/>
          </w:tcPr>
          <w:p>
            <w:pPr>
              <w:spacing w:after="0"/>
              <w:rPr>
                <w:sz w:val="18"/>
                <w:szCs w:val="18"/>
                <w:color w:val="auto"/>
              </w:rPr>
            </w:pPr>
          </w:p>
        </w:tc>
      </w:tr>
      <w:tr>
        <w:trPr>
          <w:trHeight w:val="216"/>
        </w:trPr>
        <w:tc>
          <w:tcPr>
            <w:tcW w:w="5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4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60" w:type="dxa"/>
            <w:vAlign w:val="bottom"/>
            <w:tcBorders>
              <w:bottom w:val="single" w:sz="8" w:color="CCEEFF"/>
            </w:tcBorders>
          </w:tcPr>
          <w:p>
            <w:pPr>
              <w:spacing w:after="0"/>
              <w:rPr>
                <w:sz w:val="18"/>
                <w:szCs w:val="18"/>
                <w:color w:val="auto"/>
              </w:rPr>
            </w:pPr>
          </w:p>
        </w:tc>
      </w:tr>
      <w:tr>
        <w:trPr>
          <w:trHeight w:val="209"/>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5540" w:right="2560" w:hanging="5208"/>
        <w:spacing w:after="0" w:line="532" w:lineRule="auto"/>
        <w:tabs>
          <w:tab w:leader="none" w:pos="63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payments reflect the Company's current fixed obligations under the operating lease agreements.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expense recognized in the Consolidated Statements of Income is summarized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0" w:type="dxa"/>
            <w:vAlign w:val="bottom"/>
          </w:tcPr>
          <w:p>
            <w:pPr>
              <w:spacing w:after="0"/>
              <w:rPr>
                <w:sz w:val="1"/>
                <w:szCs w:val="1"/>
                <w:color w:val="auto"/>
              </w:rPr>
            </w:pPr>
          </w:p>
        </w:tc>
      </w:tr>
      <w:tr>
        <w:trPr>
          <w:trHeight w:val="148"/>
        </w:trPr>
        <w:tc>
          <w:tcPr>
            <w:tcW w:w="2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Lease Expense</w:t>
            </w:r>
          </w:p>
        </w:tc>
        <w:tc>
          <w:tcPr>
            <w:tcW w:w="3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left="15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9"/>
        </w:trPr>
        <w:tc>
          <w:tcPr>
            <w:tcW w:w="2500" w:type="dxa"/>
            <w:vAlign w:val="bottom"/>
            <w:gridSpan w:val="2"/>
            <w:vMerge w:val="continue"/>
          </w:tcPr>
          <w:p>
            <w:pPr>
              <w:spacing w:after="0"/>
              <w:rPr>
                <w:sz w:val="12"/>
                <w:szCs w:val="12"/>
                <w:color w:val="auto"/>
              </w:rPr>
            </w:pPr>
          </w:p>
        </w:tc>
        <w:tc>
          <w:tcPr>
            <w:tcW w:w="32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Income Statement Classification</w:t>
            </w: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5"/>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25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center"/>
              <w:ind w:left="17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left="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3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12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Selling, general and administrative and</w:t>
            </w: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32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 operating costs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13.7</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191"/>
        </w:trPr>
        <w:tc>
          <w:tcPr>
            <w:tcW w:w="23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1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Selling, general and administrative and</w:t>
            </w:r>
          </w:p>
        </w:tc>
        <w:tc>
          <w:tcPr>
            <w:tcW w:w="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3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 operating costs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53.9</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141.5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141.1</w:t>
            </w:r>
          </w:p>
        </w:tc>
        <w:tc>
          <w:tcPr>
            <w:tcW w:w="0" w:type="dxa"/>
            <w:vAlign w:val="bottom"/>
          </w:tcPr>
          <w:p>
            <w:pPr>
              <w:spacing w:after="0"/>
              <w:rPr>
                <w:sz w:val="1"/>
                <w:szCs w:val="1"/>
                <w:color w:val="auto"/>
              </w:rPr>
            </w:pPr>
          </w:p>
        </w:tc>
      </w:tr>
      <w:tr>
        <w:trPr>
          <w:trHeight w:val="229"/>
        </w:trPr>
        <w:tc>
          <w:tcPr>
            <w:tcW w:w="23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expense</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120" w:type="dxa"/>
            <w:vAlign w:val="bottom"/>
            <w:tcBorders>
              <w:top w:val="single" w:sz="8" w:color="auto"/>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67.6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184.0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181.0</w:t>
            </w:r>
          </w:p>
        </w:tc>
        <w:tc>
          <w:tcPr>
            <w:tcW w:w="0" w:type="dxa"/>
            <w:vAlign w:val="bottom"/>
          </w:tcPr>
          <w:p>
            <w:pPr>
              <w:spacing w:after="0"/>
              <w:rPr>
                <w:sz w:val="1"/>
                <w:szCs w:val="1"/>
                <w:color w:val="auto"/>
              </w:rPr>
            </w:pPr>
          </w:p>
        </w:tc>
      </w:tr>
      <w:tr>
        <w:trPr>
          <w:trHeight w:val="20"/>
        </w:trPr>
        <w:tc>
          <w:tcPr>
            <w:tcW w:w="23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460" w:type="dxa"/>
            <w:vAlign w:val="bottom"/>
            <w:gridSpan w:val="9"/>
          </w:tcPr>
          <w:p>
            <w:pPr>
              <w:spacing w:after="0"/>
              <w:rPr>
                <w:sz w:val="20"/>
                <w:szCs w:val="20"/>
                <w:color w:val="auto"/>
              </w:rPr>
            </w:pPr>
            <w:r>
              <w:rPr>
                <w:rFonts w:ascii="Times New Roman" w:cs="Times New Roman" w:eastAsia="Times New Roman" w:hAnsi="Times New Roman"/>
                <w:sz w:val="18"/>
                <w:szCs w:val="18"/>
                <w:color w:val="auto"/>
                <w:w w:val="99"/>
              </w:rPr>
              <w:t>Other information about lease amounts recognized in the consolidated financial statements is summarized as follows: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7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Lease Term and Discount Rate of Operating Leases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0" w:type="dxa"/>
            <w:vAlign w:val="bottom"/>
          </w:tcPr>
          <w:p>
            <w:pPr>
              <w:spacing w:after="0"/>
              <w:rPr>
                <w:sz w:val="1"/>
                <w:szCs w:val="1"/>
                <w:color w:val="auto"/>
              </w:rPr>
            </w:pPr>
          </w:p>
        </w:tc>
      </w:tr>
      <w:tr>
        <w:trPr>
          <w:trHeight w:val="173"/>
        </w:trPr>
        <w:tc>
          <w:tcPr>
            <w:tcW w:w="5780" w:type="dxa"/>
            <w:vAlign w:val="bottom"/>
            <w:tcBorders>
              <w:bottom w:val="single" w:sz="8" w:color="auto"/>
            </w:tcBorders>
            <w:gridSpan w:val="4"/>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57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w w:val="95"/>
              </w:rPr>
              <w:t>4.1%</w:t>
            </w:r>
          </w:p>
        </w:tc>
        <w:tc>
          <w:tcPr>
            <w:tcW w:w="0" w:type="dxa"/>
            <w:vAlign w:val="bottom"/>
          </w:tcPr>
          <w:p>
            <w:pPr>
              <w:spacing w:after="0"/>
              <w:rPr>
                <w:sz w:val="1"/>
                <w:szCs w:val="1"/>
                <w:color w:val="auto"/>
              </w:rPr>
            </w:pPr>
          </w:p>
        </w:tc>
      </w:tr>
      <w:tr>
        <w:trPr>
          <w:trHeight w:val="432"/>
        </w:trPr>
        <w:tc>
          <w:tcPr>
            <w:tcW w:w="70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table presents supplemental cash flow and non-cash information related to leases.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0" w:type="dxa"/>
            <w:vAlign w:val="bottom"/>
          </w:tcPr>
          <w:p>
            <w:pPr>
              <w:spacing w:after="0"/>
              <w:rPr>
                <w:sz w:val="1"/>
                <w:szCs w:val="1"/>
                <w:color w:val="auto"/>
              </w:rPr>
            </w:pPr>
          </w:p>
        </w:tc>
      </w:tr>
      <w:tr>
        <w:trPr>
          <w:trHeight w:val="149"/>
        </w:trPr>
        <w:tc>
          <w:tcPr>
            <w:tcW w:w="2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20" w:type="dxa"/>
            <w:vAlign w:val="bottom"/>
            <w:gridSpan w:val="5"/>
          </w:tcPr>
          <w:p>
            <w:pPr>
              <w:jc w:val="center"/>
              <w:ind w:left="759"/>
              <w:spacing w:after="0" w:line="149" w:lineRule="exact"/>
              <w:rPr>
                <w:sz w:val="20"/>
                <w:szCs w:val="20"/>
                <w:color w:val="auto"/>
              </w:rPr>
            </w:pPr>
            <w:r>
              <w:rPr>
                <w:rFonts w:ascii="Times New Roman" w:cs="Times New Roman" w:eastAsia="Times New Roman" w:hAnsi="Times New Roman"/>
                <w:sz w:val="14"/>
                <w:szCs w:val="14"/>
                <w:b w:val="1"/>
                <w:bCs w:val="1"/>
                <w:color w:val="auto"/>
              </w:rPr>
              <w:t>Ended September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Ended September</w:t>
            </w:r>
          </w:p>
        </w:tc>
        <w:tc>
          <w:tcPr>
            <w:tcW w:w="0" w:type="dxa"/>
            <w:vAlign w:val="bottom"/>
          </w:tcPr>
          <w:p>
            <w:pPr>
              <w:spacing w:after="0"/>
              <w:rPr>
                <w:sz w:val="1"/>
                <w:szCs w:val="1"/>
                <w:color w:val="auto"/>
              </w:rPr>
            </w:pPr>
          </w:p>
        </w:tc>
      </w:tr>
      <w:tr>
        <w:trPr>
          <w:trHeight w:val="173"/>
        </w:trPr>
        <w:tc>
          <w:tcPr>
            <w:tcW w:w="2500" w:type="dxa"/>
            <w:vAlign w:val="bottom"/>
            <w:tcBorders>
              <w:bottom w:val="single" w:sz="8" w:color="auto"/>
            </w:tcBorders>
            <w:gridSpan w:val="2"/>
            <w:vMerge w:val="continue"/>
          </w:tcPr>
          <w:p>
            <w:pPr>
              <w:spacing w:after="0"/>
              <w:rPr>
                <w:sz w:val="15"/>
                <w:szCs w:val="15"/>
                <w:color w:val="auto"/>
              </w:rPr>
            </w:pPr>
          </w:p>
        </w:tc>
        <w:tc>
          <w:tcPr>
            <w:tcW w:w="3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30, 2026</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278"/>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7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Cash paid for amounts included in the measurement of lease liabilities </w:t>
            </w:r>
            <w:r>
              <w:rPr>
                <w:rFonts w:ascii="Times New Roman" w:cs="Times New Roman" w:eastAsia="Times New Roman" w:hAnsi="Times New Roman"/>
                <w:sz w:val="18"/>
                <w:szCs w:val="18"/>
                <w:i w:val="1"/>
                <w:iCs w:val="1"/>
                <w:color w:val="auto"/>
              </w:rPr>
              <w:t>(a)</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Supplemental non-cash information on lease liabilities arising from obtaining ROU assets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Borders>
              <w:bottom w:val="single" w:sz="8" w:color="auto"/>
            </w:tcBorders>
            <w:gridSpan w:val="4"/>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ROU assets obtained in exchange for new operating lease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5540" w:right="2540" w:hanging="5208"/>
        <w:spacing w:after="0" w:line="472" w:lineRule="auto"/>
        <w:tabs>
          <w:tab w:leader="none" w:pos="593"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Included in Net cash provided by operating activities on the Company's Consolidated Statements of Cash Flows. </w:t>
      </w: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"Euronet," the "Company," "we" and "us" as used herein refer to Euronet Worldwide, Inc. and its subsidiaries.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ectPr>
          <w:pgSz w:w="11900" w:h="16838" w:orient="portrait"/>
          <w:cols w:equalWidth="0" w:num="1">
            <w:col w:w="11240"/>
          </w:cols>
          <w:pgMar w:left="320" w:top="117" w:right="339" w:bottom="6" w:gutter="0" w:footer="0" w:header="0"/>
        </w:sectPr>
      </w:pPr>
    </w:p>
    <w:bookmarkStart w:id="19" w:name="page20"/>
    <w:bookmarkEnd w:id="19"/>
    <w:p>
      <w:pPr>
        <w:jc w:val="both"/>
        <w:spacing w:after="0" w:line="258" w:lineRule="auto"/>
        <w:rPr>
          <w:sz w:val="20"/>
          <w:szCs w:val="20"/>
          <w:color w:val="auto"/>
        </w:rPr>
      </w:pPr>
      <w:r>
        <w:rPr>
          <w:rFonts w:ascii="Times New Roman" w:cs="Times New Roman" w:eastAsia="Times New Roman" w:hAnsi="Times New Roman"/>
          <w:sz w:val="18"/>
          <w:szCs w:val="18"/>
          <w:color w:val="auto"/>
        </w:rPr>
        <w:t>This report contains statements that constitute forward-looking statements within the meaning of section 27A of the Securities Act of 1933 and section 21E of the Securities Exchange Act of 1934 (“Exchange Act”). Generally, the words "believe," "expect," "anticipate," "intend," "estimate," "will" and similar expressions identify forward-looking statements. However, the absence of these words or similar expressions does not mean the statement is not forward-looking. All statements other than statements of historical facts included in this document are forward-looking statements, including, but not limited to, statements regarding the following:</w:t>
      </w:r>
    </w:p>
    <w:p>
      <w:pPr>
        <w:spacing w:after="0" w:line="1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business plans and financing plans and requirements;</w:t>
      </w:r>
    </w:p>
    <w:p>
      <w:pPr>
        <w:spacing w:after="0" w:line="27" w:lineRule="exact"/>
        <w:rPr>
          <w:sz w:val="20"/>
          <w:szCs w:val="20"/>
          <w:color w:val="auto"/>
        </w:rPr>
      </w:pPr>
    </w:p>
    <w:p>
      <w:pPr>
        <w:ind w:left="640" w:right="5320"/>
        <w:spacing w:after="0" w:line="266" w:lineRule="auto"/>
        <w:rPr>
          <w:sz w:val="20"/>
          <w:szCs w:val="20"/>
          <w:color w:val="auto"/>
        </w:rPr>
      </w:pPr>
      <w:r>
        <w:rPr>
          <w:rFonts w:ascii="Times New Roman" w:cs="Times New Roman" w:eastAsia="Times New Roman" w:hAnsi="Times New Roman"/>
          <w:sz w:val="18"/>
          <w:szCs w:val="18"/>
          <w:color w:val="auto"/>
        </w:rPr>
        <w:t>trends affecting our business plans and financing plans and requirements; trends affecting our business;</w:t>
      </w:r>
    </w:p>
    <w:p>
      <w:pPr>
        <w:ind w:left="640" w:right="5000"/>
        <w:spacing w:after="0" w:line="266" w:lineRule="auto"/>
        <w:rPr>
          <w:sz w:val="20"/>
          <w:szCs w:val="20"/>
          <w:color w:val="auto"/>
        </w:rPr>
      </w:pPr>
      <w:r>
        <w:rPr>
          <w:rFonts w:ascii="Times New Roman" w:cs="Times New Roman" w:eastAsia="Times New Roman" w:hAnsi="Times New Roman"/>
          <w:sz w:val="18"/>
          <w:szCs w:val="18"/>
          <w:color w:val="auto"/>
        </w:rPr>
        <w:t>the adequacy of capital to meet our capital requirements and expansion plans; the assumptions underlying our business plans;</w:t>
      </w:r>
    </w:p>
    <w:p>
      <w:pPr>
        <w:ind w:left="640" w:right="8080"/>
        <w:spacing w:after="0" w:line="266" w:lineRule="auto"/>
        <w:rPr>
          <w:sz w:val="20"/>
          <w:szCs w:val="20"/>
          <w:color w:val="auto"/>
        </w:rPr>
      </w:pPr>
      <w:r>
        <w:rPr>
          <w:rFonts w:ascii="Times New Roman" w:cs="Times New Roman" w:eastAsia="Times New Roman" w:hAnsi="Times New Roman"/>
          <w:sz w:val="18"/>
          <w:szCs w:val="18"/>
          <w:color w:val="auto"/>
        </w:rPr>
        <w:t>our ability to repay indebtedness; our estimated capital expenditures;</w:t>
      </w:r>
    </w:p>
    <w:p>
      <w:pPr>
        <w:ind w:left="480"/>
        <w:spacing w:after="0"/>
        <w:rPr>
          <w:sz w:val="20"/>
          <w:szCs w:val="20"/>
          <w:color w:val="auto"/>
        </w:rPr>
      </w:pPr>
      <w:r>
        <w:rPr>
          <w:rFonts w:ascii="Times New Roman" w:cs="Times New Roman" w:eastAsia="Times New Roman" w:hAnsi="Times New Roman"/>
          <w:sz w:val="18"/>
          <w:szCs w:val="18"/>
          <w:color w:val="auto"/>
        </w:rPr>
        <w:t>the potential outcome of loss contingencies;</w:t>
      </w:r>
    </w:p>
    <w:p>
      <w:pPr>
        <w:spacing w:after="0" w:line="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expectations regarding the closing of any pending acquisitions;</w:t>
      </w:r>
    </w:p>
    <w:p>
      <w:pPr>
        <w:spacing w:after="0" w:line="22" w:lineRule="exact"/>
        <w:rPr>
          <w:sz w:val="20"/>
          <w:szCs w:val="20"/>
          <w:color w:val="auto"/>
        </w:rPr>
      </w:pPr>
    </w:p>
    <w:p>
      <w:pPr>
        <w:ind w:left="640" w:right="3680"/>
        <w:spacing w:after="0" w:line="266" w:lineRule="auto"/>
        <w:rPr>
          <w:sz w:val="20"/>
          <w:szCs w:val="20"/>
          <w:color w:val="auto"/>
        </w:rPr>
      </w:pPr>
      <w:r>
        <w:rPr>
          <w:rFonts w:ascii="Times New Roman" w:cs="Times New Roman" w:eastAsia="Times New Roman" w:hAnsi="Times New Roman"/>
          <w:sz w:val="18"/>
          <w:szCs w:val="18"/>
          <w:color w:val="auto"/>
        </w:rPr>
        <w:t>our ability to successfully integrate acquired businesses and to realize any anticipated synergies; business strategy;</w:t>
      </w:r>
    </w:p>
    <w:p>
      <w:pPr>
        <w:ind w:left="480"/>
        <w:spacing w:after="0"/>
        <w:rPr>
          <w:sz w:val="20"/>
          <w:szCs w:val="20"/>
          <w:color w:val="auto"/>
        </w:rPr>
      </w:pPr>
      <w:r>
        <w:rPr>
          <w:rFonts w:ascii="Times New Roman" w:cs="Times New Roman" w:eastAsia="Times New Roman" w:hAnsi="Times New Roman"/>
          <w:sz w:val="18"/>
          <w:szCs w:val="18"/>
          <w:color w:val="auto"/>
        </w:rPr>
        <w:t>government regulatory action;</w:t>
      </w:r>
    </w:p>
    <w:p>
      <w:pPr>
        <w:spacing w:after="0" w:line="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expected effects of changes in laws or accounting standards;</w:t>
      </w:r>
    </w:p>
    <w:p>
      <w:pPr>
        <w:spacing w:after="0" w:line="22" w:lineRule="exact"/>
        <w:rPr>
          <w:sz w:val="20"/>
          <w:szCs w:val="20"/>
          <w:color w:val="auto"/>
        </w:rPr>
      </w:pPr>
    </w:p>
    <w:p>
      <w:pPr>
        <w:ind w:left="640" w:right="5100"/>
        <w:spacing w:after="0" w:line="266" w:lineRule="auto"/>
        <w:rPr>
          <w:sz w:val="20"/>
          <w:szCs w:val="20"/>
          <w:color w:val="auto"/>
        </w:rPr>
      </w:pPr>
      <w:r>
        <w:rPr>
          <w:rFonts w:ascii="Times New Roman" w:cs="Times New Roman" w:eastAsia="Times New Roman" w:hAnsi="Times New Roman"/>
          <w:sz w:val="18"/>
          <w:szCs w:val="18"/>
          <w:color w:val="auto"/>
        </w:rPr>
        <w:t>the impact of pandemics on our results of operations and financial positions; technological advances; and</w:t>
      </w:r>
    </w:p>
    <w:p>
      <w:pPr>
        <w:ind w:left="480"/>
        <w:spacing w:after="0"/>
        <w:rPr>
          <w:sz w:val="20"/>
          <w:szCs w:val="20"/>
          <w:color w:val="auto"/>
        </w:rPr>
      </w:pPr>
      <w:r>
        <w:rPr>
          <w:rFonts w:ascii="Times New Roman" w:cs="Times New Roman" w:eastAsia="Times New Roman" w:hAnsi="Times New Roman"/>
          <w:sz w:val="18"/>
          <w:szCs w:val="18"/>
          <w:color w:val="auto"/>
        </w:rPr>
        <w:t>projected costs and revenues.</w:t>
      </w:r>
    </w:p>
    <w:p>
      <w:pPr>
        <w:spacing w:after="0" w:line="2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we believe that the expectations reflected in these forward-looking statements are reasonable, we can give no assurance that these expectations will prove to be correct.</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the Company’s ability to retain customers and retain and hire key personnel and maintain relationships with their suppliers and customers, and on their operating results and businesses generally; the risk of rating agency actions and the Company’s ability to access short- and long-term debt markets on a timely and affordable basis; conditions in world financial markets and general economic conditions, including impacts from pandemics or other disease outbreaks; inflation; tariffs; military conflicts in Ukraine and the Middle East and the related economic sanctions and supply disruptions; our ability to successfully integrate any acquired operations; economic conditions in specific countries and regions; technological developments, including artificial intelligence, affecting the market for our products and services; our ability to successfully introduce new products and services; foreign currency exchange rate fluctuations; the effects of any breach of our computer systems or those of our customers or vendors, including our financial processing networks or those of other third parties; interruptions in any of our systems or those of our vendors or other third parties; our ability to renew existing contracts at profitable rates; changes in fees payable for transactions performed for cards bearing international logos or over switching networks such as card transactions on ATMs; our ability to comply with increasingly stringent regulatory requirements, including anti-money laundering, anti-terrorism, anti-bribery, sanctions, consumer and data protection and privacy and the EU’s General Data Protection Regulation and Second Revised Payment Service Directive requirements; changes in laws and regulations affecting our business, including tax and immigration laws and any laws regulating payments, including dynamic currency conversion transactions, stablecoins and digital currencies; changes in our relationships with, or in fees charged by, our business partners; competition; the outcome of claims and other loss contingencies affecting Euronet; the cost of borrowing (including fluctuations in interest rates), availability of credit and terms of and compliance with debt covenants; and renewal of sources of funding as they expire and the availability of replacement funding. These risks and other risks are described in the Company's filings with the Securities and Exchange Commission, including our Annual Report on Form 10-K, Quarterly Reports on Form 10-Q and Current Reports on Form 8-K. Copies of these filings may be obtained via the SEC's Edgar website or by contacting the Company. Any forward-looking statements made in this Form 10-Q speak only as of the date of this report. Except as required by law, we do not intend, and do not undertake any obligation, to update any forward-looking statements to reflect future events or circumstances after the date of such statements.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 GEOGRAPHIC LOCATIONS AND PRINCIPAL PRODUCTS AND SERVICES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Euronet is a leading global financial technology solutions and payments provider. We offer payment and transaction processing and distribution solutions to financial institutions, retailers, service providers and individual consumers. Our primary product offerings include comprehensive ATM, point-of-sale ("POS"), card outsourcing, card issuing and merchant acquiring services, software solutions, electronic distribution of prepaid mobile airtime, managed services and other electronic payment products, foreign currency exchange services and global money transfer services. In May 2026, the Company changed the name of the EFT Processing Segment to Payments Infrastructure and the name of the Money Transfer Segment to Cross-Border Payments in order to more accurately reflect the products and services provided by these segments. We operate in the following three segments:</w:t>
      </w:r>
    </w:p>
    <w:p>
      <w:pPr>
        <w:spacing w:after="0" w:line="187" w:lineRule="exact"/>
        <w:rPr>
          <w:sz w:val="20"/>
          <w:szCs w:val="20"/>
          <w:color w:val="auto"/>
        </w:rPr>
      </w:pPr>
    </w:p>
    <w:p>
      <w:pPr>
        <w:jc w:val="both"/>
        <w:ind w:firstLine="8"/>
        <w:spacing w:after="0" w:line="258" w:lineRule="auto"/>
        <w:tabs>
          <w:tab w:leader="none" w:pos="25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Payments Infrastructure Segment (PI) meets the needs of financial institutions and consumers through Euronet-owned and outsourced ATMs and POS terminals combined with value added and transaction processing services. We deploy and operate our own ATMs, providing ATM services for financial institutions and providing electronic payment processing solutions. Payments Infrastructure offers a suite of integrated electronic financial transaction software solutions for electronic payment and transaction delivery systems. Transactions processed span a network of 58,420 active ATMs and approximately 685,000 POS terminals. PI operates in 70 countries.</w:t>
      </w:r>
    </w:p>
    <w:p>
      <w:pPr>
        <w:spacing w:after="0" w:line="183" w:lineRule="exact"/>
        <w:rPr>
          <w:rFonts w:ascii="Times New Roman" w:cs="Times New Roman" w:eastAsia="Times New Roman" w:hAnsi="Times New Roman"/>
          <w:sz w:val="18"/>
          <w:szCs w:val="18"/>
          <w:color w:val="auto"/>
        </w:rPr>
      </w:pPr>
    </w:p>
    <w:p>
      <w:pPr>
        <w:jc w:val="both"/>
        <w:ind w:firstLine="8"/>
        <w:spacing w:after="0" w:line="258" w:lineRule="auto"/>
        <w:tabs>
          <w:tab w:leader="none" w:pos="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epay Segment provides retail payment solutions and delivers innovative connections between the digital content of the world’s leading brands and consumers. epay has one of the largest retail networks across Europe and Asia for the distribution of physical and digital third-party content, including branded payments, mobile, and alternative payments, partnering with 1,000+ of the world’s leading brands. In addition, through our own products, we have leveraged our technology to solve business challenges, delivering scalable solutions to drive efficiency and effectiveness. Our comprehensive range of consumer products simplifies transactions and provides financial convenience across a wide range of branded payments. epay operates in 66 countries. We</w:t>
      </w:r>
    </w:p>
    <w:p>
      <w:pPr>
        <w:sectPr>
          <w:pgSz w:w="11900" w:h="16838" w:orient="portrait"/>
          <w:cols w:equalWidth="0" w:num="1">
            <w:col w:w="11240"/>
          </w:cols>
          <w:pgMar w:left="320" w:top="121" w:right="339" w:bottom="0" w:gutter="0" w:footer="0" w:header="0"/>
        </w:sectPr>
      </w:pPr>
    </w:p>
    <w:bookmarkStart w:id="20" w:name="page21"/>
    <w:bookmarkEnd w:id="20"/>
    <w:p>
      <w:pPr>
        <w:spacing w:after="0" w:line="282" w:lineRule="auto"/>
        <w:rPr>
          <w:sz w:val="20"/>
          <w:szCs w:val="20"/>
          <w:color w:val="auto"/>
        </w:rPr>
      </w:pPr>
      <w:r>
        <w:rPr>
          <w:rFonts w:ascii="Times New Roman" w:cs="Times New Roman" w:eastAsia="Times New Roman" w:hAnsi="Times New Roman"/>
          <w:sz w:val="18"/>
          <w:szCs w:val="18"/>
          <w:color w:val="auto"/>
        </w:rPr>
        <w:t>operate a network that includes approximately 736,000 POS terminals that enable electronic processing of prepaid mobile airtime "top-up" services and other digital media content.</w:t>
      </w:r>
    </w:p>
    <w:p>
      <w:pPr>
        <w:spacing w:after="0" w:line="162" w:lineRule="exact"/>
        <w:rPr>
          <w:sz w:val="20"/>
          <w:szCs w:val="20"/>
          <w:color w:val="auto"/>
        </w:rPr>
      </w:pPr>
    </w:p>
    <w:p>
      <w:pPr>
        <w:jc w:val="both"/>
        <w:ind w:firstLine="8"/>
        <w:spacing w:after="0" w:line="253" w:lineRule="auto"/>
        <w:tabs>
          <w:tab w:leader="none" w:pos="26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Cross-Border Payments Segment (CBP) provides global money transfers and currency exchange information in retail stores, apps, and websites through Ria, Xe and the Dandelion cross-border real-time payments network. Euronet’s Cross-Border Payments Segment offers real-time, cross-border payments to consumers and businesses across 199 countries and territories, enabling banks, fintechs and big tech platforms to integrate an international payments solution into their own platforms. Ria offers real-time international money transfers with a special focus on emerging markets. In addition, Ria offers safe and affordable money transfers through a global network of cash locations and online, serving over 20 million customers annually. Xe offers web and app-based currency information and industry-leading consumer and business cross-border money transfer services. Customers can send money, buy property overseas, and execute other international payments via the Xe website or app. Dandelion offers consumer and business transaction processing and fulfillment with alternative payout channels like bank accounts, cash pick-up and mobile wallets. Dandelion powers cross-border payments for Xe and Ria, as well as third party banks, fintechs, and big tech platforms. CBP has digital connections to 4.1 billion bank accounts and 3.5 billion digital wallet accounts.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2026, the Company updated the names of its reportable operating segments to better align with its current business strategy and external communications. These changes were limited to the segment names and did not affect the composition of the reportable operating segments, the manner in which management evaluates segment performance, or previously reported financial information.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executive offices are located in Leawood, Kansas, USA. With approximately 77% of our revenues denominated in currencies other than the U.S. dollar, any significant changes in foreign currency exchange rates will likely have a significant impact on our results of operations (for a further discussion, see Item 1A - Risk Factors in our Annual Report on Form 10-K for the year ended December 31,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REVENUES AND CASH FLOW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Euronet earns revenues and income primarily from ATM management fees, transaction fees, commissions and foreign currency exchange margin. Each operating segment’s sources of revenues are described below.</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Payments Infrastructure Segment </w:t>
      </w:r>
      <w:r>
        <w:rPr>
          <w:rFonts w:ascii="Times New Roman" w:cs="Times New Roman" w:eastAsia="Times New Roman" w:hAnsi="Times New Roman"/>
          <w:sz w:val="18"/>
          <w:szCs w:val="18"/>
          <w:color w:val="auto"/>
        </w:rPr>
        <w:t>— Revenues in the PI Segment, which represented approximately 38% and 34% of total consolidated revenues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and nine months ended September 30, 2026 are derived from fees charged for transactions made by cardholders on our proprietary network of ATMs, fixed management fees and transaction fees we charge to customers for operating ATMs and processing debit and credit cards under outsourcing and cross-border acquiring agreements, foreign currency exchange margin on DCC transactions, domestic and international surcharge, foreign currency dispensing and other value added services such as advertising, prepaid telecommunication recharges, bill payment, and money transfers provided over ATMs. Revenues in this segment are also derived from cardless payment, banknote recycling, tax refund services, license fees, professional services and maintenance fees for proprietary application software and sales of related hardware.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epay Segment </w:t>
      </w:r>
      <w:r>
        <w:rPr>
          <w:rFonts w:ascii="Times New Roman" w:cs="Times New Roman" w:eastAsia="Times New Roman" w:hAnsi="Times New Roman"/>
          <w:sz w:val="18"/>
          <w:szCs w:val="18"/>
          <w:color w:val="auto"/>
        </w:rPr>
        <w:t>— Revenues in the epay Segment, which represented approximately 25% and 27% of total consolidated revenues for the three and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2026 are primarily derived from commissions or processing fees received from mobile phone operators for the processing and distribution of prepaid mobile airtime and commissions earned from the distribution of other electronic content, vouchers, and physical gifts. The proportion of epay Segment revenues earned from the distribution of prepaid mobile phone time has decreased over time, and digital media content now produces approximately 77% of epay Segment revenues. Digital media content offered by this segment includes digital content such as music, games, and software, as well as other products including prepaid long distance calling card plans, prepaid Internet plans, prepaid debit cards, gift cards, vouchers, transport payments, lottery payments, bill payment, and money transfer.</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Cross-Border Payments Segment </w:t>
      </w:r>
      <w:r>
        <w:rPr>
          <w:rFonts w:ascii="Times New Roman" w:cs="Times New Roman" w:eastAsia="Times New Roman" w:hAnsi="Times New Roman"/>
          <w:sz w:val="18"/>
          <w:szCs w:val="18"/>
          <w:color w:val="auto"/>
        </w:rPr>
        <w:t>— Revenues in the CBP Segment, which represented approximately 37% and 39% of total consolidated revenues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and nine months ended September 30, 2026, are primarily derived from transaction fees, as well as the margin earned from purchasing foreign currency at wholesale exchange rates and selling the foreign currency to customers at retail exchange rates. We have a sending agent network in place comprised of agents, customer service representatives, Company-owned stores, primarily in North America, Europe and Malaysia, Ria, and Xe branded websites, along with a worldwide network of correspondent agents, consisting primarily of financial institutions in the transfer destination countries. Under the brand "Dandelion", Ria offers payment processing services to third party partners. The Dandelion cross-border payments platform provides financial institutions, fintechs such as digital wallets and banks, and enterprise software companies access to Euronet's money transfer network through an API connection. Sending and correspondent agents each earn fees for cash collection and distribution services, which are recognized as direct operating costs at the time of sale. More recently, the U.S. outbound remittance market has experienced lower transaction volumes due to changes in U.S. immigration policies and the implementation of the U.S. remittance tax, which have affected certain remittance corridors. While these market-wide dynamics have impacted retail transaction volumes, the Company continues to experience strong growth in its digital business, expand its payment network and invest in initiatives designed to support long-term growth.</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Corporate Services, Eliminations and Other </w:t>
      </w:r>
      <w:r>
        <w:rPr>
          <w:rFonts w:ascii="Times New Roman" w:cs="Times New Roman" w:eastAsia="Times New Roman" w:hAnsi="Times New Roman"/>
          <w:sz w:val="18"/>
          <w:szCs w:val="18"/>
          <w:color w:val="auto"/>
        </w:rPr>
        <w:t>— In addition to operating in our principal operating segments described above, our “Corporate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Eliminations and Other” category includes non-operating activity, certain inter-segment eliminations and the cost of providing corporate and other administrative services to the operating segments, including most share-based compensation expense. These services are not directly identifiable with our reportable operating segments.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Opportunities and Challenges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global product markets in which we operate are large and fragmented, which poses both opportunities and challenges for our technology to disrupt new and existing competition. As an organization, our focus is on increasing our market presence through both physical (ATMs, POS terminals, Company stores and agent correspondents) and digital assets and providing new and improved products and services for customers through all of our channels, which may in turn drive an increase in the number of transactions on our networks. Each of these opportunities also presents us with challenges, including differentiating our portfolio of products and services in highly competitive markets, the successful development and implementation of our software products and access to financing for expansion.</w:t>
      </w:r>
    </w:p>
    <w:p>
      <w:pPr>
        <w:spacing w:after="0" w:line="147" w:lineRule="exact"/>
        <w:rPr>
          <w:sz w:val="20"/>
          <w:szCs w:val="20"/>
          <w:color w:val="auto"/>
        </w:rPr>
      </w:pPr>
    </w:p>
    <w:p>
      <w:pPr>
        <w:jc w:val="both"/>
        <w:ind w:firstLine="8"/>
        <w:spacing w:after="0" w:line="266" w:lineRule="auto"/>
        <w:tabs>
          <w:tab w:leader="none" w:pos="23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Payments Infrastructure Segment opportunities include physical expansion into target markets, developing value-added products or services, increasing high value DCC and surcharge transactions and efficiently leveraging our portfolio of software solutions. Our opportunities are dependent on renewing and expanding our card acceptance, ATM, POS and merchant acquiring services, cash supply and other commercial agreements with customers</w:t>
      </w:r>
    </w:p>
    <w:p>
      <w:pPr>
        <w:sectPr>
          <w:pgSz w:w="11900" w:h="16838" w:orient="portrait"/>
          <w:cols w:equalWidth="0" w:num="1">
            <w:col w:w="11240"/>
          </w:cols>
          <w:pgMar w:left="320" w:top="121" w:right="339" w:bottom="0" w:gutter="0" w:footer="0" w:header="0"/>
        </w:sectPr>
      </w:pPr>
    </w:p>
    <w:bookmarkStart w:id="21" w:name="page22"/>
    <w:bookmarkEnd w:id="21"/>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financial institutions. Operational challenges in the PI Segment include obtaining and maintaining the required licenses and sponsorship agreements in</w:t>
      </w:r>
    </w:p>
    <w:p>
      <w:pPr>
        <w:spacing w:after="0" w:line="6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markets in which we operate and navigating frequently changing rules imposed by international card organizations, such as Visa</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and Mastercard</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that govern ATM interchange fees, direct access fees and other restrictions. Our profitability is dependent on the laws and regulations that govern DCC transactions, specifically in the E.U., as well as the laws and regulations of each country in which we operate. These laws and regulations may impact our cross-border and cross-currency transactions. The timing and amount of revenues in the PI Segment is uncertain and unpredictable due to inherent limitations in managing our estate of ATMs. Our ATM estate is dependent on contracts that cover large numbers of ATMs, and management is complicated by legal and regulatory considerations of local countries, as well as customers' decisions whether to outsource ATMs. Inflationary pressure may impact our business as travelers have less cash available to spend on vacations.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firstLine="8"/>
        <w:spacing w:after="0" w:line="254" w:lineRule="auto"/>
        <w:tabs>
          <w:tab w:leader="none" w:pos="1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epay Segment opportunities include renewing existing and negotiating new agreements in target markets in which we operate, primarily with digital content providers, mobile operators, financial institutions and retailers. The overall growth rate in the digital media content and prepaid mobile phone markets, shifts between prepaid and postpaid services, and our market share in those respective markets will have a significant impact on our ability to maintain and grow the epay Segment revenues. There is significant competition in these markets that may impact our ability to grow organically and increase the margin we earn and the margin that we pay to retailers. The profitability of the epay Segment is dependent on our ability to adapt to new technologies that may compete with POS distribution of digital content and prepaid mobile airtime, as well as our ability to leverage cross-selling opportunities with our PI and CBP Segments. The epay Segment opportunities may be impacted by government-imposed restrictions on retailers and/or content providers with whom we partner in countries in which we have a presence, and corresponding licensure requirements mandated upon such parties to legally operate in such countries.</w:t>
      </w:r>
    </w:p>
    <w:p>
      <w:pPr>
        <w:spacing w:after="0" w:line="228" w:lineRule="exact"/>
        <w:rPr>
          <w:rFonts w:ascii="Times New Roman" w:cs="Times New Roman" w:eastAsia="Times New Roman" w:hAnsi="Times New Roman"/>
          <w:sz w:val="18"/>
          <w:szCs w:val="18"/>
          <w:color w:val="auto"/>
        </w:rPr>
      </w:pPr>
    </w:p>
    <w:p>
      <w:pPr>
        <w:jc w:val="both"/>
        <w:ind w:firstLine="8"/>
        <w:spacing w:after="0" w:line="254" w:lineRule="auto"/>
        <w:tabs>
          <w:tab w:leader="none" w:pos="20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Cross-Border Payments Segment opportunities include expanding our portfolio of products and services to new and existing customers around the globe, which in turn may lead to an increase in transaction volumes. The opportunities to expand are contingent on our ability to effectively leverage our network of bank accounts for digital money transfer delivery, maintaining our physical agent network, cross selling opportunities with our PI and epay Segments and our penetration into high growth money transfer corridors. The challenges inherent in these opportunities include maintaining compliance with all regulatory requirements, maintaining all required licenses, ensuring the recoverability of funds advanced to agents and the continued reliance on the technologies required to operate our business. The volume of transactions processed on our network is impacted by shifts in our customer base, which can change rapidly with worker migration patterns and changes in unbanked populations across the globe. Foreign regulations that impact cross-border migration patterns and the money transfer markets can significantly impact our ability to grow the number of transactions on our network.</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all segments, our continued expansion may involve additional acquisitions that could divert our resources and management time and require integration of new assets with our existing networks and services. Our ability to effectively manage our growth has required us to expand our operating systems and employee base, particularly at the management level, which has added incremental operating costs. An inability to continue to effectively manage expansion could have a material adverse effect on our business, growth, financial condition or results of operations. Inadequate technology and resources would impair our ability to maintain current processing technology and efficiencies, as well as deliver new and innovative services to compete in the marketplace. Recently, inflation has been increasing our cost structure in many parts of the world in which we operate.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SUMMARY RESULTS OF OPERATIONS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consolidated results for the third quarter of 2026 reflected continued strength in the Payments Infrastructure and epay segments, driven by growth in merchant acquiring, software solutions, digital content and payment acceptance. These gains were partially offset by lower retail remittance volumes in the Cross-Border Payments segment, which were impacted by changes in U.S. immigration policies and the implementation of the U.S. remittance tax. The Company also continued to benefit from growth in digital money transfers and expansion of the Dandelion network.</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and operating income by segment for the three and nine months ended September 30, 2026 and 2025 are summarized in the tables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 for the Three Months</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00" w:type="dxa"/>
            <w:vAlign w:val="bottom"/>
            <w:gridSpan w:val="7"/>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Revenue for the Nine Months</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5"/>
          </w:tcPr>
          <w:p>
            <w:pPr>
              <w:jc w:val="center"/>
              <w:ind w:left="59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20" w:type="dxa"/>
            <w:vAlign w:val="bottom"/>
            <w:gridSpan w:val="7"/>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5"/>
          </w:tcPr>
          <w:p>
            <w:pPr>
              <w:jc w:val="center"/>
              <w:ind w:left="59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20" w:type="dxa"/>
            <w:vAlign w:val="bottom"/>
            <w:gridSpan w:val="3"/>
            <w:vMerge w:val="restart"/>
          </w:tcPr>
          <w:p>
            <w:pPr>
              <w:jc w:val="right"/>
              <w:ind w:right="327"/>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73"/>
        </w:trPr>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20" w:type="dxa"/>
            <w:vAlign w:val="bottom"/>
            <w:gridSpan w:val="7"/>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00" w:type="dxa"/>
            <w:vAlign w:val="bottom"/>
            <w:gridSpan w:val="7"/>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20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147"/>
              <w:spacing w:after="0" w:line="118"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1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127"/>
              <w:spacing w:after="0" w:line="118"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0" w:type="dxa"/>
            <w:vAlign w:val="bottom"/>
          </w:tcPr>
          <w:p>
            <w:pPr>
              <w:spacing w:after="0"/>
              <w:rPr>
                <w:sz w:val="1"/>
                <w:szCs w:val="1"/>
                <w:color w:val="auto"/>
              </w:rPr>
            </w:pPr>
          </w:p>
        </w:tc>
      </w:tr>
      <w:tr>
        <w:trPr>
          <w:trHeight w:val="149"/>
        </w:trPr>
        <w:tc>
          <w:tcPr>
            <w:tcW w:w="18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(dollar amounts in millions)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60" w:type="dxa"/>
            <w:vAlign w:val="bottom"/>
          </w:tcPr>
          <w:p>
            <w:pPr>
              <w:spacing w:after="0"/>
              <w:rPr>
                <w:sz w:val="12"/>
                <w:szCs w:val="12"/>
                <w:color w:val="auto"/>
              </w:rPr>
            </w:pPr>
          </w:p>
        </w:tc>
        <w:tc>
          <w:tcPr>
            <w:tcW w:w="1040" w:type="dxa"/>
            <w:vAlign w:val="bottom"/>
          </w:tcPr>
          <w:p>
            <w:pPr>
              <w:jc w:val="center"/>
              <w:ind w:right="127"/>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73"/>
        </w:trPr>
        <w:tc>
          <w:tcPr>
            <w:tcW w:w="18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1040" w:type="dxa"/>
            <w:vAlign w:val="bottom"/>
          </w:tcPr>
          <w:p>
            <w:pPr>
              <w:jc w:val="center"/>
              <w:ind w:right="127"/>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1"/>
        </w:trPr>
        <w:tc>
          <w:tcPr>
            <w:tcW w:w="1840" w:type="dxa"/>
            <w:vAlign w:val="bottom"/>
            <w:tcBorders>
              <w:top w:val="single" w:sz="8" w:color="auto"/>
            </w:tcBorders>
            <w:shd w:val="clear" w:color="auto" w:fill="CCEEFF"/>
          </w:tcPr>
          <w:p>
            <w:pPr>
              <w:ind w:left="60"/>
              <w:spacing w:after="0" w:line="191" w:lineRule="exact"/>
              <w:rPr>
                <w:sz w:val="20"/>
                <w:szCs w:val="20"/>
                <w:color w:val="auto"/>
              </w:rPr>
            </w:pPr>
            <w:r>
              <w:rPr>
                <w:rFonts w:ascii="Times New Roman" w:cs="Times New Roman" w:eastAsia="Times New Roman" w:hAnsi="Times New Roman"/>
                <w:sz w:val="18"/>
                <w:szCs w:val="18"/>
                <w:color w:val="auto"/>
              </w:rPr>
              <w:t>Payments</w:t>
            </w: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Infrastructure</w:t>
            </w:r>
          </w:p>
        </w:tc>
        <w:tc>
          <w:tcPr>
            <w:tcW w:w="3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w:t>
            </w:r>
          </w:p>
        </w:tc>
        <w:tc>
          <w:tcPr>
            <w:tcW w:w="480" w:type="dxa"/>
            <w:vAlign w:val="bottom"/>
            <w:gridSpan w:val="4"/>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1,110.4</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980.4</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epay</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Cross-Border Payments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1,328.0</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1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3,288.4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8"/>
        </w:trPr>
        <w:tc>
          <w:tcPr>
            <w:tcW w:w="1840" w:type="dxa"/>
            <w:vAlign w:val="bottom"/>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Corporate services,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eliminations and other</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1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gridSpan w:val="2"/>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w:t>
            </w:r>
            <w:r>
              <w:rPr>
                <w:rFonts w:ascii="Times New Roman" w:cs="Times New Roman" w:eastAsia="Times New Roman" w:hAnsi="Times New Roman"/>
                <w:sz w:val="18"/>
                <w:szCs w:val="18"/>
                <w:u w:val="single" w:color="auto"/>
                <w:color w:val="auto"/>
              </w:rPr>
              <w:t>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3,281.</w:t>
            </w:r>
            <w:r>
              <w:rPr>
                <w:rFonts w:ascii="Times New Roman" w:cs="Times New Roman" w:eastAsia="Times New Roman" w:hAnsi="Times New Roman"/>
                <w:sz w:val="18"/>
                <w:szCs w:val="18"/>
                <w:u w:val="single" w:color="auto"/>
                <w:color w:val="auto"/>
              </w:rPr>
              <w:t>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gridSpan w:val="2"/>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3,135.</w:t>
            </w:r>
            <w:r>
              <w:rPr>
                <w:rFonts w:ascii="Times New Roman" w:cs="Times New Roman" w:eastAsia="Times New Roman" w:hAnsi="Times New Roman"/>
                <w:sz w:val="18"/>
                <w:szCs w:val="18"/>
                <w:u w:val="single" w:color="auto"/>
                <w:color w:val="auto"/>
              </w:rPr>
              <w:t>5</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Operating Income (Expense)</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gridSpan w:val="7"/>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Operating Income (Expense)</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6"/>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20" w:type="dxa"/>
            <w:vAlign w:val="bottom"/>
            <w:gridSpan w:val="7"/>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gridSpan w:val="7"/>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160" w:type="dxa"/>
            <w:vAlign w:val="bottom"/>
          </w:tcPr>
          <w:p>
            <w:pPr>
              <w:spacing w:after="0"/>
              <w:rPr>
                <w:sz w:val="12"/>
                <w:szCs w:val="12"/>
                <w:color w:val="auto"/>
              </w:rPr>
            </w:pPr>
          </w:p>
        </w:tc>
        <w:tc>
          <w:tcPr>
            <w:tcW w:w="2020" w:type="dxa"/>
            <w:vAlign w:val="bottom"/>
            <w:gridSpan w:val="3"/>
            <w:vMerge w:val="restart"/>
          </w:tcPr>
          <w:p>
            <w:pPr>
              <w:jc w:val="right"/>
              <w:ind w:right="327"/>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73"/>
        </w:trPr>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20" w:type="dxa"/>
            <w:vAlign w:val="bottom"/>
            <w:gridSpan w:val="7"/>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00" w:type="dxa"/>
            <w:vAlign w:val="bottom"/>
            <w:gridSpan w:val="7"/>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20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1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127"/>
              <w:spacing w:after="0" w:line="118"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0" w:type="dxa"/>
            <w:vAlign w:val="bottom"/>
          </w:tcPr>
          <w:p>
            <w:pPr>
              <w:spacing w:after="0"/>
              <w:rPr>
                <w:sz w:val="1"/>
                <w:szCs w:val="1"/>
                <w:color w:val="auto"/>
              </w:rPr>
            </w:pPr>
          </w:p>
        </w:tc>
      </w:tr>
      <w:tr>
        <w:trPr>
          <w:trHeight w:val="148"/>
        </w:trPr>
        <w:tc>
          <w:tcPr>
            <w:tcW w:w="18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(dollar amounts in millions)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60" w:type="dxa"/>
            <w:vAlign w:val="bottom"/>
          </w:tcPr>
          <w:p>
            <w:pPr>
              <w:spacing w:after="0"/>
              <w:rPr>
                <w:sz w:val="12"/>
                <w:szCs w:val="12"/>
                <w:color w:val="auto"/>
              </w:rPr>
            </w:pPr>
          </w:p>
        </w:tc>
        <w:tc>
          <w:tcPr>
            <w:tcW w:w="1040" w:type="dxa"/>
            <w:vAlign w:val="bottom"/>
          </w:tcPr>
          <w:p>
            <w:pPr>
              <w:jc w:val="center"/>
              <w:ind w:right="127"/>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73"/>
        </w:trPr>
        <w:tc>
          <w:tcPr>
            <w:tcW w:w="18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1040" w:type="dxa"/>
            <w:vAlign w:val="bottom"/>
          </w:tcPr>
          <w:p>
            <w:pPr>
              <w:jc w:val="center"/>
              <w:ind w:right="127"/>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09"/>
        </w:trPr>
        <w:tc>
          <w:tcPr>
            <w:tcW w:w="18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Payments Infrastructure</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epay</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Cross-Border Payments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9"/>
        </w:trPr>
        <w:tc>
          <w:tcPr>
            <w:tcW w:w="1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1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0" w:type="dxa"/>
            <w:vAlign w:val="bottom"/>
            <w:tcBorders>
              <w:top w:val="single" w:sz="8" w:color="auto"/>
            </w:tcBorders>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457.2</w:t>
            </w:r>
          </w:p>
        </w:tc>
        <w:tc>
          <w:tcPr>
            <w:tcW w:w="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8"/>
        </w:trPr>
        <w:tc>
          <w:tcPr>
            <w:tcW w:w="1840" w:type="dxa"/>
            <w:vAlign w:val="bottom"/>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Corporate services,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eliminations and other</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6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Borders>
              <w:bottom w:val="single" w:sz="8" w:color="auto"/>
            </w:tcBorders>
            <w:shd w:val="clear" w:color="auto" w:fill="CCEEFF"/>
          </w:tcPr>
          <w:p>
            <w:pPr>
              <w:spacing w:after="0"/>
              <w:rPr>
                <w:sz w:val="20"/>
                <w:szCs w:val="20"/>
                <w:color w:val="auto"/>
              </w:rPr>
            </w:pP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bl>
    <w:p>
      <w:pPr>
        <w:sectPr>
          <w:pgSz w:w="11900" w:h="16851" w:orient="portrait"/>
          <w:cols w:equalWidth="0" w:num="1">
            <w:col w:w="11240"/>
          </w:cols>
          <w:pgMar w:left="320" w:top="121" w:right="339" w:bottom="0" w:gutter="0" w:footer="0" w:header="0"/>
        </w:sectPr>
      </w:pPr>
    </w:p>
    <w:bookmarkStart w:id="22" w:name="page23"/>
    <w:bookmarkEnd w:id="22"/>
    <w:p>
      <w:pPr>
        <w:spacing w:after="0" w:line="17" w:lineRule="exact"/>
        <w:rPr>
          <w:sz w:val="20"/>
          <w:szCs w:val="20"/>
          <w:color w:val="auto"/>
        </w:rPr>
      </w:pPr>
    </w:p>
    <w:p>
      <w:pPr>
        <w:ind w:left="180"/>
        <w:spacing w:after="0"/>
        <w:tabs>
          <w:tab w:leader="none" w:pos="2020" w:val="left"/>
          <w:tab w:leader="none" w:pos="2520" w:val="left"/>
          <w:tab w:leader="none" w:pos="3140" w:val="left"/>
          <w:tab w:leader="none" w:pos="3640" w:val="left"/>
          <w:tab w:leader="none" w:pos="4260" w:val="left"/>
          <w:tab w:leader="none" w:pos="4780" w:val="left"/>
          <w:tab w:leader="none" w:pos="5960" w:val="left"/>
          <w:tab w:leader="none" w:pos="6800" w:val="left"/>
          <w:tab w:leader="none" w:pos="7300" w:val="left"/>
          <w:tab w:leader="none" w:pos="7920" w:val="left"/>
          <w:tab w:leader="none" w:pos="8420" w:val="left"/>
          <w:tab w:leader="none" w:pos="9040" w:val="left"/>
          <w:tab w:leader="none" w:pos="9540" w:val="left"/>
          <w:tab w:leader="none" w:pos="10720" w:val="left"/>
        </w:tabs>
        <w:rPr>
          <w:sz w:val="20"/>
          <w:szCs w:val="20"/>
          <w:color w:val="auto"/>
        </w:rPr>
      </w:pPr>
      <w:r>
        <w:rPr>
          <w:rFonts w:ascii="Times New Roman" w:cs="Times New Roman" w:eastAsia="Times New Roman" w:hAnsi="Times New Roman"/>
          <w:sz w:val="18"/>
          <w:szCs w:val="18"/>
          <w:color w:val="auto"/>
        </w:rPr>
        <w:t>Total</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171.6</w:t>
        <w:tab/>
        <w:t>$</w:t>
      </w:r>
      <w:r>
        <w:rPr>
          <w:sz w:val="20"/>
          <w:szCs w:val="20"/>
          <w:color w:val="auto"/>
        </w:rPr>
        <w:tab/>
      </w:r>
      <w:r>
        <w:rPr>
          <w:rFonts w:ascii="Times New Roman" w:cs="Times New Roman" w:eastAsia="Times New Roman" w:hAnsi="Times New Roman"/>
          <w:sz w:val="18"/>
          <w:szCs w:val="18"/>
          <w:color w:val="auto"/>
        </w:rPr>
        <w:t>195.0</w:t>
        <w:tab/>
        <w:t>$</w:t>
      </w:r>
      <w:r>
        <w:rPr>
          <w:sz w:val="20"/>
          <w:szCs w:val="20"/>
          <w:color w:val="auto"/>
        </w:rPr>
        <w:tab/>
      </w:r>
      <w:r>
        <w:rPr>
          <w:rFonts w:ascii="Times New Roman" w:cs="Times New Roman" w:eastAsia="Times New Roman" w:hAnsi="Times New Roman"/>
          <w:sz w:val="18"/>
          <w:szCs w:val="18"/>
          <w:color w:val="auto"/>
        </w:rPr>
        <w:t>(23.4)</w:t>
      </w:r>
      <w:r>
        <w:rPr>
          <w:sz w:val="20"/>
          <w:szCs w:val="20"/>
          <w:color w:val="auto"/>
        </w:rPr>
        <w:tab/>
      </w: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380.7</w:t>
        <w:tab/>
        <w:t>$</w:t>
      </w:r>
      <w:r>
        <w:rPr>
          <w:sz w:val="20"/>
          <w:szCs w:val="20"/>
          <w:color w:val="auto"/>
        </w:rPr>
        <w:tab/>
      </w:r>
      <w:r>
        <w:rPr>
          <w:rFonts w:ascii="Times New Roman" w:cs="Times New Roman" w:eastAsia="Times New Roman" w:hAnsi="Times New Roman"/>
          <w:sz w:val="18"/>
          <w:szCs w:val="18"/>
          <w:color w:val="auto"/>
        </w:rPr>
        <w:t>428.8</w:t>
        <w:tab/>
        <w:t>$</w:t>
      </w:r>
      <w:r>
        <w:rPr>
          <w:sz w:val="20"/>
          <w:szCs w:val="20"/>
          <w:color w:val="auto"/>
        </w:rPr>
        <w:tab/>
      </w:r>
      <w:r>
        <w:rPr>
          <w:rFonts w:ascii="Times New Roman" w:cs="Times New Roman" w:eastAsia="Times New Roman" w:hAnsi="Times New Roman"/>
          <w:sz w:val="18"/>
          <w:szCs w:val="18"/>
          <w:color w:val="auto"/>
        </w:rPr>
        <w:t>(48.1)</w:t>
      </w:r>
      <w:r>
        <w:rPr>
          <w:sz w:val="20"/>
          <w:szCs w:val="20"/>
          <w:color w:val="auto"/>
        </w:rPr>
        <w:tab/>
      </w: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17145</wp:posOffset>
            </wp:positionV>
            <wp:extent cx="204851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048510" cy="2603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17145</wp:posOffset>
            </wp:positionV>
            <wp:extent cx="206565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065655" cy="2603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changes in foreign currency exchange rates</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revenues and local expenses are recorded in the functional currencies of our operating entities and then are translated into U.S. dollars for reporting purposes; therefore, amounts we earn outside the U.S. are negatively impacted by a stronger U.S. dollar and positively impacted by a weaker U.S. dollar. If significant, in our discussion we will refer to the impact of fluctuations in foreign currency exchange rates in our comparison of operating segment results.</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provide further perspective on the impact of foreign currency exchange rates, the following table shows the changes in values relative to the U.S. dollar of the currencies of the countries in which we have our most significant operations: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6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Average Translation Rate</w:t>
            </w: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Average Translation Rate</w:t>
            </w: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60" w:type="dxa"/>
            <w:vAlign w:val="bottom"/>
            <w:gridSpan w:val="5"/>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60" w:type="dxa"/>
            <w:vAlign w:val="bottom"/>
            <w:gridSpan w:val="5"/>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6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00" w:type="dxa"/>
            <w:vAlign w:val="bottom"/>
            <w:vMerge w:val="restart"/>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vMerge w:val="restart"/>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3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7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Currency (dollars per foreign currency)</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2"/>
                <w:szCs w:val="12"/>
                <w:color w:val="auto"/>
              </w:rPr>
            </w:pPr>
          </w:p>
        </w:tc>
        <w:tc>
          <w:tcPr>
            <w:tcW w:w="110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2"/>
                <w:szCs w:val="12"/>
                <w:color w:val="auto"/>
              </w:rPr>
            </w:pPr>
          </w:p>
        </w:tc>
        <w:tc>
          <w:tcPr>
            <w:tcW w:w="106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Australian dollar (AUD)</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0.7058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0.6539</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0.7031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0.6403</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British pound (GBP)</w:t>
            </w:r>
          </w:p>
        </w:tc>
        <w:tc>
          <w:tcPr>
            <w:tcW w:w="3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1.3439</w:t>
            </w:r>
          </w:p>
        </w:tc>
        <w:tc>
          <w:tcPr>
            <w:tcW w:w="42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1.3476</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1.3441</w:t>
            </w:r>
          </w:p>
        </w:tc>
        <w:tc>
          <w:tcPr>
            <w:tcW w:w="4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1.3137</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Canadian dollar (CAD)</w:t>
            </w:r>
          </w:p>
        </w:tc>
        <w:tc>
          <w:tcPr>
            <w:tcW w:w="3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0.7222</w:t>
            </w:r>
          </w:p>
        </w:tc>
        <w:tc>
          <w:tcPr>
            <w:tcW w:w="42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0.7264</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0.7148</w:t>
            </w:r>
          </w:p>
        </w:tc>
        <w:tc>
          <w:tcPr>
            <w:tcW w:w="44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0.7157</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euro (EUR)</w:t>
            </w:r>
          </w:p>
        </w:tc>
        <w:tc>
          <w:tcPr>
            <w:tcW w:w="3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1.1504</w:t>
            </w:r>
          </w:p>
        </w:tc>
        <w:tc>
          <w:tcPr>
            <w:tcW w:w="42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1.1686</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1.1609</w:t>
            </w:r>
          </w:p>
        </w:tc>
        <w:tc>
          <w:tcPr>
            <w:tcW w:w="4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1.1180</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Hungarian forint (HUF)</w:t>
            </w:r>
          </w:p>
        </w:tc>
        <w:tc>
          <w:tcPr>
            <w:tcW w:w="3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0.0032</w:t>
            </w:r>
          </w:p>
        </w:tc>
        <w:tc>
          <w:tcPr>
            <w:tcW w:w="42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0.0030</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0.0032</w:t>
            </w:r>
          </w:p>
        </w:tc>
        <w:tc>
          <w:tcPr>
            <w:tcW w:w="44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0.0028</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Indian rupee (INR)</w:t>
            </w:r>
          </w:p>
        </w:tc>
        <w:tc>
          <w:tcPr>
            <w:tcW w:w="3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0.0105</w:t>
            </w:r>
          </w:p>
        </w:tc>
        <w:tc>
          <w:tcPr>
            <w:tcW w:w="42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0.0115</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0.0107</w:t>
            </w:r>
          </w:p>
        </w:tc>
        <w:tc>
          <w:tcPr>
            <w:tcW w:w="4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0.0116</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Malaysian ringgit (MYR)</w:t>
            </w:r>
          </w:p>
        </w:tc>
        <w:tc>
          <w:tcPr>
            <w:tcW w:w="3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0.2457</w:t>
            </w:r>
          </w:p>
        </w:tc>
        <w:tc>
          <w:tcPr>
            <w:tcW w:w="42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0.2367</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0.2494</w:t>
            </w:r>
          </w:p>
        </w:tc>
        <w:tc>
          <w:tcPr>
            <w:tcW w:w="44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0.2314</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New Zealand dollar (NZD)</w:t>
            </w:r>
          </w:p>
        </w:tc>
        <w:tc>
          <w:tcPr>
            <w:tcW w:w="3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0.5814</w:t>
            </w:r>
          </w:p>
        </w:tc>
        <w:tc>
          <w:tcPr>
            <w:tcW w:w="42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0.5924</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0.5847</w:t>
            </w:r>
          </w:p>
        </w:tc>
        <w:tc>
          <w:tcPr>
            <w:tcW w:w="4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0.5840</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Polish zloty (PLN)</w:t>
            </w:r>
          </w:p>
        </w:tc>
        <w:tc>
          <w:tcPr>
            <w:tcW w:w="3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0.2665</w:t>
            </w:r>
          </w:p>
        </w:tc>
        <w:tc>
          <w:tcPr>
            <w:tcW w:w="42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0.2749</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0.2725</w:t>
            </w:r>
          </w:p>
        </w:tc>
        <w:tc>
          <w:tcPr>
            <w:tcW w:w="44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0.2641</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33</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78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74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110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76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72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06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OPERATING RESULTS FOR THE THREE AND NINE MONTHS ENDED SEPTEMBER 30, 2026 AND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 INFRASTRUCTURE SEGMENT</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Payments Infrastructure segment delivered another quarter of solid growth, driven by continued growth in acquiring and REN infrastructure sales, together with the contribution from the CoreCard acquisition completed in the fourth quarter of 2025, partially offset by continued economic pressures together with, more recently, greater consumer use of multi-currency ATMs and multicurrency withdrawal cards and by higher non-cash purchase accounting amortization associated with the CoreCard acquisition.</w:t>
      </w:r>
    </w:p>
    <w:p>
      <w:pPr>
        <w:spacing w:after="0" w:line="11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results of operations for our Payments Infrastructure Segment for the three and nine months ended September 30, 2026 and 2025: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940" w:type="dxa"/>
            <w:vAlign w:val="bottom"/>
            <w:gridSpan w:val="3"/>
            <w:vMerge w:val="restart"/>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73"/>
        </w:trPr>
        <w:tc>
          <w:tcPr>
            <w:tcW w:w="1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30,</w:t>
            </w: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vMerge w:val="restart"/>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3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1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vMerge w:val="restart"/>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8"/>
        </w:trPr>
        <w:tc>
          <w:tcPr>
            <w:tcW w:w="2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(dollar amounts in millions)</w:t>
            </w:r>
          </w:p>
        </w:tc>
        <w:tc>
          <w:tcPr>
            <w:tcW w:w="240" w:type="dxa"/>
            <w:vAlign w:val="bottom"/>
          </w:tcPr>
          <w:p>
            <w:pPr>
              <w:spacing w:after="0"/>
              <w:rPr>
                <w:sz w:val="12"/>
                <w:szCs w:val="12"/>
                <w:color w:val="auto"/>
              </w:rPr>
            </w:pPr>
          </w:p>
        </w:tc>
        <w:tc>
          <w:tcPr>
            <w:tcW w:w="72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1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102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60" w:type="dxa"/>
            <w:vAlign w:val="bottom"/>
          </w:tcPr>
          <w:p>
            <w:pPr>
              <w:spacing w:after="0"/>
              <w:rPr>
                <w:sz w:val="15"/>
                <w:szCs w:val="15"/>
                <w:color w:val="auto"/>
              </w:rPr>
            </w:pPr>
          </w:p>
        </w:tc>
        <w:tc>
          <w:tcPr>
            <w:tcW w:w="102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19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1,110.4</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1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1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18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18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8"/>
        </w:trPr>
        <w:tc>
          <w:tcPr>
            <w:tcW w:w="212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Selling, general and</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administrative</w:t>
            </w: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1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1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8"/>
        </w:trPr>
        <w:tc>
          <w:tcPr>
            <w:tcW w:w="212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Depreciation and</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180" w:type="dxa"/>
            <w:vAlign w:val="bottom"/>
            <w:tcBorders>
              <w:bottom w:val="single" w:sz="8" w:color="CCEEFF"/>
            </w:tcBorders>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180" w:type="dxa"/>
            <w:vAlign w:val="bottom"/>
            <w:tcBorders>
              <w:bottom w:val="single" w:sz="8" w:color="CCEEFF"/>
            </w:tcBorders>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78"/>
        </w:trPr>
        <w:tc>
          <w:tcPr>
            <w:tcW w:w="2120" w:type="dxa"/>
            <w:vAlign w:val="bottom"/>
            <w:gridSpan w:val="2"/>
            <w:shd w:val="clear" w:color="auto" w:fill="CCEEFF"/>
          </w:tcPr>
          <w:p>
            <w:pPr>
              <w:ind w:left="320"/>
              <w:spacing w:after="0" w:line="177" w:lineRule="exact"/>
              <w:rPr>
                <w:sz w:val="20"/>
                <w:szCs w:val="20"/>
                <w:color w:val="auto"/>
              </w:rPr>
            </w:pPr>
            <w:r>
              <w:rPr>
                <w:rFonts w:ascii="Times New Roman" w:cs="Times New Roman" w:eastAsia="Times New Roman" w:hAnsi="Times New Roman"/>
                <w:sz w:val="18"/>
                <w:szCs w:val="18"/>
                <w:color w:val="auto"/>
              </w:rPr>
              <w:t>Total operating</w:t>
            </w: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1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expenses</w:t>
            </w:r>
          </w:p>
        </w:tc>
        <w:tc>
          <w:tcPr>
            <w:tcW w:w="2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16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6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1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872.7</w:t>
            </w:r>
          </w:p>
        </w:tc>
        <w:tc>
          <w:tcPr>
            <w:tcW w:w="16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744.4</w:t>
            </w:r>
          </w:p>
        </w:tc>
        <w:tc>
          <w:tcPr>
            <w:tcW w:w="1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1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50"/>
        </w:trPr>
        <w:tc>
          <w:tcPr>
            <w:tcW w:w="212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180" w:type="dxa"/>
            <w:vAlign w:val="bottom"/>
            <w:tcBorders>
              <w:bottom w:val="single" w:sz="8" w:color="CCEEFF"/>
            </w:tcBorders>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1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180" w:type="dxa"/>
            <w:vAlign w:val="bottom"/>
            <w:tcBorders>
              <w:bottom w:val="single" w:sz="8" w:color="CCEEFF"/>
            </w:tcBorders>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51"/>
        </w:trPr>
        <w:tc>
          <w:tcPr>
            <w:tcW w:w="2120" w:type="dxa"/>
            <w:vAlign w:val="bottom"/>
            <w:gridSpan w:val="2"/>
            <w:shd w:val="clear" w:color="auto" w:fill="CCEEFF"/>
          </w:tcPr>
          <w:p>
            <w:pPr>
              <w:ind w:left="180"/>
              <w:spacing w:after="0" w:line="151" w:lineRule="exact"/>
              <w:rPr>
                <w:sz w:val="20"/>
                <w:szCs w:val="20"/>
                <w:color w:val="auto"/>
              </w:rPr>
            </w:pPr>
            <w:r>
              <w:rPr>
                <w:rFonts w:ascii="Times New Roman" w:cs="Times New Roman" w:eastAsia="Times New Roman" w:hAnsi="Times New Roman"/>
                <w:sz w:val="17"/>
                <w:szCs w:val="17"/>
                <w:color w:val="auto"/>
              </w:rPr>
              <w:t>Transactions processed</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(millions)</w:t>
            </w: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4,041</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1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12,894</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11,228</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1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8"/>
        </w:trPr>
        <w:tc>
          <w:tcPr>
            <w:tcW w:w="212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Active ATMs as of</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September 30,</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58,420</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56,431</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18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58,420</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56,431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18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Average installed ATMs</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56,742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1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54,639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54,340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1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Payments Infrastructure Segment total revenues were $437.9 million for the three months ended September 30, 2026, an increase of $28.5 million or 7% compared to the same period in 2025. Total revenues were $1,110.4 million for the nine months ended September 30, 2026, an increase of $130.0 million or 13% compared to the same period in 2025. Revenue growth was driven by continued growth in acquiring, REN infrastructure sales and contributions from the CoreCard acquisition completed in the fourth quarter of 2025. Fluctuations in foreign currency exchange rates decreased revenues by approximately $8.1 million for the three months ended September 30, 2026 compared to the same period in 2025. Fluctuations in foreign currency exchange rates increased revenues by approximately $21.3 million for the nine months ended September 30, 2026 compared to the same period in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operating costs</w:t>
      </w:r>
    </w:p>
    <w:p>
      <w:pPr>
        <w:spacing w:after="0" w:line="22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Payments Infrastructure Segment direct operating costs were $210.0 million for the three months ended September 30, 2026, an increase of $15.6 million or 8% compared to the same period in 2025. Direct operating costs were $576.2 million for the nine months ended September 30, 2026, an increase of $71.4 million or 14% compared to the same period in 2025. Direct operating costs primarily consist of site rental fees, cash delivery costs, cash supply costs, maintenance, insurance, telecommunications, payment scheme processing fees, data center operations-related personnel, as well as the processing</w:t>
      </w:r>
    </w:p>
    <w:p>
      <w:pPr>
        <w:sectPr>
          <w:pgSz w:w="11900" w:h="16855" w:orient="portrait"/>
          <w:cols w:equalWidth="0" w:num="1">
            <w:col w:w="11260"/>
          </w:cols>
          <w:pgMar w:left="320" w:top="121" w:right="319" w:bottom="0" w:gutter="0" w:footer="0" w:header="0"/>
        </w:sectPr>
      </w:pPr>
    </w:p>
    <w:bookmarkStart w:id="23" w:name="page24"/>
    <w:bookmarkEnd w:id="23"/>
    <w:p>
      <w:pPr>
        <w:jc w:val="both"/>
        <w:spacing w:after="0" w:line="258" w:lineRule="auto"/>
        <w:rPr>
          <w:sz w:val="20"/>
          <w:szCs w:val="20"/>
          <w:color w:val="auto"/>
        </w:rPr>
      </w:pPr>
      <w:r>
        <w:rPr>
          <w:rFonts w:ascii="Times New Roman" w:cs="Times New Roman" w:eastAsia="Times New Roman" w:hAnsi="Times New Roman"/>
          <w:sz w:val="18"/>
          <w:szCs w:val="18"/>
          <w:color w:val="auto"/>
        </w:rPr>
        <w:t>centers’ facility-related costs and other processing center-related expenses and commissions paid to retail merchants, banks and card processors. The primary drivers of the increase in direct costs were additional expenses required to support increased business volumes from both new (CoreCard) and existing operations. Fluctuations in foreign currency exchange rates increased direct operating costs by approximately $4.1 million for the three months ended September 30, 2026 compared to the same period in 2025. Fluctuations in foreign currency exchange rates decreased direct operating costs by approximately $12.7 million for the nine months ended September 30, 2026 compared to the same period in 2025.</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which is calculated as revenues less direct operating costs, was $227.9 million for the three months ended September 30, 2026, an increase of $12.9 million or 6% compared to $215.0 million for the same period in 2025. Gross profit was $534.2 million for the nine months ended September 30, 2026, an increase of $58.6 million or 12% compared to $475.6 million for the same period in 2025. Gross profit as a percentage of revenues (“gross margin”) changed to 52.0% and 48.1% for the three and nine months ended September 30, 2026, compared to 52.5% and 48.5% for the same periods in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Salaries and benefits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Salaries and benefits expenses were $51.0 million for the three months ended September 30, 2026, an increase of $4.4 million or 9% compared to the same period in 2025. Salaries and benefits expenses were $150.5 million for the nine months ended September 30, 2026, an increase of $28.7 million or 24% compared to the same period in 2025. The increase is primarily due to the acquisition of CoreCard in the fourth quarter of 2025, an increase in headcount to support the growth of the business and salary increases due to merit increases and inflationary pressures. As a percentage of revenues, salary expense increased to 11.6% and 13.6% for the three and nine months ended September 30, 2026, compared to 11.4% and 12.4% for the same periods in 2025. Fluctuations in foreign currency exchange rates increased salaries and benefits by approximately $1.3 million for the three months ended September 30, 2026 compared to the same period in 2025. Fluctuations in foreign currency exchange rates decreased salaries and benefits by approximately $2.3 million for the nine months ended September 30, 2026 compared to the same period in 2025.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were $17.3 million for the three months ended September 30, 2026, an increase of $3.6 million or 26% compared to the same period in 2025. Selling, general and administrative expenses were $51.0 million for the nine months ended September 30, 2026, an increase of $10.1 million or 25% compared to the same period in 2025. As a percentage of revenues, these expenses increased to 4.0% and 4.6% for the three and nine months ended September 30, 2026 compared to 3.3% and 4.2% for the same periods in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Depreciation and amortization expenses were $31.4 million for the three months ended September 30, 2026, an increase of $4.8 million or 18% compared to the same period in 2025. Depreciation and amortization expenses were $95.0 million for the nine months ended September 30, 2026, an increase of $18.1 million or 24% compared to the same period in 2025. The increase was primarily attributable to the acquisition of CoreCard, including amortization expense related to identifiable intangible assets recognized in the purchase price allocation. As a percentage of revenues, these expenses increased to 7.2% and 8.6% for the three and nine months ended September 30, 2026, compared to 6.5% and 7.8% for the same periods in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Payments Infrastructure Segment had operating income of $128.2 million for the three months ended September 30, 2026, an increase of $0.1 million to the same period in 2025. PI Segment had operating income of $237.7 million for the nine months ended September 30, 2026, an increase of $1.7 million or 1% compared to the same period in 2025. Operating income as a percentage of revenues (“operating margin”) decreased to 29.3% and 21.4% for the three and nine months ended September 30, 2026, compared to 31.3% and 24.1% for the same periods in 2025.</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EPAY SEGMENT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epay segment delivered another quarter of consistent and profitable growth, driven by continued demand for higher-value digital content, branded payments and prepaid products, together with ongoing expansion of the Company's global payment acceptance network.</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results of operations for the three and nine months ended September 30, 2026 and 2025 for our epay Segment:</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20" w:type="dxa"/>
            <w:vAlign w:val="bottom"/>
            <w:gridSpan w:val="4"/>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40" w:type="dxa"/>
            <w:vAlign w:val="bottom"/>
            <w:gridSpan w:val="3"/>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34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c>
          <w:tcPr>
            <w:tcW w:w="180" w:type="dxa"/>
            <w:vAlign w:val="bottom"/>
          </w:tcPr>
          <w:p>
            <w:pPr>
              <w:spacing w:after="0"/>
              <w:rPr>
                <w:sz w:val="13"/>
                <w:szCs w:val="13"/>
                <w:color w:val="auto"/>
              </w:rPr>
            </w:pPr>
          </w:p>
        </w:tc>
        <w:tc>
          <w:tcPr>
            <w:tcW w:w="19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73"/>
        </w:trPr>
        <w:tc>
          <w:tcPr>
            <w:tcW w:w="1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30,</w:t>
            </w:r>
          </w:p>
        </w:tc>
        <w:tc>
          <w:tcPr>
            <w:tcW w:w="7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60" w:type="dxa"/>
            <w:vAlign w:val="bottom"/>
          </w:tcPr>
          <w:p>
            <w:pPr>
              <w:spacing w:after="0"/>
              <w:rPr>
                <w:sz w:val="10"/>
                <w:szCs w:val="10"/>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120" w:type="dxa"/>
            <w:vAlign w:val="bottom"/>
          </w:tcPr>
          <w:p>
            <w:pPr>
              <w:spacing w:after="0"/>
              <w:rPr>
                <w:sz w:val="10"/>
                <w:szCs w:val="10"/>
                <w:color w:val="auto"/>
              </w:rPr>
            </w:pPr>
          </w:p>
        </w:tc>
        <w:tc>
          <w:tcPr>
            <w:tcW w:w="1060" w:type="dxa"/>
            <w:vAlign w:val="bottom"/>
          </w:tcPr>
          <w:p>
            <w:pPr>
              <w:jc w:val="center"/>
              <w:ind w:right="150"/>
              <w:spacing w:after="0" w:line="118"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0" w:type="dxa"/>
            <w:vAlign w:val="bottom"/>
          </w:tcPr>
          <w:p>
            <w:pPr>
              <w:spacing w:after="0"/>
              <w:rPr>
                <w:sz w:val="1"/>
                <w:szCs w:val="1"/>
                <w:color w:val="auto"/>
              </w:rPr>
            </w:pPr>
          </w:p>
        </w:tc>
      </w:tr>
      <w:tr>
        <w:trPr>
          <w:trHeight w:val="148"/>
        </w:trPr>
        <w:tc>
          <w:tcPr>
            <w:tcW w:w="19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(dollar amounts in millions)</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20" w:type="dxa"/>
            <w:vAlign w:val="bottom"/>
          </w:tcPr>
          <w:p>
            <w:pPr>
              <w:spacing w:after="0"/>
              <w:rPr>
                <w:sz w:val="12"/>
                <w:szCs w:val="12"/>
                <w:color w:val="auto"/>
              </w:rPr>
            </w:pPr>
          </w:p>
        </w:tc>
        <w:tc>
          <w:tcPr>
            <w:tcW w:w="1060" w:type="dxa"/>
            <w:vAlign w:val="bottom"/>
          </w:tcPr>
          <w:p>
            <w:pPr>
              <w:jc w:val="center"/>
              <w:ind w:right="17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73"/>
        </w:trPr>
        <w:tc>
          <w:tcPr>
            <w:tcW w:w="19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3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36"/>
        </w:trPr>
        <w:tc>
          <w:tcPr>
            <w:tcW w:w="1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revenues</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882.2</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834.0</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1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6"/>
        </w:trPr>
        <w:tc>
          <w:tcPr>
            <w:tcW w:w="1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 operating costs</w:t>
            </w: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662.3</w:t>
            </w: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629.3</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1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6"/>
        </w:trPr>
        <w:tc>
          <w:tcPr>
            <w:tcW w:w="1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Salaries and benefits</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1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8"/>
        </w:trPr>
        <w:tc>
          <w:tcPr>
            <w:tcW w:w="194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Selling, general and</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administrative</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1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8"/>
        </w:trPr>
        <w:tc>
          <w:tcPr>
            <w:tcW w:w="194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Depreciation and</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18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78"/>
        </w:trPr>
        <w:tc>
          <w:tcPr>
            <w:tcW w:w="1940" w:type="dxa"/>
            <w:vAlign w:val="bottom"/>
            <w:shd w:val="clear" w:color="auto" w:fill="CCEEFF"/>
          </w:tcPr>
          <w:p>
            <w:pPr>
              <w:ind w:left="340"/>
              <w:spacing w:after="0" w:line="177" w:lineRule="exact"/>
              <w:rPr>
                <w:sz w:val="20"/>
                <w:szCs w:val="20"/>
                <w:color w:val="auto"/>
              </w:rPr>
            </w:pPr>
            <w:r>
              <w:rPr>
                <w:rFonts w:ascii="Times New Roman" w:cs="Times New Roman" w:eastAsia="Times New Roman" w:hAnsi="Times New Roman"/>
                <w:sz w:val="18"/>
                <w:szCs w:val="18"/>
                <w:color w:val="auto"/>
              </w:rPr>
              <w:t>Total operating</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16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16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785.2</w:t>
            </w:r>
          </w:p>
        </w:tc>
        <w:tc>
          <w:tcPr>
            <w:tcW w:w="16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745.1</w:t>
            </w:r>
          </w:p>
        </w:tc>
        <w:tc>
          <w:tcPr>
            <w:tcW w:w="1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1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Operating income</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6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6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6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151"/>
        </w:trPr>
        <w:tc>
          <w:tcPr>
            <w:tcW w:w="1940" w:type="dxa"/>
            <w:vAlign w:val="bottom"/>
            <w:tcBorders>
              <w:top w:val="single" w:sz="8" w:color="CCEEFF"/>
            </w:tcBorders>
            <w:shd w:val="clear" w:color="auto" w:fill="CCEEFF"/>
          </w:tcPr>
          <w:p>
            <w:pPr>
              <w:ind w:left="100"/>
              <w:spacing w:after="0" w:line="151" w:lineRule="exact"/>
              <w:rPr>
                <w:sz w:val="20"/>
                <w:szCs w:val="20"/>
                <w:color w:val="auto"/>
              </w:rPr>
            </w:pPr>
            <w:r>
              <w:rPr>
                <w:rFonts w:ascii="Times New Roman" w:cs="Times New Roman" w:eastAsia="Times New Roman" w:hAnsi="Times New Roman"/>
                <w:sz w:val="17"/>
                <w:szCs w:val="17"/>
                <w:color w:val="auto"/>
              </w:rPr>
              <w:t>Transactions processed</w:t>
            </w:r>
          </w:p>
        </w:tc>
        <w:tc>
          <w:tcPr>
            <w:tcW w:w="1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5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CCEEFF"/>
            </w:tcBorders>
            <w:shd w:val="clear" w:color="auto" w:fill="CCEEFF"/>
          </w:tcPr>
          <w:p>
            <w:pPr>
              <w:spacing w:after="0"/>
              <w:rPr>
                <w:sz w:val="13"/>
                <w:szCs w:val="13"/>
                <w:color w:val="auto"/>
              </w:rPr>
            </w:pPr>
          </w:p>
        </w:tc>
      </w:tr>
      <w:tr>
        <w:trPr>
          <w:trHeight w:val="234"/>
        </w:trPr>
        <w:tc>
          <w:tcPr>
            <w:tcW w:w="1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(millions)</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epay Segment total revenues were $294.7 million for the three months ended September 30, 2026, an increase of $8.2 million or 3% compared to the same period in 2025. epay Segment total revenues were $882.2 million for the nine months ended September 30, 2026, an increase of $48.2 million or 6% compared to the same periods in 2025. The increases were driven by continued demand for higher-value digital content, branded payment products and prepaid products together with effective promotional campaigns, as well as continued expansion of the Company's payment acceptance network. Fluctuations in foreign currency exchange rates decreased revenues by approximately $5.0 million for the three months ended September 30, 2026 compared to the same period in 2025. Fluctuations in foreign currency exchange rates increased revenues by approximately $19.1 million for the nine months ended September 30, 2026 compared to the same period in 2025. Excluding the impact of foreign currency, revenue growth reflects favorable transaction mix and pricing.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operating costs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epay Segment direct operating costs were $222.3 million for the three months ended September 30, 2026, an increase of $6.0 million or 3% compared to the same period in 2025. epay Segment direct operating costs were $662.3 million for the nine months ended September 30, 2026, an increase of $33.0 million or 5% compared to the same periods in 2025. Direct operating costs primarily consist of the commissions paid to retail merchants for the distribution and sale of prepaid mobile airtime and other prepaid products, expenses incurred to operate POS terminals and the cost of vouchers sold and physical gifts fulfilled. Fluctuations in foreign currency exchange rates increased direct operating costs by approximately $3.7 million for the three months ended September 30, 2026 compared to the same period in 2025. Fluctuations in foreign currency exchange rates decreased direct operating costs by approximately $14.7 million for the nine months ended September 30, 2026 compared to the same period in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was $72.4 million for the three months ended September 30, 2026, an increase of $2.2 million or 3% compared to $70.2 million for the same period in 2025. Gross profit was $219.9 million for the nine months ended September 30, 2026, an increase of $15.2 million or 7% compared to $204.7 million for the same periods in 2025. Gross margin increased to 24.6% and 24.9% for the three and nine months ended September 30, 2026, compared to 24.5% and 24.5% for the same period in 2025. The increase in gross profit and gross margin were primarily a result of a shift in the mix of transactions processed.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Salaries and benefits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Salaries and benefits expenses were $29.0 million for the three months ended September 30, 2026, an increase of $1.0 million or 4% compared to the same period in 2025. Salaries and benefits expenses were $86.5 million for the nine months ended September 30, 2026, an increase of $7.8 million or 10% compared to the same period in 2025. As a percentage of revenues, these expenses changed to 9.8% for the three and nine months ended September 30, 2026, compared to 9.8% and 9.4% for the same period in 2025. The increase is primarily due to merit increases and inflationary pressures. Fluctuations in foreign currency exchange rates increased salaries and benefits by approximately $0.3 million for the three months ended September 30, 2026 compared to the same period in 2025. Fluctuations in foreign currency exchange rates decreased salaries and benefits by approximately $2.2 million for the nine months ended September 30, 2026 compared to the same period in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were $10.0 million for the three months ended September 30, 2026, an increase of $0.3 million or 3% compared to the same period in 2025. Selling, general and administrative expenses were $31.7 million for the nine months ended September 30, 2026, a decrease of $0.6 million or 2% compared to the same period in 2025. As a percentage of revenues, these expenses changed to 3.4% and 3.6% for the three and nine months ended September 30, 2026, compared to 3.4% and 3.9% for the same periods in 2025.</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Depreciation and amortization expenses were $1.6 million for the three months ended September 30, 2026, an increase of $0.1 million or 7% compared to the same period in 2025. Depreciation and amortization expenses were $4.7 million for the nine months ended September 30, 2026, a decrease of $0.1 million or 2% compared to the same period in 2025. Depreciation and amortization expense primarily represent depreciation of POS terminals we install in retail stores and amortization of acquired intangible assets. As a percentage of revenues, these expenses remained at 0.5% for the three months ended September 30, 2026 and 2025 and decreased to 0.5% for the nine months ended September 30, 2026 compared to 0.6% for the same period in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2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epay Segment operating income was $31.8 million for the three months ended September 30, 2026, an increase of $0.8 million or 3% compared to the same period in 2025. epay Segment operating income was $97.0 million for the nine months ended September 30, 2026, an increase of $8.1 million or 9% compared to the same period in 2025. Operating margin remained the same at 10.8% for the three months ended September 30, 2026 and 2025 and increased to 11.0% for the nine months ended September 30, 2026 compared to 10.7% for the same period in 2025. </w:t>
      </w:r>
      <w:r>
        <w:rPr>
          <w:rFonts w:ascii="Times New Roman" w:cs="Times New Roman" w:eastAsia="Times New Roman" w:hAnsi="Times New Roman"/>
          <w:sz w:val="21"/>
          <w:szCs w:val="21"/>
          <w:color w:val="auto"/>
        </w:rPr>
        <w:t>T</w:t>
      </w:r>
      <w:r>
        <w:rPr>
          <w:rFonts w:ascii="Times New Roman" w:cs="Times New Roman" w:eastAsia="Times New Roman" w:hAnsi="Times New Roman"/>
          <w:sz w:val="18"/>
          <w:szCs w:val="18"/>
          <w:color w:val="auto"/>
        </w:rPr>
        <w:t>he segment continued to deliver consistent underlying performance supported by higher-value digital content, prepaid and payment products, while continuing to expand its payment acceptance footprint with an increase in POS terminals and digital distribution.</w:t>
      </w:r>
    </w:p>
    <w:p>
      <w:pPr>
        <w:sectPr>
          <w:pgSz w:w="11900" w:h="16838" w:orient="portrait"/>
          <w:cols w:equalWidth="0" w:num="1">
            <w:col w:w="11240"/>
          </w:cols>
          <w:pgMar w:left="320" w:top="121" w:right="339" w:bottom="542" w:gutter="0" w:footer="0" w:header="0"/>
        </w:sectPr>
      </w:pP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542"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CROSS-BORDER PAYMENTS SEGMENT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Cross-Border Payments segment operated in a challenging market environment during the quarter as changes in U.S. immigration policies and the implementation of the U.S. remittance tax reduced outbound remittance activity in certain corridors. Despite these headwinds, the segment continued to experience growth in its digital business, expand the Dandelion payment network and invest in initiatives designed to strengthen its retail business and support long-term growth.</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results of operations for the three and nine months ended September 30, 2026 and 2025 for the Cross-Border Payments Segment: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8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9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c>
          <w:tcPr>
            <w:tcW w:w="160" w:type="dxa"/>
            <w:vAlign w:val="bottom"/>
          </w:tcPr>
          <w:p>
            <w:pPr>
              <w:spacing w:after="0"/>
              <w:rPr>
                <w:sz w:val="13"/>
                <w:szCs w:val="13"/>
                <w:color w:val="auto"/>
              </w:rPr>
            </w:pPr>
          </w:p>
        </w:tc>
        <w:tc>
          <w:tcPr>
            <w:tcW w:w="2000" w:type="dxa"/>
            <w:vAlign w:val="bottom"/>
            <w:gridSpan w:val="3"/>
            <w:vMerge w:val="restart"/>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73"/>
        </w:trPr>
        <w:tc>
          <w:tcPr>
            <w:tcW w:w="1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96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30,</w:t>
            </w: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1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150"/>
              <w:spacing w:after="0" w:line="118"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3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1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310"/>
              <w:spacing w:after="0" w:line="118"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0" w:type="dxa"/>
            <w:vAlign w:val="bottom"/>
          </w:tcPr>
          <w:p>
            <w:pPr>
              <w:spacing w:after="0"/>
              <w:rPr>
                <w:sz w:val="1"/>
                <w:szCs w:val="1"/>
                <w:color w:val="auto"/>
              </w:rPr>
            </w:pPr>
          </w:p>
        </w:tc>
      </w:tr>
      <w:tr>
        <w:trPr>
          <w:trHeight w:val="149"/>
        </w:trPr>
        <w:tc>
          <w:tcPr>
            <w:tcW w:w="19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(dollar amounts in millions)</w:t>
            </w:r>
          </w:p>
        </w:tc>
        <w:tc>
          <w:tcPr>
            <w:tcW w:w="16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60" w:type="dxa"/>
            <w:vAlign w:val="bottom"/>
          </w:tcPr>
          <w:p>
            <w:pPr>
              <w:spacing w:after="0"/>
              <w:rPr>
                <w:sz w:val="12"/>
                <w:szCs w:val="12"/>
                <w:color w:val="auto"/>
              </w:rPr>
            </w:pPr>
          </w:p>
        </w:tc>
        <w:tc>
          <w:tcPr>
            <w:tcW w:w="1020" w:type="dxa"/>
            <w:vAlign w:val="bottom"/>
          </w:tcPr>
          <w:p>
            <w:pPr>
              <w:jc w:val="center"/>
              <w:ind w:right="15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60" w:type="dxa"/>
            <w:vAlign w:val="bottom"/>
          </w:tcPr>
          <w:p>
            <w:pPr>
              <w:spacing w:after="0"/>
              <w:rPr>
                <w:sz w:val="12"/>
                <w:szCs w:val="12"/>
                <w:color w:val="auto"/>
              </w:rPr>
            </w:pPr>
          </w:p>
        </w:tc>
        <w:tc>
          <w:tcPr>
            <w:tcW w:w="1040" w:type="dxa"/>
            <w:vAlign w:val="bottom"/>
          </w:tcPr>
          <w:p>
            <w:pPr>
              <w:jc w:val="right"/>
              <w:ind w:right="25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73"/>
        </w:trPr>
        <w:tc>
          <w:tcPr>
            <w:tcW w:w="19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3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37"/>
        </w:trPr>
        <w:tc>
          <w:tcPr>
            <w:tcW w:w="2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1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1,295.8</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r>
              <w:rPr>
                <w:rFonts w:ascii="Times New Roman" w:cs="Times New Roman" w:eastAsia="Times New Roman" w:hAnsi="Times New Roman"/>
                <w:sz w:val="18"/>
                <w:szCs w:val="18"/>
                <w:u w:val="single" w:color="auto"/>
                <w:color w:val="auto"/>
              </w:rPr>
              <w:t>0</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7"/>
        </w:trPr>
        <w:tc>
          <w:tcPr>
            <w:tcW w:w="2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 operating costs</w:t>
            </w:r>
          </w:p>
        </w:tc>
        <w:tc>
          <w:tcPr>
            <w:tcW w:w="2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1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698.3</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7"/>
        </w:trPr>
        <w:tc>
          <w:tcPr>
            <w:tcW w:w="2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Salaries and benefits</w:t>
            </w:r>
          </w:p>
        </w:tc>
        <w:tc>
          <w:tcPr>
            <w:tcW w:w="2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1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8"/>
        </w:trPr>
        <w:tc>
          <w:tcPr>
            <w:tcW w:w="212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Selling, general and</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administrative</w:t>
            </w: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1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8"/>
        </w:trPr>
        <w:tc>
          <w:tcPr>
            <w:tcW w:w="212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Depreciation and</w:t>
            </w: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18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78"/>
        </w:trPr>
        <w:tc>
          <w:tcPr>
            <w:tcW w:w="2120" w:type="dxa"/>
            <w:vAlign w:val="bottom"/>
            <w:gridSpan w:val="2"/>
            <w:shd w:val="clear" w:color="auto" w:fill="CCEEFF"/>
          </w:tcPr>
          <w:p>
            <w:pPr>
              <w:ind w:left="340"/>
              <w:spacing w:after="0" w:line="177" w:lineRule="exact"/>
              <w:rPr>
                <w:sz w:val="20"/>
                <w:szCs w:val="20"/>
                <w:color w:val="auto"/>
              </w:rPr>
            </w:pPr>
            <w:r>
              <w:rPr>
                <w:rFonts w:ascii="Times New Roman" w:cs="Times New Roman" w:eastAsia="Times New Roman" w:hAnsi="Times New Roman"/>
                <w:sz w:val="18"/>
                <w:szCs w:val="18"/>
                <w:color w:val="auto"/>
              </w:rPr>
              <w:t>Total operating</w:t>
            </w: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1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w:t>
            </w:r>
          </w:p>
        </w:tc>
        <w:tc>
          <w:tcPr>
            <w:tcW w:w="16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w:t>
            </w:r>
          </w:p>
        </w:tc>
        <w:tc>
          <w:tcPr>
            <w:tcW w:w="1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1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1,173.3</w:t>
            </w:r>
          </w:p>
        </w:tc>
        <w:tc>
          <w:tcPr>
            <w:tcW w:w="16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1,158.0</w:t>
            </w:r>
          </w:p>
        </w:tc>
        <w:tc>
          <w:tcPr>
            <w:tcW w:w="1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7"/>
        </w:trPr>
        <w:tc>
          <w:tcPr>
            <w:tcW w:w="21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1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51"/>
        </w:trPr>
        <w:tc>
          <w:tcPr>
            <w:tcW w:w="2120" w:type="dxa"/>
            <w:vAlign w:val="bottom"/>
            <w:tcBorders>
              <w:top w:val="single" w:sz="8" w:color="CCEEFF"/>
            </w:tcBorders>
            <w:gridSpan w:val="2"/>
            <w:shd w:val="clear" w:color="auto" w:fill="CCEEFF"/>
          </w:tcPr>
          <w:p>
            <w:pPr>
              <w:ind w:left="100"/>
              <w:spacing w:after="0" w:line="151" w:lineRule="exact"/>
              <w:rPr>
                <w:sz w:val="20"/>
                <w:szCs w:val="20"/>
                <w:color w:val="auto"/>
              </w:rPr>
            </w:pPr>
            <w:r>
              <w:rPr>
                <w:rFonts w:ascii="Times New Roman" w:cs="Times New Roman" w:eastAsia="Times New Roman" w:hAnsi="Times New Roman"/>
                <w:sz w:val="17"/>
                <w:szCs w:val="17"/>
                <w:color w:val="auto"/>
              </w:rPr>
              <w:t>Transactions processed</w:t>
            </w:r>
          </w:p>
        </w:tc>
        <w:tc>
          <w:tcPr>
            <w:tcW w:w="2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(millions)</w:t>
            </w: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1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Cross-Border Payments Segment total revenues were $431.0 million for the three months ended September 30, 2026, a decrease of $21.4 million or 5% compared to the same period in 2025. CBP Segment total revenues were $1,295.8 million for the nine months ended September 30, 2026, a decrease of $32.2 million or 2% compared to the same period in 2025. Revenues per transaction was $9.51 and $9.61 for the three and nine months ended September 30, 2026, compared to $9.83 and $9.71 for the same periods in 2025. Fluctuations in foreign currency exchange rates decreased revenues by approximately $2.1 million and increased revenues by approximately $27.9 million for the three and nine months ended September 30, 2026 compared to the same periods in 2025. Revenue, gross profit and operating income were impacted by several factors, including the implementation of the 1% U.S. remittance tax, which reduced consumer transaction activity during the quarter, changes in U.S. immigration policies affecting transfers, middle east pressures and persistent inflation in many markets that constrained consumers’ ability to send money to beneficiaries internationally. These headwinds were partially offset by continued strength in our digital business, with consumer-to-consumer digital transactions increasing 34%.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operating costs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Cross-Border Payments Segment direct operating costs were $227.2 million for the three months ended September 30, 2026, a decrease of $8.6 million or 4% compared to the same period in 2025. CBP Segment direct operating costs were $682.5 million for the nine months ended September 30, 2026, a decrease of $15.8 million or 2% compared to the same period in 2025. Direct operating costs primarily consist of commissions paid to agents who originate money transfers on our behalf and correspondent agents who disburse funds to the customers’ destination beneficiaries, together with less significant costs, such as bank depository fees. Fluctuations in foreign currency exchange rates increased direct operating costs by approximately $1.1 million and decreased directs operating costs by $13.8 million for the three and nine months ended September 30, 2026 compared to the same periods in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Gross profit was $203.8 million for the three months ended September 30, 2026, a decrease of $12.8 million or 6% compared to $216.6 million for the same period in 2025. Gross profit was $613.3 million for the nine months ended September 30, 2026, a decrease of $16.4 million or 3% compared to $629.7 million for the same period in 2025. Gross margin was 47.3% for both the three and nine months ended September 30, 2026, compared to 47.9% and 47.4% for the same periods in 2025.</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Salaries and benefits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Salaries and benefits expenses were $92.0 million for the three months ended September 30, 2026, a decrease of $0.6 million or 1% compared to the same period in 2025. Salaries and benefits expenses were $276.4 million for the nine months ended September 30, 2026, an increase of $7.7 million or 3% compared to the same period in 2025. The increase in salaries and benefits was primarily driven by salary increases due to inflationary pressures. As a percentage of revenues, salary expenses increased to 21.3% for both the three and nine months ended September 30, 2026, compared to 20.5% and 20.2% for the same periods in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were $68.2 million for the three months ended September 30, 2026, an increase of $10.1 million or 17% compared to the same period in 2025. Selling, general and administrative expenses were $195.3 million for the nine months ended September 30, 2026, an increase of $23.0 million or 13% compared to the same period in 2025. The increase was primarily attributable to higher professional fees, increased advertising and promotion expenses to support strategic initiatives. As a percentage of revenues, these expenses increased to 15.8% and 15.1% for the three and nine months ended September 30, 2026, compared to 12.8% and 13.0% for the same periods in 2025.</w:t>
      </w:r>
    </w:p>
    <w:p>
      <w:pPr>
        <w:sectPr>
          <w:pgSz w:w="11900" w:h="16838" w:orient="portrait"/>
          <w:cols w:equalWidth="0" w:num="1">
            <w:col w:w="11240"/>
          </w:cols>
          <w:pgMar w:left="320" w:top="117" w:right="339" w:bottom="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Depreciation and amortization expenses were $6.3 million for the three months ended September 30, 2026, a decrease of $0.3 million or 5% compared to the same period in 2025. Depreciation and amortization expenses were $19.1 million for the nine months ended September 30, 2026, an increase of $0.4 million or 2% compared to the same period in 2025. Depreciation and amortization expenses primarily represent amortization of acquired intangible assets and depreciation of money transfer terminals, computers and software, leasehold improvements and office equipment. As a percentage of revenues, these expenses were 1.5% for both the three and nine months ended September 30, 2026, compared to 1.5% and 1.4% for the same periods in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Cross-Border Payments Segment operating income was $37.3 million for the three months ended September 30, 2026, a decrease of $22.0 million or 37% compared to the same period in 2025. CBP Segment operating income was $122.5 million for the nine months ended September 30, 2026, a decrease of $47.5 million or 28% compared to the same period in 2025. Operating margin was 8.7% and 9.5% for the three and nine months ended September 30, 2026, compared to 13.1% and 12.8% for the same periods in 2025. Operating income per transaction was $0.82 and $0.91 for the three and nine months ended September 30, 2026, compared to $1.29 and $1.24 for the same period in 2025. The decrease in operating income and operating margin was primarily attributable to lower transaction volumes in higher-margin corridors, a less favorable transaction mix, competitive pricing pressure in certain markets, and continued investment in the digital business and the Dandelion platform.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operating expenses for the three and nine months ended September 30, 2026 and 2025 for Corporate Services: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0"/>
        </w:trPr>
        <w:tc>
          <w:tcPr>
            <w:tcW w:w="2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7"/>
                <w:szCs w:val="17"/>
                <w:color w:val="auto"/>
              </w:rPr>
            </w:pPr>
          </w:p>
        </w:tc>
        <w:tc>
          <w:tcPr>
            <w:tcW w:w="224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240" w:type="dxa"/>
            <w:vAlign w:val="bottom"/>
          </w:tcPr>
          <w:p>
            <w:pPr>
              <w:spacing w:after="0"/>
              <w:rPr>
                <w:sz w:val="17"/>
                <w:szCs w:val="17"/>
                <w:color w:val="auto"/>
              </w:rPr>
            </w:pPr>
          </w:p>
        </w:tc>
        <w:tc>
          <w:tcPr>
            <w:tcW w:w="19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gridSpan w:val="3"/>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Year-over-Year Change</w:t>
            </w:r>
          </w:p>
        </w:tc>
      </w:tr>
      <w:tr>
        <w:trPr>
          <w:trHeight w:val="131"/>
        </w:trPr>
        <w:tc>
          <w:tcPr>
            <w:tcW w:w="2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58"/>
              <w:spacing w:after="0" w:line="131"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282"/>
              <w:spacing w:after="0" w:line="131"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3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38"/>
              <w:spacing w:after="0" w:line="131"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282"/>
              <w:spacing w:after="0" w:line="131" w:lineRule="exact"/>
              <w:rPr>
                <w:sz w:val="20"/>
                <w:szCs w:val="20"/>
                <w:color w:val="auto"/>
              </w:rPr>
            </w:pPr>
            <w:r>
              <w:rPr>
                <w:rFonts w:ascii="Times New Roman" w:cs="Times New Roman" w:eastAsia="Times New Roman" w:hAnsi="Times New Roman"/>
                <w:sz w:val="14"/>
                <w:szCs w:val="14"/>
                <w:b w:val="1"/>
                <w:bCs w:val="1"/>
                <w:color w:val="auto"/>
              </w:rPr>
              <w:t>Increase</w:t>
            </w:r>
          </w:p>
        </w:tc>
      </w:tr>
      <w:tr>
        <w:trPr>
          <w:trHeight w:val="200"/>
        </w:trPr>
        <w:tc>
          <w:tcPr>
            <w:tcW w:w="22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(dollar amounts in millions)</w:t>
            </w:r>
          </w:p>
        </w:tc>
        <w:tc>
          <w:tcPr>
            <w:tcW w:w="260" w:type="dxa"/>
            <w:vAlign w:val="bottom"/>
          </w:tcPr>
          <w:p>
            <w:pPr>
              <w:spacing w:after="0"/>
              <w:rPr>
                <w:sz w:val="17"/>
                <w:szCs w:val="17"/>
                <w:color w:val="auto"/>
              </w:rPr>
            </w:pPr>
          </w:p>
        </w:tc>
        <w:tc>
          <w:tcPr>
            <w:tcW w:w="720" w:type="dxa"/>
            <w:vAlign w:val="bottom"/>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134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7"/>
                <w:szCs w:val="17"/>
                <w:color w:val="auto"/>
              </w:rPr>
            </w:pPr>
          </w:p>
        </w:tc>
        <w:tc>
          <w:tcPr>
            <w:tcW w:w="720" w:type="dxa"/>
            <w:vAlign w:val="bottom"/>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102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96"/>
        </w:trPr>
        <w:tc>
          <w:tcPr>
            <w:tcW w:w="2060" w:type="dxa"/>
            <w:vAlign w:val="bottom"/>
            <w:tcBorders>
              <w:top w:val="single" w:sz="8" w:color="auto"/>
            </w:tcBorders>
            <w:shd w:val="clear" w:color="auto" w:fill="CCEEFF"/>
          </w:tcPr>
          <w:p>
            <w:pPr>
              <w:ind w:left="100"/>
              <w:spacing w:after="0" w:line="196" w:lineRule="exact"/>
              <w:rPr>
                <w:sz w:val="20"/>
                <w:szCs w:val="20"/>
                <w:color w:val="auto"/>
              </w:rPr>
            </w:pPr>
            <w:r>
              <w:rPr>
                <w:rFonts w:ascii="Times New Roman" w:cs="Times New Roman" w:eastAsia="Times New Roman" w:hAnsi="Times New Roman"/>
                <w:sz w:val="18"/>
                <w:szCs w:val="18"/>
                <w:color w:val="auto"/>
              </w:rPr>
              <w:t>Salaries and benefits</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22.0</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20.2</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1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2"/>
              <w:spacing w:after="0" w:line="196" w:lineRule="exact"/>
              <w:rPr>
                <w:sz w:val="20"/>
                <w:szCs w:val="20"/>
                <w:color w:val="auto"/>
              </w:rPr>
            </w:pPr>
            <w:r>
              <w:rPr>
                <w:rFonts w:ascii="Times New Roman" w:cs="Times New Roman" w:eastAsia="Times New Roman" w:hAnsi="Times New Roman"/>
                <w:sz w:val="18"/>
                <w:szCs w:val="18"/>
                <w:color w:val="auto"/>
              </w:rPr>
              <w:t>9%</w:t>
            </w:r>
          </w:p>
        </w:tc>
        <w:tc>
          <w:tcPr>
            <w:tcW w:w="3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63.8</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55.8</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2"/>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8"/>
        </w:trPr>
        <w:tc>
          <w:tcPr>
            <w:tcW w:w="222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Selling, general and</w:t>
            </w: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2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administrative</w:t>
            </w: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16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18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21%</w:t>
            </w:r>
          </w:p>
        </w:tc>
      </w:tr>
      <w:tr>
        <w:trPr>
          <w:trHeight w:val="198"/>
        </w:trPr>
        <w:tc>
          <w:tcPr>
            <w:tcW w:w="222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Depreciation and</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4"/>
        </w:trPr>
        <w:tc>
          <w:tcPr>
            <w:tcW w:w="2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1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1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50%</w:t>
            </w:r>
          </w:p>
        </w:tc>
      </w:tr>
      <w:tr>
        <w:trPr>
          <w:trHeight w:val="196"/>
        </w:trPr>
        <w:tc>
          <w:tcPr>
            <w:tcW w:w="222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25.7</w:t>
            </w:r>
          </w:p>
        </w:tc>
        <w:tc>
          <w:tcPr>
            <w:tcW w:w="16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23.4</w:t>
            </w:r>
          </w:p>
        </w:tc>
        <w:tc>
          <w:tcPr>
            <w:tcW w:w="16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1160" w:type="dxa"/>
            <w:vAlign w:val="bottom"/>
            <w:gridSpan w:val="2"/>
          </w:tcPr>
          <w:p>
            <w:pPr>
              <w:jc w:val="right"/>
              <w:ind w:right="2"/>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340" w:type="dxa"/>
            <w:vAlign w:val="bottom"/>
          </w:tcPr>
          <w:p>
            <w:pPr>
              <w:spacing w:after="0"/>
              <w:rPr>
                <w:sz w:val="17"/>
                <w:szCs w:val="17"/>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76.4</w:t>
            </w:r>
          </w:p>
        </w:tc>
        <w:tc>
          <w:tcPr>
            <w:tcW w:w="16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66.1</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180" w:type="dxa"/>
            <w:vAlign w:val="bottom"/>
            <w:gridSpan w:val="2"/>
          </w:tcPr>
          <w:p>
            <w:pPr>
              <w:jc w:val="right"/>
              <w:ind w:right="2"/>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20"/>
        </w:trPr>
        <w:tc>
          <w:tcPr>
            <w:tcW w:w="2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operating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Corporate operating expenses were $25.7 million and $76.4 million for the three and nine months ended September 30, 2026, an increase of $2.3 million or 10% and $10.3 million or 16% compared to the same periods in 2025. This increase was largely driven by an increase in long-term share-based compensation.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NET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00"/>
        </w:trPr>
        <w:tc>
          <w:tcPr>
            <w:tcW w:w="1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7"/>
                <w:szCs w:val="17"/>
                <w:color w:val="auto"/>
              </w:rPr>
            </w:pPr>
          </w:p>
        </w:tc>
        <w:tc>
          <w:tcPr>
            <w:tcW w:w="23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30,</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Year-over-Year Change</w:t>
            </w:r>
          </w:p>
        </w:tc>
      </w:tr>
      <w:tr>
        <w:trPr>
          <w:trHeight w:val="131"/>
        </w:trPr>
        <w:tc>
          <w:tcPr>
            <w:tcW w:w="1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Borders>
              <w:top w:val="single" w:sz="8" w:color="auto"/>
            </w:tcBorders>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56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Borders>
              <w:top w:val="single" w:sz="8" w:color="auto"/>
            </w:tcBorders>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r>
      <w:tr>
        <w:trPr>
          <w:trHeight w:val="162"/>
        </w:trPr>
        <w:tc>
          <w:tcPr>
            <w:tcW w:w="1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60" w:type="dxa"/>
            <w:vAlign w:val="bottom"/>
          </w:tcPr>
          <w:p>
            <w:pPr>
              <w:spacing w:after="0"/>
              <w:rPr>
                <w:sz w:val="14"/>
                <w:szCs w:val="14"/>
                <w:color w:val="auto"/>
              </w:rPr>
            </w:pPr>
          </w:p>
        </w:tc>
        <w:tc>
          <w:tcPr>
            <w:tcW w:w="136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60" w:type="dxa"/>
            <w:vAlign w:val="bottom"/>
          </w:tcPr>
          <w:p>
            <w:pPr>
              <w:spacing w:after="0"/>
              <w:rPr>
                <w:sz w:val="14"/>
                <w:szCs w:val="14"/>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200"/>
        </w:trPr>
        <w:tc>
          <w:tcPr>
            <w:tcW w:w="1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(dollar amounts in millions)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136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8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96"/>
        </w:trPr>
        <w:tc>
          <w:tcPr>
            <w:tcW w:w="1920" w:type="dxa"/>
            <w:vAlign w:val="bottom"/>
            <w:tcBorders>
              <w:top w:val="single" w:sz="8" w:color="auto"/>
            </w:tcBorders>
            <w:shd w:val="clear" w:color="auto" w:fill="CCEEFF"/>
          </w:tcPr>
          <w:p>
            <w:pPr>
              <w:ind w:left="100"/>
              <w:spacing w:after="0" w:line="196" w:lineRule="exact"/>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gridSpan w:val="2"/>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13.9</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17.7</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gridSpan w:val="2"/>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16"/>
        </w:trPr>
        <w:tc>
          <w:tcPr>
            <w:tcW w:w="1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r>
      <w:tr>
        <w:trPr>
          <w:trHeight w:val="184"/>
        </w:trPr>
        <w:tc>
          <w:tcPr>
            <w:tcW w:w="192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Foreign currency</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216"/>
        </w:trPr>
        <w:tc>
          <w:tcPr>
            <w:tcW w:w="1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exchange gains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1"/>
        </w:trPr>
        <w:tc>
          <w:tcPr>
            <w:tcW w:w="1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(losses), net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1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3,200%</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1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19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gains (losses)</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180" w:type="dxa"/>
            <w:vAlign w:val="bottom"/>
            <w:tcBorders>
              <w:bottom w:val="single" w:sz="8" w:color="CCEEFF"/>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180" w:type="dxa"/>
            <w:vAlign w:val="bottom"/>
            <w:tcBorders>
              <w:bottom w:val="single" w:sz="8" w:color="CCEEFF"/>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(91)%</w:t>
            </w:r>
          </w:p>
        </w:tc>
      </w:tr>
      <w:tr>
        <w:trPr>
          <w:trHeight w:val="196"/>
        </w:trPr>
        <w:tc>
          <w:tcPr>
            <w:tcW w:w="1920" w:type="dxa"/>
            <w:vAlign w:val="bottom"/>
            <w:tcBorders>
              <w:bottom w:val="single" w:sz="8" w:color="CCEEFF"/>
            </w:tcBorders>
            <w:shd w:val="clear" w:color="auto" w:fill="CCEEFF"/>
          </w:tcPr>
          <w:p>
            <w:pPr>
              <w:ind w:left="100"/>
              <w:spacing w:after="0" w:line="196" w:lineRule="exact"/>
              <w:rPr>
                <w:sz w:val="20"/>
                <w:szCs w:val="20"/>
                <w:color w:val="auto"/>
              </w:rPr>
            </w:pPr>
            <w:r>
              <w:rPr>
                <w:rFonts w:ascii="Times New Roman" w:cs="Times New Roman" w:eastAsia="Times New Roman" w:hAnsi="Times New Roman"/>
                <w:sz w:val="18"/>
                <w:szCs w:val="18"/>
                <w:color w:val="auto"/>
              </w:rPr>
              <w:t>Other expense, net</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(14.8)</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1180" w:type="dxa"/>
            <w:vAlign w:val="bottom"/>
            <w:tcBorders>
              <w:bottom w:val="single" w:sz="8" w:color="CCEEFF"/>
            </w:tcBorders>
            <w:gridSpan w:val="3"/>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3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(30.6)</w:t>
            </w: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(71.8)</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41.2</w:t>
            </w:r>
          </w:p>
        </w:tc>
        <w:tc>
          <w:tcPr>
            <w:tcW w:w="1180" w:type="dxa"/>
            <w:vAlign w:val="bottom"/>
            <w:tcBorders>
              <w:bottom w:val="single" w:sz="8" w:color="CCEEFF"/>
            </w:tcBorders>
            <w:gridSpan w:val="3"/>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20"/>
        </w:trPr>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was $5.0 million for the three months ended September 30, 2026, a decrease of $1.2 million or 19% compared to the same period in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was $13.9 million for the nine months ended September 30, 2026, a decrease of $3.8 million or 21% compared to the same period in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decrease was driven by a decrease in interest rates.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was $21.7 million for the three months ended September 30, 2026, a decrease of $0.8 million or 4% compared to the same period in 2025. Interest expense was $56.4 million for the nine months ended September 30, 2026, a decrease of $13.7 million or 20% compared to the same period in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loss, net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Foreign currency exchange activity includes gains and losses on certain foreign currency exchange derivative contracts and the impact of remeasurement of assets and liabilities denominated in foreign currencies. Assets and liabilities denominated in currencies other than the local currency of each of our subsidiaries give rise to foreign currency exchange gains and losses. Foreign currency exchange gains and losses that result from remeasurement of these assets and liabilities are recorded in net income.</w:t>
      </w:r>
    </w:p>
    <w:p>
      <w:pPr>
        <w:sectPr>
          <w:pgSz w:w="11900" w:h="16838" w:orient="portrait"/>
          <w:cols w:equalWidth="0" w:num="1">
            <w:col w:w="11240"/>
          </w:cols>
          <w:pgMar w:left="320" w:top="335" w:right="339" w:bottom="0" w:gutter="0" w:footer="0" w:header="0"/>
        </w:sectPr>
      </w:pPr>
    </w:p>
    <w:bookmarkStart w:id="27" w:name="page28"/>
    <w:bookmarkEnd w:id="27"/>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recorded net foreign currency exchange gains of $3.3 million and $11.5 million for the three and nine months ended September 30, 2026, compared to net foreign currency exchange gain and loss of $0.1 million and $23.7 million for the same periods in 2025. These realized and unrealized foreign currency exchange results reflect the fluctuation in the value of the U.S. dollar against the currencies of the countries in which we operated during the respective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gains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other gains and losses mainly relate to a discrete non-cash investment.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effective income tax rate was 28.7% and 34.7% for the three and nine months ended September 30, 2026, compared to 30.6% and 26.8% for the same period ended September 30, 2025. The Company's effective income tax rate for the three months ended September 30, 2026 was higher than the applicable statutory income tax rate of 21% as a result of certain foreign earnings being subject to higher local statutory tax rates and our U.S. deferred tax activity. The Company's effective income tax rate for the three and nine months ended September 30, 2025 was higher than the applicable statutory income tax rate of 21% as a result of certain of its foreign earnings being subject to higher local statutory tax rates.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NONCONTROLLING INTERESTS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Noncontrolling interests represent the elimination of net income or loss attributable to the minority shareholders’ portion of the following consolidated subsidiaries that are not wholly owned: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25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Percent Owned</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Segment - Country</w:t>
            </w:r>
          </w:p>
        </w:tc>
      </w:tr>
      <w:tr>
        <w:trPr>
          <w:trHeight w:val="210"/>
        </w:trPr>
        <w:tc>
          <w:tcPr>
            <w:tcW w:w="56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LATAM ATM Solutions (Prosegur)</w:t>
            </w:r>
          </w:p>
        </w:tc>
        <w:tc>
          <w:tcPr>
            <w:tcW w:w="32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51%</w:t>
            </w:r>
          </w:p>
        </w:tc>
        <w:tc>
          <w:tcPr>
            <w:tcW w:w="32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PI - South America</w:t>
            </w:r>
          </w:p>
        </w:tc>
      </w:tr>
      <w:tr>
        <w:trPr>
          <w:trHeight w:val="216"/>
        </w:trPr>
        <w:tc>
          <w:tcPr>
            <w:tcW w:w="5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Euronet Pakistan</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70%</w:t>
            </w:r>
          </w:p>
        </w:tc>
        <w:tc>
          <w:tcPr>
            <w:tcW w:w="320" w:type="dxa"/>
            <w:vAlign w:val="bottom"/>
          </w:tcPr>
          <w:p>
            <w:pPr>
              <w:spacing w:after="0"/>
              <w:rPr>
                <w:sz w:val="18"/>
                <w:szCs w:val="18"/>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PI - Pakistan</w:t>
            </w:r>
          </w:p>
        </w:tc>
      </w:tr>
      <w:tr>
        <w:trPr>
          <w:trHeight w:val="216"/>
        </w:trPr>
        <w:tc>
          <w:tcPr>
            <w:tcW w:w="59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Unidos Co., Ltd.</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60%</w:t>
            </w:r>
          </w:p>
        </w:tc>
        <w:tc>
          <w:tcPr>
            <w:tcW w:w="320" w:type="dxa"/>
            <w:vAlign w:val="bottom"/>
            <w:shd w:val="clear" w:color="auto" w:fill="CCEEFF"/>
          </w:tcPr>
          <w:p>
            <w:pPr>
              <w:spacing w:after="0"/>
              <w:rPr>
                <w:sz w:val="18"/>
                <w:szCs w:val="18"/>
                <w:color w:val="auto"/>
              </w:rPr>
            </w:pP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CBP - Japan</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ATTRIBUTABLE TO EURONET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attributable to Euronet was $113.6 million for the three months ended September 30, 2026, a decrease of $8.4 million or 7% compared to the same period in 2025. The decrease in net income was primarily attributable to a $23.4 million decrease in operating income, partially offset by a $9.4 million decrease in income tax expense.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income attributable to Euronet was $228.5 million for the nine months ended September 30, 2026, a decrease of $29.5 million or 11% compared to the same period in 2025. The decrease in net income was primarily attributable to a $48.1 million decrease in operating income, a $25.6 million increase in income tax expense and a $3.9 million change related to the revaluation of an investment recognized, partially offset by a $13.7 million decrease in interest expense, a $35.2 million improvement in foreign currency exchange results due to the weakening of the U.S. dollar compared to our other reporting currencies.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Working capital</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2026, we had working capital of $1,169.6 million, which is calculated as the difference between total current assets and total current liabilities, compared to working capital of $415.5 million as of December 31, 2025. Our ratio of current assets to current liabilities was 1.42 and 1.11 at September 30, 2026 and December 31, 2025,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believes its cash on hand, cash generated from operations and available borrowing capacity under its revolving credit facilities provide sufficient liquidity to fund its working capital requirements, capital expenditures, debt service obligations, share repurchases and strategic growth initiatives.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require substantial working capital to finance operations. The CBP Segment funds the payout of the majority of our consumer-to-consumer money transfer services before receiving the benefit of amounts collected from customers by agents. Working capital needs increase in order to cover weekends and banking holidays. As a result, we may report more or less working capital for the CBP Segment based solely upon the day on which the reporting period ends. The epay Segment produces positive working capital, some of which is restricted in connection with the administration of its customer collection and vendor remittance activities. In our PI Segment, we obtain a significant portion of the cash required to operate our ATMs through various cash supply arrangements, the amount of which is not recorded on Euronet's Consolidated Balance Sheets. However, in certain countries, we fund the cash required to operate our ATM network from borrowings under our revolving credit facilities, uncommitted credit agreements and cash flows from operations. ATM cash, which is our own cash in use or designated for use in our ATM network, increased $262.4 million from $650.3 million as of December 31, 2025 to $912.7 million as of September 30, 2026 as a result of the increase in the number of active ATMs as of September 30, 2026 compared to December 31, 2025. The Company has $955.4 million of unrestricted cash as of September 30, 2026 compared to $1,040.3 million as of December 31, 2025. Including the $912.7 million of cash in ATMs at September 30, 2026, we have access to $2,401.3 million in available cash, and $1,113.5 million available under the Credit Facility.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identifies cash and cash equivalents provided by/(used in) our operating, investing and financing activities for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2025 (in millions):</w:t>
      </w:r>
    </w:p>
    <w:p>
      <w:pPr>
        <w:spacing w:after="0" w:line="200"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ectPr>
          <w:pgSz w:w="11900" w:h="16892" w:orient="portrait"/>
          <w:cols w:equalWidth="0" w:num="1">
            <w:col w:w="11240"/>
          </w:cols>
          <w:pgMar w:left="320" w:top="337" w:right="339" w:bottom="0" w:gutter="0" w:footer="0" w:header="0"/>
        </w:sectPr>
      </w:pPr>
    </w:p>
    <w:bookmarkStart w:id="28" w:name="page29"/>
    <w:bookmarkEnd w:id="28"/>
    <w:p>
      <w:pPr>
        <w:spacing w:after="0" w:line="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5557520</wp:posOffset>
            </wp:positionH>
            <wp:positionV relativeFrom="page">
              <wp:posOffset>226060</wp:posOffset>
            </wp:positionV>
            <wp:extent cx="16802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0"/>
        </w:trPr>
        <w:tc>
          <w:tcPr>
            <w:tcW w:w="84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Liquidity</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7"/>
                <w:szCs w:val="17"/>
                <w:color w:val="auto"/>
              </w:rPr>
            </w:pPr>
          </w:p>
        </w:tc>
      </w:tr>
      <w:tr>
        <w:trPr>
          <w:trHeight w:val="210"/>
        </w:trPr>
        <w:tc>
          <w:tcPr>
            <w:tcW w:w="8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Cash and cash equivalents and restricted cash provided by (used in):</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381.9</w:t>
            </w:r>
          </w:p>
        </w:tc>
        <w:tc>
          <w:tcPr>
            <w:tcW w:w="160" w:type="dxa"/>
            <w:vAlign w:val="bottom"/>
          </w:tcPr>
          <w:p>
            <w:pPr>
              <w:spacing w:after="0"/>
              <w:rPr>
                <w:sz w:val="18"/>
                <w:szCs w:val="18"/>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60" w:type="dxa"/>
            <w:vAlign w:val="bottom"/>
            <w:shd w:val="clear" w:color="auto" w:fill="CCEEFF"/>
          </w:tcPr>
          <w:p>
            <w:pPr>
              <w:spacing w:after="0"/>
              <w:rPr>
                <w:sz w:val="18"/>
                <w:szCs w:val="18"/>
                <w:color w:val="auto"/>
              </w:rPr>
            </w:pP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160" w:type="dxa"/>
            <w:vAlign w:val="bottom"/>
          </w:tcPr>
          <w:p>
            <w:pPr>
              <w:spacing w:after="0"/>
              <w:rPr>
                <w:sz w:val="18"/>
                <w:szCs w:val="18"/>
                <w:color w:val="auto"/>
              </w:rPr>
            </w:pPr>
          </w:p>
        </w:tc>
      </w:tr>
      <w:tr>
        <w:trPr>
          <w:trHeight w:val="216"/>
        </w:trPr>
        <w:tc>
          <w:tcPr>
            <w:tcW w:w="8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Increase (decrease) foreign currency exchange rate changes on cash and cash equivalents and restricted cash</w:t>
            </w: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160" w:type="dxa"/>
            <w:vAlign w:val="bottom"/>
            <w:shd w:val="clear" w:color="auto" w:fill="CCEEFF"/>
          </w:tcPr>
          <w:p>
            <w:pPr>
              <w:spacing w:after="0"/>
              <w:rPr>
                <w:sz w:val="18"/>
                <w:szCs w:val="18"/>
                <w:color w:val="auto"/>
              </w:rPr>
            </w:pPr>
          </w:p>
        </w:tc>
      </w:tr>
      <w:tr>
        <w:trPr>
          <w:trHeight w:val="210"/>
        </w:trPr>
        <w:tc>
          <w:tcPr>
            <w:tcW w:w="8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Increase (decrease) in cash and cash equivalents and restricted cash</w:t>
            </w: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6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18"/>
                <w:szCs w:val="18"/>
                <w:color w:val="auto"/>
              </w:rPr>
            </w:pP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activity cash flow</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flows provided in operating activities were $252.1 million for the nine months ended September 30, 2026 compared to $381.9 million for the same period in 2025. The decline was primarily driven by unfavourable changes in working capital due to timing.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activity cash flow</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flows used in investing activities were $98.3 million for the nine months ended September 30, 2026 compared to $137.0 million for the same period in 2025. The decrease in cash outflows was primarily attributable to the purchase of convertible notes receivable in 2025, which did not recur in 2026. Other investing activities, including purchases of property and equipment, remained relatively consistent year-over-year.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activity cash flow</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flows used in financing activities were $25.6 million for the nine months ended September 30, 2026 compared to $278.9 million for the same period in 2025. The decrease was primarily due to net borrowings under the credit agreements in 2026 compared to net repayments in 2025 and lower share repurchases, partially offset by the absence of the 2025 convertible notes proceeds.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of exchange rates on cash, cash equivalents and restricted cash</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Fluctuations in foreign currency exchange rates impacted cash, cash equivalents, and restricted cash by ($89.7)million and $236.3 million for the nine months ended September 30, 2026 and 2025,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sources of capital</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Credit Facility</w:t>
      </w:r>
      <w:r>
        <w:rPr>
          <w:rFonts w:ascii="Times New Roman" w:cs="Times New Roman" w:eastAsia="Times New Roman" w:hAnsi="Times New Roman"/>
          <w:sz w:val="18"/>
          <w:szCs w:val="18"/>
          <w:color w:val="auto"/>
        </w:rPr>
        <w:t xml:space="preserve"> - On December 17, 2024, the Company amended its revolving credit agreement (the “Credit Facility”) to increase the facility from $1.25 billion to $1.9 billion and to extend the expiration to December 17, 2029. The amended Credit Facility includes a multi-currency borrowing tranche totaling $1,685 million and a U.S. dollar borrowing tranche totaling $215 million. The amended Credit Facility also removes the credit spread adjustment on SOFR and SONIA borrowings. All other terms remain substantially the same as the previous Credit Facility. The multi-currency tranche of the revolving Credit Facility contains a sublimit of up to $500 million for the issuance of letters of credit, a $75 million sublimit for U.S. dollar swingline loans and a $75 million sublimit for swingline loans in euros or British pounds sterling. The multi-currency tranche of the Credit Facility allows for borrowings in British pounds sterling, euro and U.S. dollars. Subject to certain conditions, the Company has the option to increase the Credit Facility by up to an additional $500 million by requesting additional commitments from existing or new lenders. Borrowings under the revolving Credit Facility (other than swing line loans) bear interest based on a margin over a secured financing rate or the base rate, as selected by the Company, which varies from 0</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875% to 1</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375%, in each case based on the Company’s current credit rating. The applicable margin for borrowings under the Credit Facility, based on the Company’s current credit rating is 1</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075%. In addition, the Company pays a facility fee on the total commitments made under the revolving Credit Facility, which varies from 0.125% to 0.250%. The current facility fee is 0.175%.</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2026, we had $689.1 million of borrowings and $97.4 million of stand-by letters of credit outstanding under the Credit Facility. The remaining $1,113.5 million under the Credit Facility was available for borrowing.</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2049 Convertible Notes</w:t>
      </w:r>
      <w:r>
        <w:rPr>
          <w:rFonts w:ascii="Times New Roman" w:cs="Times New Roman" w:eastAsia="Times New Roman" w:hAnsi="Times New Roman"/>
          <w:sz w:val="18"/>
          <w:szCs w:val="18"/>
          <w:color w:val="auto"/>
        </w:rPr>
        <w:t xml:space="preserve"> - On March 18, 2019, we completed the sale of $525.0 million in principal amount of Convertible Senior Notes due 2049 (“2049 Convertible Notes”). The 2049 Convertible Notes were issued pursuant to an indenture, dated as of March 18, 2019, by and between us and U.S. Bank National Association, as trustee. The 2049 Convertible Notes have an interest rate of 0.75% per annum payable semi-annually in March and September and are convertible into shares of Euronet common stock at a conversion price of approximately $188.73 per share if certain conditions are met (relating to the closing prices of Euronet common stock exceeding certain thresholds for specified periods). Holders of the 2049 Convertible Notes have the option to require us to repurchase for cash all or part of their 2049 Convertible Notes on each of March 15, 2025, 2029, 2034, 2039 and 2044 at a repurchase price equal to 100% of the principal amount of the 2049 Convertible Notes to be repurchased, plus accrued and unpaid interest to, but excluding, the relevant repurchase date. In connection with the issuance of the 2049 Convertible Notes, we recorded $12.8 million in debt issuance costs, which were amortized through March 1, 2025. Almost all of the holders exercised their repurchase option in March 2025 and we repurchased $491.8 million of the 2049 Convertible Notes with a combination of cash on hand and a borrowing under our Credit Facility. As of September 30, 2026, $33.2 million of the 2049 Convertible Notes remain outstanding.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2030 Convertible Notes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On August 15, 2025, the Company completed the sale of $1,000.0 million of Convertible Senior Notes maturing in October 2030. ("2030 Convertible Notes"). The 2030 Convertible Notes mature in October 2030 unless redeemed or converted prior to such date and are convertible into shares of Euronet common stock at a conversion price of approximately $127.04 per share if certain conditions are met (relating to the closing price of Euronet common stock exceeding certain thresholds for specified periods). The 2030 Convertible Notes have an interest rate of 0.625% per year, payable semi-annually in arrears on April 1 and October 1 of each year, beginning on April 1, 2026. In connection with the issuance of the 2030 Convertible Notes, we recorded $23.5 million in debt issuance costs, which will be amortized through October 1, 2030. The 2030 Convertible Notes are convertible at the option of the holders at any time prior to the close of business on the business day immediately preceding April 1, 2030 if certain conditions are met.</w:t>
      </w:r>
    </w:p>
    <w:p>
      <w:pPr>
        <w:spacing w:after="0" w:line="14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Capped Call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In August 2025, in connection with the issuance of the 2030 Convertible Notes, the Company entered into privately negotiated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capped call transactions (the “2025 Capped Call Transactions”) with certain of the initial purchasers of the 2030 Convertible Notes or affiliates thereof and other financial institutions (the “Option Counterparties”). The capped call transactions initially cover, subject to customary anti-dilution adjustments, the</w:t>
      </w:r>
    </w:p>
    <w:p>
      <w:pPr>
        <w:sectPr>
          <w:pgSz w:w="11900" w:h="16846" w:orient="portrait"/>
          <w:cols w:equalWidth="0" w:num="1">
            <w:col w:w="11240"/>
          </w:cols>
          <w:pgMar w:left="320" w:top="371" w:right="339" w:bottom="0" w:gutter="0" w:footer="0" w:header="0"/>
        </w:sectPr>
      </w:pPr>
    </w:p>
    <w:bookmarkStart w:id="29" w:name="page30"/>
    <w:bookmarkEnd w:id="29"/>
    <w:p>
      <w:pPr>
        <w:jc w:val="both"/>
        <w:spacing w:after="0" w:line="256" w:lineRule="auto"/>
        <w:rPr>
          <w:sz w:val="20"/>
          <w:szCs w:val="20"/>
          <w:color w:val="auto"/>
        </w:rPr>
      </w:pPr>
      <w:r>
        <w:rPr>
          <w:rFonts w:ascii="Times New Roman" w:cs="Times New Roman" w:eastAsia="Times New Roman" w:hAnsi="Times New Roman"/>
          <w:sz w:val="18"/>
          <w:szCs w:val="18"/>
          <w:color w:val="auto"/>
        </w:rPr>
        <w:t>number of shares of the Company’s common stock that initially would be issuable upon conversion of the 2030 Convertible Notes. The Capped Call Transactions are net purchased call options in Euronet common stock. The Capped Call Transactions are separate transactions, entered into by the Company with the Option Counterparties, and are not part of the terms of the 2030 Convertible Notes and will not change the holders’ rights under the 2030 Convertible Notes. Holders of the 2030 Convertible Notes will not have any rights with respect to the Capped Call Transactions. The Company has concluded that the 2030 Capped Call Transactions meet the scope exceptions for derivative instruments, and as such, the 2030 Capped Call Transactions meet the criteria for classification in equity and are included as a reduction to additional paid in capital.</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Uncommitted Credit Agreements</w:t>
      </w:r>
      <w:r>
        <w:rPr>
          <w:rFonts w:ascii="Times New Roman" w:cs="Times New Roman" w:eastAsia="Times New Roman" w:hAnsi="Times New Roman"/>
          <w:sz w:val="18"/>
          <w:szCs w:val="18"/>
          <w:color w:val="auto"/>
        </w:rPr>
        <w:t xml:space="preserve"> - On June 15, 2026, the Company entered into an uncommitted demand credit agreement with U.S. Bank National Association providing for a discretionary, non-revolving credit facility of up to $100 million. The facility may be used solely to provide vault cash for automated teller machines owned by the Company and its wholly owned subsidiaries. Advances under the facility are made solely at the lender's discretion, are payable on demand, and mature no later than November 15, 2026, unless extended by the lender. Outstanding borrowings bear interest at Daily Simple SOFR plus 1.10%. As of September 30, 2026, the Company had $100 million outstanding under the facility. The weighted-average interest rate from loan inception date to September 30, 2026, was 4.74%.</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24, 2026, the Company entered into an uncommitted non-revolving credit facility with Wells Fargo Bank, National Association providing for borrowings of up to $300 million. The facility may be used solely to provide vault cash for automated teller machines owned by the Company and its wholly owned subsidiaries. The agreement expires on November 30, 2026, unless terminated earlier by the lender. As of September 30, 2026, the Company had $150 million outstanding under the facility. Outstanding borrowings bear interest at Daily Simple SOFR plus 1.25%. The weighted-average interest rate from loan inception date to September 30, 2026, was 4.90%.</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24, 2026, The Company entered into an Uncommitted Loan Agreement with Bank of America, N.A. providing for an uncommitted revolving credit facility with a maximum facility of $400 million. The facility may be used solely to provide vault cash for automated teller machines owned by the Company and its wholly owned subsidiaries. Any advances under the facility are made solely at the discretion of Bank of America, which has no contractual obligation to fund borrowings and may reduce the facility limit, demand repayment of outstanding loans, or terminate the facility at any time. The agreement expires on June 23, 2027, unless terminated earlier by the lender. Loans may be denominated in U.S. dollars or euros and bear interest at rates based on Prime, Term SOFR, EURIBOR, or other rates agreed between the parties at the time of borrowing. As of September 30, 2026, the Company had $195.7 million outstanding under the facility. The weighted-average interest rate from loan inception date to September 30, 2026, was 4.68%.</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aggregate, these uncommitted facilities represent $445.7 million, or approximately 20% of our total debt obligations, as of September 30, 2026. Because each lender may demand repayment, reduce the available facility amount, or terminate its facility at its sole discretion and without any contractual obligation to continue funding, we may be required to repay amounts outstanding under these facilities on short notice or seek replacement funding. If one or more of these facilities were terminated or called, we believe that cash on hand, cash generated from operations and availability under our committed revolving Credit Facility would be sufficient to repay the amounts outstanding; however, there can be no assurance that replacement funding for the vault cash needs currently served by these facilities would be available on similarly favorable terms, or at all.</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Other debt obligations</w:t>
      </w:r>
      <w:r>
        <w:rPr>
          <w:rFonts w:ascii="Times New Roman" w:cs="Times New Roman" w:eastAsia="Times New Roman" w:hAnsi="Times New Roman"/>
          <w:sz w:val="18"/>
          <w:szCs w:val="18"/>
          <w:color w:val="auto"/>
        </w:rPr>
        <w:t xml:space="preserve"> — Certain of the Company’s subsidiaries have available lines of credit and overdraft credit facilities that generally provide for short-term borrowings that are used from time to time for working capital purposes. On October 9, 2024, the Company completed a line of credit facility of MYR 100 million and an overdraft credit facility of MYR 140 million for its Malaysian business. Each advance under this facility shall be made for a term of 1 month or such other period of up to 12 months. As of September 30, 2026, $24.5 million was borrowed under this line of credit facility. There were no borrowings on the overdraft credit facility. Including the Malaysian facility, there was a total of $30.6 million outstanding under our subsidiaries credit lines and overdraft facilities as of September 30, 2026.</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uses of capital</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Capital expenditures and needs</w:t>
      </w:r>
      <w:r>
        <w:rPr>
          <w:rFonts w:ascii="Times New Roman" w:cs="Times New Roman" w:eastAsia="Times New Roman" w:hAnsi="Times New Roman"/>
          <w:sz w:val="18"/>
          <w:szCs w:val="18"/>
          <w:color w:val="auto"/>
        </w:rPr>
        <w:t xml:space="preserve"> - Total capital expenditures for the nine months ended September 30, 2026 were $91.3 million. These capital expenditures were primarily for the purchase and installation of ATMs in key under-penetrated markets, the purchase of POS terminals for the epay and CBP Segments, and office, data center and company store computer equipment and software. Total capital expenditures for 2026 are currently estimated to range from approximately $145 million to $155 million. At current and projected cash flow levels, we anticipate that cash generated from operations, together with cash on hand and amounts available under our Credit Facility and other existing and potential future financings will be sufficient to meet our debt (including our uncommitted credit facilities), leasing, and capital expenditure obligations. If our capital resources are not sufficient to meet these obligations, we will seek to refinance our debt and/or issue additional equity under terms acceptable to us. However, we can offer no assurances that we will be able to obtain favorable terms for the refinancing of any of our debt or other obligations or for the issuance of additional equity.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and functional currencies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Historically, the countries in which we operate have experienced low and stable inflation. Therefore, the local currency in each of these markets is the functional currency. We have seen indications that the current inflationary period will put pressure on our results of operations and our financial position. We have seen some signs of inflation impacting discretionary spend items, such as gaming products, in our epay business, discretionary travel expenditures in Payments Infrastructure Segment, as well as some pressure on send amounts in money transfer. As a consequence of this inflationary period, we expect to see increasing expenses forthcoming. We continually review inflation and the functional currency in each of the countries where we operate.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occasion, we grant guarantees of the obligations of our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As of September 30, 2026, there were no material changes from the disclosure in our Annual Report on Form 10-K for the year ended December 31, 2025. To date, we are not aware of any significant claims made by the indemnified parties or parties to whom we have provided guarantees on behalf of our subsidiaries and, accordingly, no liabilities have been recorded as of September 30, 2026. See also Note 15, Commitments, to the unaudited consolidated financial statements included elsewhere in this report.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ectPr>
          <w:pgSz w:w="11900" w:h="16838" w:orient="portrait"/>
          <w:cols w:equalWidth="0" w:num="1">
            <w:col w:w="11240"/>
          </w:cols>
          <w:pgMar w:left="320" w:top="121" w:right="339" w:bottom="87" w:gutter="0" w:footer="0" w:header="0"/>
        </w:sectPr>
      </w:pPr>
    </w:p>
    <w:bookmarkStart w:id="30" w:name="page31"/>
    <w:bookmarkEnd w:id="30"/>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2026, there have been no material changes outside the ordinary course of business in our future contractual obligations from the amounts reported within our Annual Report on Form 10-K for the year ended December 31,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our total debt outstanding, excluding unamortized debt issuance costs, was $2,198.6 million.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 this amount, $1.0 billion, net of debt discounts, or 45% of our total debt obligations, relates to our 2030 Convertible Notes that have a fixed coupon rate. Our $1,000 million outstanding principal amount of 2030 Convertible Notes accrue cash interest at a rate of 0.625% of the principal amount per annum. Based on quoted market prices, as of September 30, 2026, the fair value of our fixed rate 2030 Convertible Notes was $896.9 million, compared to a carrying value of $1.0 billion.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Also, $33.2 million, net of debt discounts, or 2% of our total debt obligations, relates to our contingent 2049 Convertible Notes that have a fixed coupon rate. Our $33.2 million outstanding principal amount of 2049 Convertible Notes accrue cash interest at a rate of 0.75% of the principal amount per annum. Based on quoted market prices, as of September 30, 2026, the fair value of our fixed rate 2049 Convertible Notes was $30.3 million, compared to a carrying value of $33.2 million.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as of September 30, 2026 we had $689.1 million of borrowings under our Credit Facility, or 31% of our total debt obligations. If we were to maintain these borrowings for one year, a 1% (100 basis points) increase in the applicable interest rate would result in additional interest expense to the Company of approximately $6.9 million. The carrying values of the Credit Facility approximates fair value because interest as of September 30, 2026, was based on SOFR that resets at various intervals of less than one year.</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 additional $445.7 million, or 20% of our total debt, is related to short-term uncommitted credit agreements. The credit agreements are due within one year and accrue interest at variable rates.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remaining $30.6 million is related to borrowings by certain subsidiaries to fund, from time to time, working capital requirements. These arrangements generally are due within one year and accrue interest at variable rates. 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2026, approximately 77% of our revenues were generated in non-U.S. dollar countries and we expect to continue generating a significant portion of our revenues in countries with currencies other than the U.S. dollar.</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particularly vulnerable to fluctuations in exchange rates of the U.S. dollar to the currencies of countries in which we have significant operations, primarily the euro, British pound, Australian dollar, Polish zloty, Indian rupee, New Zealand dollar, Malaysian ringgit and Hungarian forint. As of September 30, 2026, we estimate that a 10% fluctuation in these foreign currency exchange rates would have the combined annualized effect on reported net income and working capital of approximately $165 million to $175 million. This effect is estimated by applying a 10% adjustment factor to our non-U.S. dollar results from operations, intercompany loans that generate foreign currency gains or losses and working capital balances that require translation from the respective functional currency to the U.S. dollar reporting currency.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and , prior to their maturity in May 2026, our Senior Notes. We estimate that a 10% fluctuation in foreign currency exchange rates would have a non-cash impact on total comprehensive income of approximately $50 million to $60 million as a result of the change in value of these items during translation to the U.S. dollar. For the fluctuations described above, a strengthening U.S. dollar produces a financial loss, while a weakening U.S. dollar produces a financial gain.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are positively impacted by a weakening of the U.S. dollar and negatively impacted by a strengthening of the U.S. dollar. Additionally, a significant portion of our debt obligations are in U.S. dollars; therefore, as foreign currency exchange rates fluctuate, the amount available for repayment of debt will also increase or decrease.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derivatives to minimize our exposures related to changes in foreign currency exchange rates and to facilitate foreign currency risk management services by writing derivatives to customers. Derivatives are used to manage the overall market risk associated with foreign currency exchange rates; however, we do not perform the extensive record-keeping required to account for the derivative transactions as hedges. Due to the relatively short duration of the derivative contracts, we use the derivatives primarily as economic hedges. Since we do not designate foreign currency derivatives as hedging instruments pursuant to the accounting standards, we record gains and losses on foreign exchange derivatives in earnings in the period of change.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majority of our consumer-to-consumer money transfer operations involve receiving and disbursing different currencies, in which we earn a foreign currency spread based on the difference between buying currency at wholesale exchange rates and selling the currency to consumers at retail exchange rates. We enter into foreign currency forward and cross-currency swap contracts to minimize exposure related to fluctuations in foreign currency exchange rates. The changes in fair value related to these contracts are recorded in Foreign currency exchange (loss) gain, net on the Consolidated Statements of Operations. As of September 30, 2026, we had foreign currency derivative contracts outstanding with a notional value of $398.5 million, primarily in Australian dollars, British pounds, Canadian dollars, euros and Mexican pesos, that were not designated as hedges and mature within a few days.</w:t>
      </w:r>
    </w:p>
    <w:p>
      <w:pPr>
        <w:sectPr>
          <w:pgSz w:w="11900" w:h="16838" w:orient="portrait"/>
          <w:cols w:equalWidth="0" w:num="1">
            <w:col w:w="11240"/>
          </w:cols>
          <w:pgMar w:left="320" w:top="121" w:right="339" w:bottom="0" w:gutter="0" w:footer="0" w:header="0"/>
        </w:sectPr>
      </w:pPr>
    </w:p>
    <w:bookmarkStart w:id="31" w:name="page32"/>
    <w:bookmarkEnd w:id="31"/>
    <w:p>
      <w:pPr>
        <w:spacing w:after="0" w:line="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For derivative instruments our Xe operations write to customers, we aggregate the foreign currency exposure arising from customer contracts and hedge the resulting net currency risks by entering into offsetting contracts with established financial institution counterparties as part of a broader foreign currency portfolio. The changes in fair value related to the total portfolio of positions are recorded in Revenues on the Consolidated Statements of Operations. As of September 30, 2026, we held foreign currency derivative contracts outstanding with a notional value of $0.9 billion, primarily in U.S. dollars, euros, British pounds, Australian dollars and New Zealand dollars, that were not designated as hedges and for which the majority mature within the next twelve months.</w:t>
      </w:r>
    </w:p>
    <w:p>
      <w:pPr>
        <w:spacing w:after="0" w:line="200" w:lineRule="exact"/>
        <w:rPr>
          <w:sz w:val="20"/>
          <w:szCs w:val="20"/>
          <w:color w:val="auto"/>
        </w:rPr>
      </w:pP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longer-term foreign currency forward contracts to mitigate risks associated with changes in foreign currency exchange rates on certain foreign currency denominated other assets and liability positions. As of September 30, 2026, the Company had foreign currency forward contracts outstanding with a notional value of $592.6 million, primarily in euros.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11, Derivative Instruments and Hedging Activities, to our unaudited consolidated financial statements for additional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executive management, including our Chief Executive Officer and Chief Financial Officer, evaluated the effectiveness of the design and operation of our disclosure controls and procedures pursuant to Rule 13a-15(b) under the Exchange Act as of September 30, 2026.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Internal Controls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three months ended September 30, 2026 that has materially affected, or is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from time to time, a party to legal or regulatory proceedings arising in the ordinary course of its business.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discussion regarding contingencies in Part I, Item 1 — Financial Statements (unaudited), Note 16, Litigation and Contingencies, to the unaudited consolidated financial statements in this report is incorporated herein by reference.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Currently, there are no legal or regulatory proceedings that management believes, either individually or in the aggregate, would have a material adverse effect on the Company's consolidated financial condition or results of operations. In accordance with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July 2024, the Company has received multiple differing judicial decisions in the Italian court system addressing withholding taxes on certain agency relationships within the Cross-Border Payments Segment in Italy. The Company had taken the position that the withholding tax is not applicable after consulting with tax advisors and receiving a tax opinion on September 13, 2010. The Company, along with the tax advisors, continue to agree with the Company’s prior conclusion. The Company completed an assessment as required under US GAAP and concluded that it is reasonably possible that a liability has been incurred, but not “probable”. The principal amount of the agent-based withholding tax could be approximately €18.4 million for all open periods, exclusive of potential interest and penalties, if any.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2025, the Company was notified of a fire, resulting in the loss of Malaysian Ringgit notes in the custody of a third-party service provider. The third-party service provider had the risk of loss based on the terms of the contractual arrangement. The bank note balance of approximately $11.0 million was moved to other receivables as of September 30, 2026. At this time the Company has determined that it is probable the bank notes will be recovered from the third-party service provider.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otherwise described herein, there were no material changes to the risk factors previously disclosed in our Annual Report on Form 10-K for the year ended December 31, 2025, as filed with the SEC.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with respect to shares of the Company's common stock that were purchased by the Company during the three months ended September 30, 2026.</w:t>
      </w:r>
    </w:p>
    <w:p>
      <w:pPr>
        <w:spacing w:after="0" w:line="14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3900" w:type="dxa"/>
            <w:vAlign w:val="bottom"/>
          </w:tcPr>
          <w:p>
            <w:pPr>
              <w:jc w:val="center"/>
              <w:ind w:left="2428"/>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20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Maximum</w:t>
            </w:r>
          </w:p>
        </w:tc>
      </w:tr>
      <w:tr>
        <w:trPr>
          <w:trHeight w:val="148"/>
        </w:trPr>
        <w:tc>
          <w:tcPr>
            <w:tcW w:w="3160" w:type="dxa"/>
            <w:vAlign w:val="bottom"/>
          </w:tcPr>
          <w:p>
            <w:pPr>
              <w:spacing w:after="0"/>
              <w:rPr>
                <w:sz w:val="12"/>
                <w:szCs w:val="12"/>
                <w:color w:val="auto"/>
              </w:rPr>
            </w:pPr>
          </w:p>
        </w:tc>
        <w:tc>
          <w:tcPr>
            <w:tcW w:w="3900" w:type="dxa"/>
            <w:vAlign w:val="bottom"/>
          </w:tcPr>
          <w:p>
            <w:pPr>
              <w:jc w:val="center"/>
              <w:ind w:left="2428"/>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 per Share</w:t>
            </w: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200" w:type="dxa"/>
            <w:vAlign w:val="bottom"/>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w:t>
            </w:r>
          </w:p>
        </w:tc>
      </w:tr>
      <w:tr>
        <w:trPr>
          <w:trHeight w:val="190"/>
        </w:trPr>
        <w:tc>
          <w:tcPr>
            <w:tcW w:w="3160" w:type="dxa"/>
            <w:vAlign w:val="bottom"/>
          </w:tcPr>
          <w:p>
            <w:pPr>
              <w:spacing w:after="0"/>
              <w:rPr>
                <w:sz w:val="16"/>
                <w:szCs w:val="16"/>
                <w:color w:val="auto"/>
              </w:rPr>
            </w:pPr>
          </w:p>
        </w:tc>
        <w:tc>
          <w:tcPr>
            <w:tcW w:w="3900" w:type="dxa"/>
            <w:vAlign w:val="bottom"/>
          </w:tcPr>
          <w:p>
            <w:pPr>
              <w:jc w:val="center"/>
              <w:ind w:left="2428"/>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46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as</w:t>
            </w:r>
          </w:p>
        </w:tc>
        <w:tc>
          <w:tcPr>
            <w:tcW w:w="120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Shares that</w:t>
            </w:r>
          </w:p>
        </w:tc>
      </w:tr>
    </w:tbl>
    <w:p>
      <w:pPr>
        <w:sectPr>
          <w:pgSz w:w="11900" w:h="16894" w:orient="portrait"/>
          <w:cols w:equalWidth="0" w:num="1">
            <w:col w:w="11240"/>
          </w:cols>
          <w:pgMar w:left="320" w:top="337" w:right="339" w:bottom="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Part of Publicly</w:t>
            </w:r>
          </w:p>
        </w:tc>
        <w:tc>
          <w:tcPr>
            <w:tcW w:w="1400" w:type="dxa"/>
            <w:vAlign w:val="bottom"/>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w w:val="98"/>
              </w:rPr>
              <w:t>May Yet Be</w:t>
            </w:r>
          </w:p>
        </w:tc>
      </w:tr>
      <w:tr>
        <w:trPr>
          <w:trHeight w:val="148"/>
        </w:trPr>
        <w:tc>
          <w:tcPr>
            <w:tcW w:w="5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1400" w:type="dxa"/>
            <w:vAlign w:val="bottom"/>
          </w:tcPr>
          <w:p>
            <w:pPr>
              <w:jc w:val="center"/>
              <w:ind w:left="241"/>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r>
      <w:tr>
        <w:trPr>
          <w:trHeight w:val="149"/>
        </w:trPr>
        <w:tc>
          <w:tcPr>
            <w:tcW w:w="5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1400" w:type="dxa"/>
            <w:vAlign w:val="bottom"/>
          </w:tcPr>
          <w:p>
            <w:pPr>
              <w:jc w:val="center"/>
              <w:ind w:left="261"/>
              <w:spacing w:after="0" w:line="149" w:lineRule="exact"/>
              <w:rPr>
                <w:sz w:val="20"/>
                <w:szCs w:val="20"/>
                <w:color w:val="auto"/>
              </w:rPr>
            </w:pPr>
            <w:r>
              <w:rPr>
                <w:rFonts w:ascii="Times New Roman" w:cs="Times New Roman" w:eastAsia="Times New Roman" w:hAnsi="Times New Roman"/>
                <w:sz w:val="14"/>
                <w:szCs w:val="14"/>
                <w:b w:val="1"/>
                <w:bCs w:val="1"/>
                <w:color w:val="auto"/>
              </w:rPr>
              <w:t>Under the</w:t>
            </w:r>
          </w:p>
        </w:tc>
      </w:tr>
      <w:tr>
        <w:trPr>
          <w:trHeight w:val="148"/>
        </w:trPr>
        <w:tc>
          <w:tcPr>
            <w:tcW w:w="5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Programs</w:t>
            </w:r>
          </w:p>
        </w:tc>
        <w:tc>
          <w:tcPr>
            <w:tcW w:w="1400" w:type="dxa"/>
            <w:vAlign w:val="bottom"/>
          </w:tcPr>
          <w:p>
            <w:pPr>
              <w:jc w:val="center"/>
              <w:ind w:left="261"/>
              <w:spacing w:after="0" w:line="149" w:lineRule="exact"/>
              <w:rPr>
                <w:sz w:val="20"/>
                <w:szCs w:val="20"/>
                <w:color w:val="auto"/>
              </w:rPr>
            </w:pPr>
            <w:r>
              <w:rPr>
                <w:rFonts w:ascii="Times New Roman" w:cs="Times New Roman" w:eastAsia="Times New Roman" w:hAnsi="Times New Roman"/>
                <w:sz w:val="14"/>
                <w:szCs w:val="14"/>
                <w:b w:val="1"/>
                <w:bCs w:val="1"/>
                <w:color w:val="auto"/>
              </w:rPr>
              <w:t>Programs (in</w:t>
            </w:r>
          </w:p>
        </w:tc>
      </w:tr>
      <w:tr>
        <w:trPr>
          <w:trHeight w:val="173"/>
        </w:trPr>
        <w:tc>
          <w:tcPr>
            <w:tcW w:w="58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0" w:type="dxa"/>
            <w:vAlign w:val="bottom"/>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millions) (1)</w:t>
            </w:r>
          </w:p>
        </w:tc>
      </w:tr>
      <w:tr>
        <w:trPr>
          <w:trHeight w:val="216"/>
        </w:trPr>
        <w:tc>
          <w:tcPr>
            <w:tcW w:w="5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July 1 - July 31, 2026</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$543.4</w:t>
            </w:r>
          </w:p>
        </w:tc>
      </w:tr>
      <w:tr>
        <w:trPr>
          <w:trHeight w:val="216"/>
        </w:trPr>
        <w:tc>
          <w:tcPr>
            <w:tcW w:w="5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August 1 - August 31, 2026</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$543.4</w:t>
            </w:r>
          </w:p>
        </w:tc>
      </w:tr>
      <w:tr>
        <w:trPr>
          <w:trHeight w:val="216"/>
        </w:trPr>
        <w:tc>
          <w:tcPr>
            <w:tcW w:w="5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September 1 - September 30, 2026</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691,741</w:t>
            </w:r>
          </w:p>
        </w:tc>
        <w:tc>
          <w:tcPr>
            <w:tcW w:w="16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$72.28</w:t>
            </w:r>
          </w:p>
        </w:tc>
        <w:tc>
          <w:tcPr>
            <w:tcW w:w="3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691,741</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$493.4</w:t>
            </w:r>
          </w:p>
        </w:tc>
      </w:tr>
      <w:tr>
        <w:trPr>
          <w:trHeight w:val="209"/>
        </w:trPr>
        <w:tc>
          <w:tcPr>
            <w:tcW w:w="5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691,741</w:t>
            </w:r>
          </w:p>
        </w:tc>
        <w:tc>
          <w:tcPr>
            <w:tcW w:w="16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$72.28</w:t>
            </w:r>
          </w:p>
        </w:tc>
        <w:tc>
          <w:tcPr>
            <w:tcW w:w="3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691,741</w:t>
            </w:r>
          </w:p>
        </w:tc>
        <w:tc>
          <w:tcPr>
            <w:tcW w:w="1400" w:type="dxa"/>
            <w:vAlign w:val="bottom"/>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660" w:hanging="328"/>
        <w:spacing w:after="0" w:line="25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3, 2025, the Company put a repurchase program in place to repurchase up to $400 million in value, but not more than 8.0 million shares of common stock through June 3, 2027. As of September 30, 2026, approximately $68.4 million in value of additional shares were available to be repurchased under this repurchase program. On February 24, 2026, the Company put a repurchase program in place to repurchase up to $425 million in value, but not more than 10 million shares of common stock. The Company has not made any repurchases under this plan. Repurchases under the program may take place in the open market or in privately negotiated transactions, including derivative transactions, and may be made under a Rule 10b5-1 plan.</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fiscal quarter ended September 30, 2026, none of the Company’s directors or "officers," as defined in Rule 16a-1(f) of the Securities Exchange Act of 1934, as amended (the "Exchange Act"), adopted or terminated a "Rule 10b5-1 trading arrangement" or a "non-Rule 10b5-1 trading arrangement," as each term is defined in Item 408 of Regulation 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5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471"/>
        </w:trPr>
        <w:tc>
          <w:tcPr>
            <w:tcW w:w="10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40" w:type="dxa"/>
            <w:vAlign w:val="bottom"/>
            <w:tcBorders>
              <w:top w:val="single" w:sz="8" w:color="auto"/>
            </w:tcBorders>
            <w:gridSpan w:val="6"/>
          </w:tcPr>
          <w:p>
            <w:pPr>
              <w:spacing w:after="0"/>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Euronet Worldwide Amended and Restated 2006 Stock Incentive Plan (filed as Appendix B to the Company’s Definitive Proxy Statement</w:t>
              </w:r>
            </w:hyperlink>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60" w:type="dxa"/>
            <w:vAlign w:val="bottom"/>
            <w:tcBorders>
              <w:top w:val="single" w:sz="8" w:color="0000FF"/>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71">
              <w:r>
                <w:rPr>
                  <w:rFonts w:ascii="Times New Roman" w:cs="Times New Roman" w:eastAsia="Times New Roman" w:hAnsi="Times New Roman"/>
                  <w:sz w:val="18"/>
                  <w:szCs w:val="18"/>
                  <w:color w:val="0000FF"/>
                  <w:w w:val="99"/>
                </w:rPr>
                <w:t>filed on April 13, 2026, and incorporated by reference herein)</w:t>
              </w:r>
            </w:hyperlink>
          </w:p>
        </w:tc>
        <w:tc>
          <w:tcPr>
            <w:tcW w:w="54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r>
      <w:tr>
        <w:trPr>
          <w:trHeight w:val="250"/>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Section 302 — Certification of Chief Executive Officer</w:t>
            </w:r>
          </w:p>
        </w:tc>
      </w:tr>
      <w:tr>
        <w:trPr>
          <w:trHeight w:val="250"/>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9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Section 302 — Certification of Chief Financial Officer</w:t>
            </w:r>
          </w:p>
        </w:tc>
        <w:tc>
          <w:tcPr>
            <w:tcW w:w="20" w:type="dxa"/>
            <w:vAlign w:val="bottom"/>
            <w:tcBorders>
              <w:top w:val="single" w:sz="8" w:color="0000FF"/>
              <w:bottom w:val="single" w:sz="8" w:color="0000EE"/>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040" w:type="dxa"/>
            <w:vAlign w:val="bottom"/>
            <w:gridSpan w:val="3"/>
          </w:tcPr>
          <w:p>
            <w:pPr>
              <w:spacing w:after="0"/>
              <w:rPr>
                <w:sz w:val="21"/>
                <w:szCs w:val="21"/>
                <w:color w:val="auto"/>
              </w:rPr>
            </w:pPr>
          </w:p>
        </w:tc>
      </w:tr>
      <w:tr>
        <w:trPr>
          <w:trHeight w:val="250"/>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Section 906 — Certification of Chief Executive Officer</w:t>
            </w:r>
          </w:p>
        </w:tc>
      </w:tr>
      <w:tr>
        <w:trPr>
          <w:trHeight w:val="250"/>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9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Section 906 — Certification of Chief Financial Officer</w:t>
            </w:r>
          </w:p>
        </w:tc>
        <w:tc>
          <w:tcPr>
            <w:tcW w:w="20" w:type="dxa"/>
            <w:vAlign w:val="bottom"/>
            <w:tcBorders>
              <w:top w:val="single" w:sz="8" w:color="0000FF"/>
              <w:bottom w:val="single" w:sz="8" w:color="0000EE"/>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040" w:type="dxa"/>
            <w:vAlign w:val="bottom"/>
            <w:gridSpan w:val="3"/>
          </w:tcPr>
          <w:p>
            <w:pPr>
              <w:spacing w:after="0"/>
              <w:rPr>
                <w:sz w:val="21"/>
                <w:szCs w:val="21"/>
                <w:color w:val="auto"/>
              </w:rPr>
            </w:pPr>
          </w:p>
        </w:tc>
      </w:tr>
      <w:tr>
        <w:trPr>
          <w:trHeight w:val="272"/>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materials from Euronet Worldwide, Inc.’s Quarterly Report on Form 10-Q for the quarter ended September 30, 2026,</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formatted in XBRL (eXtensible Business Reporting Language): (i) Consolidated Balance Sheets at September 30, 2026 (unaudited) and</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December 31, 2025, (ii) Consolidated Statements of Operations (unaudited) for the three and nine months ended September 30, 2026 and</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2025, (iii) Consolidated Statements of Comprehensive Income (Loss) (unaudited) for the three and nine months ended September 30,</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2026 and 2025, (iv) Consolidated Statements of Changes in Equity (unaudited) for the three and nine months ended September 30, 2026</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and 2025 (v) Consolidated Statements of Cash Flows (unaudited) for the nine months ended September 30, 2026 and 2025, and (vi) Notes</w:t>
            </w:r>
          </w:p>
        </w:tc>
      </w:t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to the Unaudited Consolidated Financial Statements.</w:t>
            </w:r>
          </w:p>
        </w:tc>
      </w:tr>
      <w:tr>
        <w:trPr>
          <w:trHeight w:val="270"/>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Filed herewith.</w:t>
      </w:r>
    </w:p>
    <w:p>
      <w:pPr>
        <w:spacing w:after="0" w:line="9" w:lineRule="exact"/>
        <w:rPr>
          <w:sz w:val="20"/>
          <w:szCs w:val="20"/>
          <w:color w:val="auto"/>
        </w:rPr>
      </w:pPr>
    </w:p>
    <w:p>
      <w:pPr>
        <w:ind w:left="620" w:hanging="216"/>
        <w:spacing w:after="0"/>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601(b)(32) of Regulation S-K, this Exhibit is furnished rather than filed with this Form 10-Q.</w:t>
      </w:r>
    </w:p>
    <w:p>
      <w:pPr>
        <w:spacing w:after="0" w:line="9" w:lineRule="exact"/>
        <w:rPr>
          <w:rFonts w:ascii="Times New Roman" w:cs="Times New Roman" w:eastAsia="Times New Roman" w:hAnsi="Times New Roman"/>
          <w:sz w:val="18"/>
          <w:szCs w:val="18"/>
          <w:color w:val="auto"/>
        </w:rPr>
      </w:pPr>
    </w:p>
    <w:p>
      <w:pPr>
        <w:ind w:left="560" w:right="20" w:hanging="156"/>
        <w:spacing w:after="0" w:line="260" w:lineRule="auto"/>
        <w:tabs>
          <w:tab w:leader="none" w:pos="71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have been omitted pursuant to item 601(a)(5) of Regulation S-K. The registrant will provide a copy of omitted schedule to the SEC upon request.</w:t>
      </w:r>
    </w:p>
    <w:p>
      <w:pPr>
        <w:spacing w:after="0" w:line="3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PLEASE NOTE: Pursuant to the rules and regulations of the SEC,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the Company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us or our business or operations on the date hereof.</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4,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Euronet Worldwide, Inc.</w:t>
      </w:r>
    </w:p>
    <w:p>
      <w:pPr>
        <w:spacing w:after="0" w:line="252" w:lineRule="exact"/>
        <w:rPr>
          <w:sz w:val="20"/>
          <w:szCs w:val="20"/>
          <w:color w:val="auto"/>
        </w:rPr>
      </w:pPr>
    </w:p>
    <w:p>
      <w:pPr>
        <w:ind w:left="40"/>
        <w:spacing w:after="0"/>
        <w:tabs>
          <w:tab w:leader="none" w:pos="2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34290</wp:posOffset>
            </wp:positionV>
            <wp:extent cx="34372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3437255" cy="8890"/>
                    </a:xfrm>
                    <a:prstGeom prst="rect">
                      <a:avLst/>
                    </a:prstGeom>
                    <a:noFill/>
                  </pic:spPr>
                </pic:pic>
              </a:graphicData>
            </a:graphic>
          </wp:anchor>
        </w:drawing>
      </w:r>
    </w:p>
    <w:p>
      <w:pPr>
        <w:spacing w:after="0" w:line="57" w:lineRule="exact"/>
        <w:rPr>
          <w:sz w:val="20"/>
          <w:szCs w:val="20"/>
          <w:color w:val="auto"/>
        </w:rPr>
      </w:pPr>
    </w:p>
    <w:p>
      <w:pPr>
        <w:jc w:val="center"/>
        <w:ind w:right="4260"/>
        <w:spacing w:after="0"/>
        <w:rPr>
          <w:sz w:val="20"/>
          <w:szCs w:val="20"/>
          <w:color w:val="auto"/>
        </w:rPr>
      </w:pPr>
      <w:r>
        <w:rPr>
          <w:rFonts w:ascii="Times New Roman" w:cs="Times New Roman" w:eastAsia="Times New Roman" w:hAnsi="Times New Roman"/>
          <w:sz w:val="18"/>
          <w:szCs w:val="18"/>
          <w:color w:val="auto"/>
        </w:rPr>
        <w:t>Michael J. Brown</w:t>
      </w:r>
    </w:p>
    <w:p>
      <w:pPr>
        <w:spacing w:after="0" w:line="63" w:lineRule="exact"/>
        <w:rPr>
          <w:sz w:val="20"/>
          <w:szCs w:val="20"/>
          <w:color w:val="auto"/>
        </w:rPr>
      </w:pPr>
    </w:p>
    <w:p>
      <w:pPr>
        <w:jc w:val="center"/>
        <w:ind w:right="42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2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34290</wp:posOffset>
            </wp:positionV>
            <wp:extent cx="34372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3437255" cy="8890"/>
                    </a:xfrm>
                    <a:prstGeom prst="rect">
                      <a:avLst/>
                    </a:prstGeom>
                    <a:noFill/>
                  </pic:spPr>
                </pic:pic>
              </a:graphicData>
            </a:graphic>
          </wp:anchor>
        </w:drawing>
      </w:r>
    </w:p>
    <w:p>
      <w:pPr>
        <w:spacing w:after="0" w:line="57" w:lineRule="exact"/>
        <w:rPr>
          <w:sz w:val="20"/>
          <w:szCs w:val="20"/>
          <w:color w:val="auto"/>
        </w:rPr>
      </w:pPr>
    </w:p>
    <w:p>
      <w:pPr>
        <w:jc w:val="center"/>
        <w:ind w:right="4260"/>
        <w:spacing w:after="0"/>
        <w:rPr>
          <w:sz w:val="20"/>
          <w:szCs w:val="20"/>
          <w:color w:val="auto"/>
        </w:rPr>
      </w:pPr>
      <w:r>
        <w:rPr>
          <w:rFonts w:ascii="Times New Roman" w:cs="Times New Roman" w:eastAsia="Times New Roman" w:hAnsi="Times New Roman"/>
          <w:sz w:val="18"/>
          <w:szCs w:val="18"/>
          <w:color w:val="auto"/>
        </w:rPr>
        <w:t>Rick L. Weller</w:t>
      </w:r>
    </w:p>
    <w:p>
      <w:pPr>
        <w:spacing w:after="0" w:line="63" w:lineRule="exact"/>
        <w:rPr>
          <w:sz w:val="20"/>
          <w:szCs w:val="20"/>
          <w:color w:val="auto"/>
        </w:rPr>
      </w:pPr>
    </w:p>
    <w:p>
      <w:pPr>
        <w:jc w:val="center"/>
        <w:ind w:right="42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31" w:right="339" w:bottom="1122"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Brown, certify that:</w:t>
      </w:r>
    </w:p>
    <w:p>
      <w:pPr>
        <w:spacing w:after="0" w:line="225" w:lineRule="exact"/>
        <w:rPr>
          <w:sz w:val="20"/>
          <w:szCs w:val="20"/>
          <w:color w:val="auto"/>
        </w:rPr>
      </w:pPr>
    </w:p>
    <w:p>
      <w:pPr>
        <w:ind w:left="200" w:hanging="192"/>
        <w:spacing w:after="0"/>
        <w:tabs>
          <w:tab w:leader="none" w:pos="2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Euronet Worldwide,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1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1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9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420" w:hanging="7"/>
        <w:spacing w:after="0" w:line="266" w:lineRule="auto"/>
        <w:tabs>
          <w:tab w:leader="none" w:pos="62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420" w:hanging="7"/>
        <w:spacing w:after="0" w:line="266" w:lineRule="auto"/>
        <w:tabs>
          <w:tab w:leader="none" w:pos="65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ind w:left="420" w:hanging="7"/>
        <w:spacing w:after="0" w:line="282" w:lineRule="auto"/>
        <w:tabs>
          <w:tab w:leader="none" w:pos="60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420" w:hanging="7"/>
        <w:spacing w:after="0" w:line="266" w:lineRule="auto"/>
        <w:tabs>
          <w:tab w:leader="none" w:pos="61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firstLine="8"/>
        <w:spacing w:after="0" w:line="282" w:lineRule="auto"/>
        <w:tabs>
          <w:tab w:leader="none" w:pos="2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420" w:hanging="7"/>
        <w:spacing w:after="0" w:line="282" w:lineRule="auto"/>
        <w:tabs>
          <w:tab w:leader="none" w:pos="62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420" w:hanging="7"/>
        <w:spacing w:after="0" w:line="282" w:lineRule="auto"/>
        <w:tabs>
          <w:tab w:leader="none" w:pos="63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2026</w:t>
      </w:r>
    </w:p>
    <w:p>
      <w:pPr>
        <w:spacing w:after="0" w:line="200" w:lineRule="exact"/>
        <w:rPr>
          <w:sz w:val="20"/>
          <w:szCs w:val="20"/>
          <w:color w:val="auto"/>
        </w:rPr>
      </w:pPr>
    </w:p>
    <w:p>
      <w:pPr>
        <w:spacing w:after="0" w:line="268"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66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Michael J. Brown</w:t>
      </w:r>
    </w:p>
    <w:p>
      <w:pPr>
        <w:spacing w:after="0" w:line="6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11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Rick L. Weller, certify that:</w:t>
      </w:r>
    </w:p>
    <w:p>
      <w:pPr>
        <w:spacing w:after="0" w:line="198" w:lineRule="exact"/>
        <w:rPr>
          <w:sz w:val="20"/>
          <w:szCs w:val="20"/>
          <w:color w:val="auto"/>
        </w:rPr>
      </w:pPr>
    </w:p>
    <w:p>
      <w:pPr>
        <w:ind w:left="200" w:hanging="192"/>
        <w:spacing w:after="0"/>
        <w:tabs>
          <w:tab w:leader="none" w:pos="2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Euronet Worldwide, Inc.;</w:t>
      </w:r>
    </w:p>
    <w:p>
      <w:pPr>
        <w:spacing w:after="0" w:line="184" w:lineRule="exact"/>
        <w:rPr>
          <w:rFonts w:ascii="Times New Roman" w:cs="Times New Roman" w:eastAsia="Times New Roman" w:hAnsi="Times New Roman"/>
          <w:sz w:val="18"/>
          <w:szCs w:val="18"/>
          <w:color w:val="auto"/>
        </w:rPr>
      </w:pPr>
    </w:p>
    <w:p>
      <w:pPr>
        <w:ind w:firstLine="8"/>
        <w:spacing w:after="0" w:line="282" w:lineRule="auto"/>
        <w:tabs>
          <w:tab w:leader="none" w:pos="21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firstLine="8"/>
        <w:spacing w:after="0" w:line="282" w:lineRule="auto"/>
        <w:tabs>
          <w:tab w:leader="none" w:pos="21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jc w:val="both"/>
        <w:ind w:firstLine="8"/>
        <w:spacing w:after="0" w:line="266" w:lineRule="auto"/>
        <w:tabs>
          <w:tab w:leader="none" w:pos="19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420" w:hanging="7"/>
        <w:spacing w:after="0" w:line="266" w:lineRule="auto"/>
        <w:tabs>
          <w:tab w:leader="none" w:pos="62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420" w:hanging="7"/>
        <w:spacing w:after="0" w:line="266" w:lineRule="auto"/>
        <w:tabs>
          <w:tab w:leader="none" w:pos="65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ind w:left="420" w:hanging="7"/>
        <w:spacing w:after="0" w:line="282" w:lineRule="auto"/>
        <w:tabs>
          <w:tab w:leader="none" w:pos="60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420" w:hanging="7"/>
        <w:spacing w:after="0" w:line="266" w:lineRule="auto"/>
        <w:tabs>
          <w:tab w:leader="none" w:pos="61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firstLine="8"/>
        <w:spacing w:after="0" w:line="282" w:lineRule="auto"/>
        <w:tabs>
          <w:tab w:leader="none" w:pos="2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420" w:hanging="7"/>
        <w:spacing w:after="0" w:line="282" w:lineRule="auto"/>
        <w:tabs>
          <w:tab w:leader="none" w:pos="62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420" w:hanging="7"/>
        <w:spacing w:after="0" w:line="282" w:lineRule="auto"/>
        <w:tabs>
          <w:tab w:leader="none" w:pos="63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2026</w:t>
      </w:r>
    </w:p>
    <w:p>
      <w:pPr>
        <w:spacing w:after="0" w:line="200" w:lineRule="exact"/>
        <w:rPr>
          <w:sz w:val="20"/>
          <w:szCs w:val="20"/>
          <w:color w:val="auto"/>
        </w:rPr>
      </w:pPr>
    </w:p>
    <w:p>
      <w:pPr>
        <w:spacing w:after="0" w:line="268"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661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Rick L. Weller</w:t>
      </w:r>
    </w:p>
    <w:p>
      <w:pPr>
        <w:spacing w:after="0" w:line="6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11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Euronet Worldwide, Inc. (the “Company”) for the period ended September 30, 2026 as filed with the Securities and Exchange Commission on the date hereof (the “Report”), the undersigned hereby certifies, pursuant to 18 U.S.C. Section 1350, as adopted pursuant to Section 906 of the Sarbanes-Oxley Act of 2002, that:</w:t>
      </w:r>
    </w:p>
    <w:p>
      <w:pPr>
        <w:spacing w:after="0" w:line="176" w:lineRule="exact"/>
        <w:rPr>
          <w:sz w:val="20"/>
          <w:szCs w:val="20"/>
          <w:color w:val="auto"/>
        </w:rPr>
      </w:pPr>
    </w:p>
    <w:p>
      <w:pPr>
        <w:ind w:left="480" w:hanging="202"/>
        <w:spacing w:after="0"/>
        <w:tabs>
          <w:tab w:leader="none" w:pos="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480" w:hanging="202"/>
        <w:spacing w:after="0"/>
        <w:tabs>
          <w:tab w:leader="none" w:pos="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66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Michael J. Brown</w:t>
      </w:r>
    </w:p>
    <w:p>
      <w:pPr>
        <w:spacing w:after="0" w:line="6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4, 2026</w:t>
      </w:r>
    </w:p>
    <w:p>
      <w:pPr>
        <w:sectPr>
          <w:pgSz w:w="11900" w:h="16838" w:orient="portrait"/>
          <w:cols w:equalWidth="0" w:num="1">
            <w:col w:w="11240"/>
          </w:cols>
          <w:pgMar w:left="320" w:top="11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Euronet Worldwide, Inc. (the “Company”) for the period ended September 30, 2026 as filed with the Securities and Exchange Commission on the date hereof (the “Report”), the undersigned hereby certifies, pursuant to 18 U.S.C. Section 1350, as adopted pursuant to Section 906 of the Sarbanes-Oxley Act of 2002, that:</w:t>
      </w:r>
    </w:p>
    <w:p>
      <w:pPr>
        <w:spacing w:after="0" w:line="176" w:lineRule="exact"/>
        <w:rPr>
          <w:sz w:val="20"/>
          <w:szCs w:val="20"/>
          <w:color w:val="auto"/>
        </w:rPr>
      </w:pPr>
    </w:p>
    <w:p>
      <w:pPr>
        <w:ind w:left="480" w:hanging="202"/>
        <w:spacing w:after="0"/>
        <w:tabs>
          <w:tab w:leader="none" w:pos="4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480" w:hanging="202"/>
        <w:spacing w:after="0"/>
        <w:tabs>
          <w:tab w:leader="none" w:pos="4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8"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66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Rick L. Weller</w:t>
      </w:r>
    </w:p>
    <w:p>
      <w:pPr>
        <w:spacing w:after="0" w:line="6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4, 2026</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lowerLetter"/>
      <w:start w:val="1"/>
    </w:lvl>
  </w:abstractNum>
  <w:abstractNum w:abstractNumId="4">
    <w:nsid w:val="109CF92E"/>
    <w:multiLevelType w:val="hybridMultilevel"/>
    <w:lvl w:ilvl="0">
      <w:lvlJc w:val="left"/>
      <w:lvlText w:val=" "/>
      <w:numFmt w:val="bullet"/>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 "/>
      <w:numFmt w:val="bullet"/>
      <w:start w:val="1"/>
    </w:lvl>
  </w:abstractNum>
  <w:abstractNum w:abstractNumId="7">
    <w:nsid w:val="1BEFD79F"/>
    <w:multiLevelType w:val="hybridMultilevel"/>
    <w:lvl w:ilvl="0">
      <w:lvlJc w:val="left"/>
      <w:lvlText w:val="(%1)"/>
      <w:numFmt w:val="decimal"/>
      <w:start w:val="16"/>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lowerLetter"/>
      <w:start w:val="1"/>
    </w:lvl>
  </w:abstractNum>
  <w:abstractNum w:abstractNumId="10">
    <w:nsid w:val="4E6AFB66"/>
    <w:multiLevelType w:val="hybridMultilevel"/>
    <w:lvl w:ilvl="0">
      <w:lvlJc w:val="left"/>
      <w:lvlText w:val=" "/>
      <w:numFmt w:val="bullet"/>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3"/>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2"/>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71" Type="http://schemas.openxmlformats.org/officeDocument/2006/relationships/hyperlink" Target="https://www.sec.gov/ix?doc=/Archives/edgar/data/1029199/000155485526000595/eeft-20251231.htm#bm_51f61e89e90d370d"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2026-11-04T15:40:58Z</dcterms:created>
  <dcterms:modified xsi:type="dcterms:W3CDTF">2026-11-04T15:40:58Z</dcterms:modified>
</cp:coreProperties>
</file>