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183515</wp:posOffset>
            </wp:positionH>
            <wp:positionV relativeFrom="page">
              <wp:posOffset>397510</wp:posOffset>
            </wp:positionV>
            <wp:extent cx="72034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-175895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860" w:hanging="521"/>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1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860" w:hanging="485"/>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300"/>
        <w:spacing w:after="0"/>
        <w:tabs>
          <w:tab w:leader="none" w:pos="66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to</w:t>
      </w:r>
    </w:p>
    <w:p>
      <w:pPr>
        <w:spacing w:after="0" w:line="200" w:lineRule="exact"/>
        <w:rPr>
          <w:sz w:val="24"/>
          <w:szCs w:val="24"/>
          <w:color w:val="auto"/>
        </w:rPr>
      </w:pPr>
    </w:p>
    <w:p>
      <w:pPr>
        <w:spacing w:after="0" w:line="26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001-31648</w:t>
      </w: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right"/>
              <w:ind w:right="17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w:t>
            </w:r>
          </w:p>
        </w:tc>
        <w:tc>
          <w:tcPr>
            <w:tcW w:w="3160" w:type="dxa"/>
            <w:vAlign w:val="bottom"/>
          </w:tcPr>
          <w:p>
            <w:pPr>
              <w:jc w:val="center"/>
              <w:ind w:left="165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of incorporation or organization)</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Identification No.)</w:t>
            </w:r>
          </w:p>
        </w:tc>
      </w:tr>
      <w:tr>
        <w:trPr>
          <w:trHeight w:val="405"/>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3500 College Boulevard</w:t>
            </w:r>
          </w:p>
        </w:tc>
        <w:tc>
          <w:tcPr>
            <w:tcW w:w="3160" w:type="dxa"/>
            <w:vAlign w:val="bottom"/>
          </w:tcPr>
          <w:p>
            <w:pPr>
              <w:spacing w:after="0"/>
              <w:rPr>
                <w:sz w:val="24"/>
                <w:szCs w:val="24"/>
                <w:color w:val="auto"/>
              </w:rPr>
            </w:pPr>
          </w:p>
        </w:tc>
      </w:tr>
      <w:tr>
        <w:trPr>
          <w:trHeight w:val="270"/>
        </w:trPr>
        <w:tc>
          <w:tcPr>
            <w:tcW w:w="474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Leawood, Kansas</w:t>
            </w:r>
          </w:p>
        </w:tc>
        <w:tc>
          <w:tcPr>
            <w:tcW w:w="316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474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42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4"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340"/>
        <w:spacing w:after="0" w:line="207" w:lineRule="exact"/>
        <w:tabs>
          <w:tab w:leader="none" w:pos="2720" w:val="left"/>
          <w:tab w:leader="none" w:pos="5300" w:val="left"/>
          <w:tab w:leader="none" w:pos="86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Arial" w:cs="Arial" w:eastAsia="Arial" w:hAnsi="Arial"/>
          <w:sz w:val="16"/>
          <w:szCs w:val="16"/>
          <w:color w:val="auto"/>
        </w:rPr>
        <w:t>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4"/>
          <w:szCs w:val="14"/>
          <w:color w:val="auto"/>
        </w:rPr>
        <w:t>o</w:t>
      </w:r>
    </w:p>
    <w:p>
      <w:pPr>
        <w:spacing w:after="0" w:line="100" w:lineRule="exact"/>
        <w:rPr>
          <w:sz w:val="24"/>
          <w:szCs w:val="24"/>
          <w:color w:val="auto"/>
        </w:rPr>
      </w:pPr>
    </w:p>
    <w:p>
      <w:pPr>
        <w:jc w:val="center"/>
        <w:ind w:left="300"/>
        <w:spacing w:after="0"/>
        <w:rPr>
          <w:sz w:val="20"/>
          <w:szCs w:val="20"/>
          <w:color w:val="auto"/>
        </w:rPr>
      </w:pPr>
      <w:r>
        <w:rPr>
          <w:rFonts w:ascii="Arial" w:cs="Arial" w:eastAsia="Arial" w:hAnsi="Arial"/>
          <w:sz w:val="16"/>
          <w:szCs w:val="16"/>
          <w:color w:val="auto"/>
        </w:rPr>
        <w:t>(Do not check if a smaller reporting company)</w:t>
      </w:r>
    </w:p>
    <w:p>
      <w:pPr>
        <w:spacing w:after="0" w:line="200" w:lineRule="exact"/>
        <w:rPr>
          <w:sz w:val="24"/>
          <w:szCs w:val="24"/>
          <w:color w:val="auto"/>
        </w:rPr>
      </w:pPr>
    </w:p>
    <w:p>
      <w:pPr>
        <w:spacing w:after="0" w:line="26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On July 30, 2015, Euronet Worldwide, Inc. had 52,717,405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186690</wp:posOffset>
            </wp:positionV>
            <wp:extent cx="720344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7203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60"/>
          </w:cols>
          <w:pgMar w:left="240" w:top="778"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78"/>
              </w:rPr>
              <w:t>Page</w:t>
            </w:r>
          </w:p>
        </w:tc>
      </w:tr>
      <w:tr>
        <w:trPr>
          <w:trHeight w:val="237"/>
        </w:trPr>
        <w:tc>
          <w:tcPr>
            <w:tcW w:w="2920" w:type="dxa"/>
            <w:vAlign w:val="bottom"/>
            <w:tcBorders>
              <w:bottom w:val="single" w:sz="8" w:color="0000EE"/>
            </w:tcBorders>
            <w:gridSpan w:val="10"/>
          </w:tcPr>
          <w:p>
            <w:pPr>
              <w:spacing w:after="0"/>
              <w:rPr>
                <w:rFonts w:ascii="Arial" w:cs="Arial" w:eastAsia="Arial" w:hAnsi="Arial"/>
                <w:sz w:val="17"/>
                <w:szCs w:val="17"/>
                <w:b w:val="1"/>
                <w:bCs w:val="1"/>
                <w:color w:val="0000EE"/>
              </w:rPr>
            </w:pPr>
            <w:hyperlink w:anchor="page2">
              <w:r>
                <w:rPr>
                  <w:rFonts w:ascii="Arial" w:cs="Arial" w:eastAsia="Arial" w:hAnsi="Arial"/>
                  <w:sz w:val="17"/>
                  <w:szCs w:val="17"/>
                  <w:b w:val="1"/>
                  <w:bCs w:val="1"/>
                  <w:color w:val="0000EE"/>
                </w:rPr>
                <w:t>PART I—FINANCIAL INFORMATION</w:t>
              </w:r>
            </w:hyperlink>
          </w:p>
        </w:tc>
        <w:tc>
          <w:tcPr>
            <w:tcW w:w="7780" w:type="dxa"/>
            <w:vAlign w:val="bottom"/>
            <w:gridSpan w:val="9"/>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1080" w:type="dxa"/>
            <w:vAlign w:val="bottom"/>
            <w:gridSpan w:val="4"/>
          </w:tcPr>
          <w:p>
            <w:pPr>
              <w:spacing w:after="0"/>
              <w:rPr>
                <w:sz w:val="20"/>
                <w:szCs w:val="20"/>
                <w:color w:val="auto"/>
              </w:rPr>
            </w:pPr>
            <w:r>
              <w:rPr>
                <w:rFonts w:ascii="Arial" w:cs="Arial" w:eastAsia="Arial" w:hAnsi="Arial"/>
                <w:sz w:val="16"/>
                <w:szCs w:val="16"/>
                <w:color w:val="auto"/>
              </w:rPr>
              <w:t>Item 1.</w:t>
            </w:r>
          </w:p>
        </w:tc>
        <w:tc>
          <w:tcPr>
            <w:tcW w:w="9620" w:type="dxa"/>
            <w:vAlign w:val="bottom"/>
            <w:gridSpan w:val="15"/>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 (unaudited)</w:t>
              </w:r>
            </w:hyperlink>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760" w:type="dxa"/>
            <w:vAlign w:val="bottom"/>
            <w:gridSpan w:val="10"/>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Consolidated Balance Sheets as of June 30, 2015 and December 31, 2014</w:t>
              </w:r>
            </w:hyperlink>
          </w:p>
        </w:tc>
        <w:tc>
          <w:tcPr>
            <w:tcW w:w="4860" w:type="dxa"/>
            <w:vAlign w:val="bottom"/>
            <w:gridSpan w:val="5"/>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300" w:type="dxa"/>
            <w:vAlign w:val="bottom"/>
            <w:gridSpan w:val="13"/>
          </w:tcPr>
          <w:p>
            <w:pPr>
              <w:spacing w:after="0"/>
              <w:rPr>
                <w:rFonts w:ascii="Arial" w:cs="Arial" w:eastAsia="Arial" w:hAnsi="Arial"/>
                <w:sz w:val="16"/>
                <w:szCs w:val="16"/>
                <w:color w:val="0000EE"/>
                <w:w w:val="90"/>
              </w:rPr>
            </w:pPr>
            <w:hyperlink w:anchor="page3">
              <w:r>
                <w:rPr>
                  <w:rFonts w:ascii="Arial" w:cs="Arial" w:eastAsia="Arial" w:hAnsi="Arial"/>
                  <w:sz w:val="16"/>
                  <w:szCs w:val="16"/>
                  <w:color w:val="0000EE"/>
                  <w:w w:val="90"/>
                </w:rPr>
                <w:t>Consolidated Statements of Income for the Three and Six Months Ended June 30, 2015 and 2014</w:t>
              </w:r>
            </w:hyperlink>
          </w:p>
        </w:tc>
        <w:tc>
          <w:tcPr>
            <w:tcW w:w="3320" w:type="dxa"/>
            <w:vAlign w:val="bottom"/>
            <w:gridSpan w:val="2"/>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
              <w:r>
                <w:rPr>
                  <w:rFonts w:ascii="Arial" w:cs="Arial" w:eastAsia="Arial" w:hAnsi="Arial"/>
                  <w:sz w:val="17"/>
                  <w:szCs w:val="17"/>
                  <w:color w:val="0000EE"/>
                </w:rPr>
                <w:t>4</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400" w:type="dxa"/>
            <w:vAlign w:val="bottom"/>
            <w:tcBorders>
              <w:bottom w:val="single" w:sz="8" w:color="0000EE"/>
            </w:tcBorders>
            <w:shd w:val="clear" w:color="auto" w:fill="0000EE"/>
          </w:tcPr>
          <w:p>
            <w:pPr>
              <w:spacing w:after="0" w:line="20" w:lineRule="exact"/>
              <w:rPr>
                <w:sz w:val="1"/>
                <w:szCs w:val="1"/>
                <w:color w:val="auto"/>
              </w:rPr>
            </w:pPr>
          </w:p>
        </w:tc>
        <w:tc>
          <w:tcPr>
            <w:tcW w:w="38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2200" w:type="dxa"/>
            <w:vAlign w:val="bottom"/>
            <w:tcBorders>
              <w:bottom w:val="single" w:sz="8" w:color="0000EE"/>
            </w:tcBorders>
            <w:gridSpan w:val="3"/>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1900" w:type="dxa"/>
            <w:vAlign w:val="bottom"/>
            <w:tcBorders>
              <w:left w:val="single" w:sz="8" w:color="0000EE"/>
              <w:bottom w:val="single" w:sz="8" w:color="0000EE"/>
            </w:tcBorders>
            <w:gridSpan w:val="2"/>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420" w:type="dxa"/>
            <w:vAlign w:val="bottom"/>
            <w:tcBorders>
              <w:bottom w:val="single" w:sz="8" w:color="0000EE"/>
            </w:tcBorders>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0"/>
        </w:trPr>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20" w:type="dxa"/>
            <w:vAlign w:val="bottom"/>
            <w:gridSpan w:val="15"/>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Comprehensive Income (Loss) for the Three and Six Months Ended June 30, 2015 and 2014</w:t>
              </w:r>
            </w:hyperlink>
          </w:p>
        </w:tc>
        <w:tc>
          <w:tcPr>
            <w:tcW w:w="340" w:type="dxa"/>
            <w:vAlign w:val="bottom"/>
            <w:gridSpan w:val="3"/>
          </w:tcPr>
          <w:p>
            <w:pPr>
              <w:jc w:val="right"/>
              <w:spacing w:after="0"/>
              <w:rPr>
                <w:rFonts w:ascii="Arial" w:cs="Arial" w:eastAsia="Arial" w:hAnsi="Arial"/>
                <w:sz w:val="17"/>
                <w:szCs w:val="17"/>
                <w:color w:val="0000EE"/>
              </w:rPr>
            </w:pPr>
            <w:hyperlink w:anchor="page4">
              <w:r>
                <w:rPr>
                  <w:rFonts w:ascii="Arial" w:cs="Arial" w:eastAsia="Arial" w:hAnsi="Arial"/>
                  <w:sz w:val="17"/>
                  <w:szCs w:val="17"/>
                  <w:color w:val="0000EE"/>
                </w:rPr>
                <w:t>5</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80" w:type="dxa"/>
            <w:vAlign w:val="bottom"/>
            <w:gridSpan w:val="12"/>
          </w:tcPr>
          <w:p>
            <w:pPr>
              <w:spacing w:after="0"/>
              <w:rPr>
                <w:rFonts w:ascii="Arial" w:cs="Arial" w:eastAsia="Arial" w:hAnsi="Arial"/>
                <w:sz w:val="16"/>
                <w:szCs w:val="16"/>
                <w:color w:val="0000EE"/>
                <w:w w:val="90"/>
              </w:rPr>
            </w:pPr>
            <w:hyperlink w:anchor="page5">
              <w:r>
                <w:rPr>
                  <w:rFonts w:ascii="Arial" w:cs="Arial" w:eastAsia="Arial" w:hAnsi="Arial"/>
                  <w:sz w:val="16"/>
                  <w:szCs w:val="16"/>
                  <w:color w:val="0000EE"/>
                  <w:w w:val="90"/>
                </w:rPr>
                <w:t>Consolidated Statements of Cash Flows for the Six Months Ended June 30, 2015 and 2014</w:t>
              </w:r>
            </w:hyperlink>
          </w:p>
        </w:tc>
        <w:tc>
          <w:tcPr>
            <w:tcW w:w="1920" w:type="dxa"/>
            <w:vAlign w:val="bottom"/>
            <w:gridSpan w:val="2"/>
          </w:tcPr>
          <w:p>
            <w:pPr>
              <w:spacing w:after="0"/>
              <w:rPr>
                <w:sz w:val="21"/>
                <w:szCs w:val="21"/>
                <w:color w:val="auto"/>
              </w:rPr>
            </w:pPr>
          </w:p>
        </w:tc>
        <w:tc>
          <w:tcPr>
            <w:tcW w:w="1820" w:type="dxa"/>
            <w:vAlign w:val="bottom"/>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5">
              <w:r>
                <w:rPr>
                  <w:rFonts w:ascii="Arial" w:cs="Arial" w:eastAsia="Arial" w:hAnsi="Arial"/>
                  <w:sz w:val="17"/>
                  <w:szCs w:val="17"/>
                  <w:color w:val="0000EE"/>
                </w:rPr>
                <w:t>6</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80" w:type="dxa"/>
            <w:vAlign w:val="bottom"/>
            <w:gridSpan w:val="12"/>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Notes to the Unaudited Consolidated Financial Statements</w:t>
              </w:r>
            </w:hyperlink>
          </w:p>
        </w:tc>
        <w:tc>
          <w:tcPr>
            <w:tcW w:w="3740" w:type="dxa"/>
            <w:vAlign w:val="bottom"/>
            <w:gridSpan w:val="3"/>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6">
              <w:r>
                <w:rPr>
                  <w:rFonts w:ascii="Arial" w:cs="Arial" w:eastAsia="Arial" w:hAnsi="Arial"/>
                  <w:sz w:val="17"/>
                  <w:szCs w:val="17"/>
                  <w:color w:val="0000EE"/>
                </w:rPr>
                <w:t>7</w:t>
              </w:r>
            </w:hyperlink>
          </w:p>
        </w:tc>
      </w:tr>
      <w:tr>
        <w:trPr>
          <w:trHeight w:val="20"/>
        </w:trPr>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620" w:type="dxa"/>
            <w:vAlign w:val="bottom"/>
            <w:gridSpan w:val="2"/>
          </w:tcPr>
          <w:p>
            <w:pPr>
              <w:spacing w:after="0"/>
              <w:rPr>
                <w:sz w:val="21"/>
                <w:szCs w:val="21"/>
                <w:color w:val="auto"/>
              </w:rPr>
            </w:pPr>
          </w:p>
        </w:tc>
        <w:tc>
          <w:tcPr>
            <w:tcW w:w="5800" w:type="dxa"/>
            <w:vAlign w:val="bottom"/>
            <w:gridSpan w:val="11"/>
          </w:tcPr>
          <w:p>
            <w:pPr>
              <w:spacing w:after="0"/>
              <w:rPr>
                <w:rFonts w:ascii="Arial" w:cs="Arial" w:eastAsia="Arial" w:hAnsi="Arial"/>
                <w:sz w:val="16"/>
                <w:szCs w:val="16"/>
                <w:color w:val="0000EE"/>
                <w:w w:val="91"/>
              </w:rPr>
            </w:pPr>
            <w:hyperlink w:anchor="page18">
              <w:r>
                <w:rPr>
                  <w:rFonts w:ascii="Arial" w:cs="Arial" w:eastAsia="Arial" w:hAnsi="Arial"/>
                  <w:sz w:val="16"/>
                  <w:szCs w:val="16"/>
                  <w:color w:val="0000EE"/>
                  <w:w w:val="91"/>
                </w:rPr>
                <w:t>Management's Discussion and Analysis of Financial Condition and Results of Operations</w:t>
              </w:r>
            </w:hyperlink>
          </w:p>
        </w:tc>
        <w:tc>
          <w:tcPr>
            <w:tcW w:w="3820" w:type="dxa"/>
            <w:vAlign w:val="bottom"/>
            <w:gridSpan w:val="4"/>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18">
              <w:r>
                <w:rPr>
                  <w:rFonts w:ascii="Arial" w:cs="Arial" w:eastAsia="Arial" w:hAnsi="Arial"/>
                  <w:sz w:val="17"/>
                  <w:szCs w:val="17"/>
                  <w:color w:val="0000EE"/>
                </w:rPr>
                <w:t>19</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3.</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w w:val="92"/>
              </w:rPr>
            </w:pPr>
            <w:hyperlink w:anchor="page35">
              <w:r>
                <w:rPr>
                  <w:rFonts w:ascii="Arial" w:cs="Arial" w:eastAsia="Arial" w:hAnsi="Arial"/>
                  <w:sz w:val="16"/>
                  <w:szCs w:val="16"/>
                  <w:color w:val="0000EE"/>
                  <w:w w:val="92"/>
                </w:rPr>
                <w:t>Quantitative and Qualitative Disclosures About Market Risk</w:t>
              </w:r>
            </w:hyperlink>
          </w:p>
        </w:tc>
        <w:tc>
          <w:tcPr>
            <w:tcW w:w="1900" w:type="dxa"/>
            <w:vAlign w:val="bottom"/>
            <w:gridSpan w:val="2"/>
          </w:tcPr>
          <w:p>
            <w:pPr>
              <w:spacing w:after="0"/>
              <w:rPr>
                <w:sz w:val="20"/>
                <w:szCs w:val="20"/>
                <w:color w:val="auto"/>
              </w:rPr>
            </w:pPr>
          </w:p>
        </w:tc>
        <w:tc>
          <w:tcPr>
            <w:tcW w:w="3820" w:type="dxa"/>
            <w:vAlign w:val="bottom"/>
            <w:gridSpan w:val="4"/>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5">
              <w:r>
                <w:rPr>
                  <w:rFonts w:ascii="Arial" w:cs="Arial" w:eastAsia="Arial" w:hAnsi="Arial"/>
                  <w:sz w:val="17"/>
                  <w:szCs w:val="17"/>
                  <w:color w:val="0000EE"/>
                </w:rPr>
                <w:t>36</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5720" w:type="dxa"/>
            <w:vAlign w:val="bottom"/>
            <w:tcBorders>
              <w:left w:val="single" w:sz="8" w:color="0000EE"/>
            </w:tcBorders>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4.</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Controls and Procedures</w:t>
              </w:r>
            </w:hyperlink>
          </w:p>
        </w:tc>
        <w:tc>
          <w:tcPr>
            <w:tcW w:w="5720" w:type="dxa"/>
            <w:vAlign w:val="bottom"/>
            <w:gridSpan w:val="6"/>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6">
              <w:r>
                <w:rPr>
                  <w:rFonts w:ascii="Arial" w:cs="Arial" w:eastAsia="Arial" w:hAnsi="Arial"/>
                  <w:sz w:val="17"/>
                  <w:szCs w:val="17"/>
                  <w:color w:val="0000EE"/>
                </w:rPr>
                <w:t>37</w:t>
              </w:r>
            </w:hyperlink>
          </w:p>
        </w:tc>
      </w:tr>
      <w:tr>
        <w:trPr>
          <w:trHeight w:val="20"/>
        </w:trPr>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2660" w:type="dxa"/>
            <w:vAlign w:val="bottom"/>
            <w:tcBorders>
              <w:bottom w:val="single" w:sz="8" w:color="0000EE"/>
            </w:tcBorders>
            <w:gridSpan w:val="9"/>
          </w:tcPr>
          <w:p>
            <w:pPr>
              <w:spacing w:after="0"/>
              <w:rPr>
                <w:rFonts w:ascii="Arial" w:cs="Arial" w:eastAsia="Arial" w:hAnsi="Arial"/>
                <w:sz w:val="17"/>
                <w:szCs w:val="17"/>
                <w:b w:val="1"/>
                <w:bCs w:val="1"/>
                <w:color w:val="0000EE"/>
              </w:rPr>
            </w:pPr>
            <w:hyperlink w:anchor="page37">
              <w:r>
                <w:rPr>
                  <w:rFonts w:ascii="Arial" w:cs="Arial" w:eastAsia="Arial" w:hAnsi="Arial"/>
                  <w:sz w:val="17"/>
                  <w:szCs w:val="17"/>
                  <w:b w:val="1"/>
                  <w:bCs w:val="1"/>
                  <w:color w:val="0000EE"/>
                </w:rPr>
                <w:t>PART II—OTHER INFORMATION</w:t>
              </w:r>
            </w:hyperlink>
          </w:p>
        </w:tc>
        <w:tc>
          <w:tcPr>
            <w:tcW w:w="8040" w:type="dxa"/>
            <w:vAlign w:val="bottom"/>
            <w:gridSpan w:val="10"/>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1.</w:t>
            </w:r>
          </w:p>
        </w:tc>
        <w:tc>
          <w:tcPr>
            <w:tcW w:w="620" w:type="dxa"/>
            <w:vAlign w:val="bottom"/>
            <w:gridSpan w:val="2"/>
          </w:tcPr>
          <w:p>
            <w:pPr>
              <w:spacing w:after="0"/>
              <w:rPr>
                <w:sz w:val="21"/>
                <w:szCs w:val="21"/>
                <w:color w:val="auto"/>
              </w:rPr>
            </w:pPr>
          </w:p>
        </w:tc>
        <w:tc>
          <w:tcPr>
            <w:tcW w:w="1200" w:type="dxa"/>
            <w:vAlign w:val="bottom"/>
            <w:gridSpan w:val="4"/>
          </w:tcPr>
          <w:p>
            <w:pPr>
              <w:spacing w:after="0"/>
              <w:rPr>
                <w:rFonts w:ascii="Arial" w:cs="Arial" w:eastAsia="Arial" w:hAnsi="Arial"/>
                <w:sz w:val="16"/>
                <w:szCs w:val="16"/>
                <w:color w:val="0000EE"/>
                <w:w w:val="89"/>
              </w:rPr>
            </w:pPr>
            <w:hyperlink w:anchor="page37">
              <w:r>
                <w:rPr>
                  <w:rFonts w:ascii="Arial" w:cs="Arial" w:eastAsia="Arial" w:hAnsi="Arial"/>
                  <w:sz w:val="16"/>
                  <w:szCs w:val="16"/>
                  <w:color w:val="0000EE"/>
                  <w:w w:val="89"/>
                </w:rPr>
                <w:t>Legal Proceedings</w:t>
              </w:r>
            </w:hyperlink>
          </w:p>
        </w:tc>
        <w:tc>
          <w:tcPr>
            <w:tcW w:w="8420" w:type="dxa"/>
            <w:vAlign w:val="bottom"/>
            <w:gridSpan w:val="11"/>
          </w:tcPr>
          <w:p>
            <w:pPr>
              <w:spacing w:after="0"/>
              <w:rPr>
                <w:sz w:val="21"/>
                <w:szCs w:val="21"/>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7">
              <w:r>
                <w:rPr>
                  <w:rFonts w:ascii="Arial" w:cs="Arial" w:eastAsia="Arial" w:hAnsi="Arial"/>
                  <w:sz w:val="17"/>
                  <w:szCs w:val="17"/>
                  <w:color w:val="0000EE"/>
                </w:rPr>
                <w:t>37</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1080" w:type="dxa"/>
            <w:vAlign w:val="bottom"/>
            <w:gridSpan w:val="4"/>
          </w:tcPr>
          <w:p>
            <w:pPr>
              <w:spacing w:after="0"/>
              <w:rPr>
                <w:sz w:val="20"/>
                <w:szCs w:val="20"/>
                <w:color w:val="auto"/>
              </w:rPr>
            </w:pPr>
            <w:r>
              <w:rPr>
                <w:rFonts w:ascii="Arial" w:cs="Arial" w:eastAsia="Arial" w:hAnsi="Arial"/>
                <w:sz w:val="16"/>
                <w:szCs w:val="16"/>
                <w:color w:val="auto"/>
              </w:rPr>
              <w:t>Item 1A.</w:t>
            </w:r>
          </w:p>
        </w:tc>
        <w:tc>
          <w:tcPr>
            <w:tcW w:w="9620" w:type="dxa"/>
            <w:vAlign w:val="bottom"/>
            <w:gridSpan w:val="15"/>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Risk Factors</w:t>
              </w:r>
            </w:hyperlink>
          </w:p>
        </w:tc>
        <w:tc>
          <w:tcPr>
            <w:tcW w:w="340" w:type="dxa"/>
            <w:vAlign w:val="bottom"/>
            <w:gridSpan w:val="3"/>
          </w:tcPr>
          <w:p>
            <w:pPr>
              <w:jc w:val="right"/>
              <w:spacing w:after="0"/>
              <w:rPr>
                <w:rFonts w:ascii="Arial" w:cs="Arial" w:eastAsia="Arial" w:hAnsi="Arial"/>
                <w:sz w:val="17"/>
                <w:szCs w:val="17"/>
                <w:color w:val="0000EE"/>
              </w:rPr>
            </w:pPr>
            <w:hyperlink w:anchor="page37">
              <w:r>
                <w:rPr>
                  <w:rFonts w:ascii="Arial" w:cs="Arial" w:eastAsia="Arial" w:hAnsi="Arial"/>
                  <w:sz w:val="17"/>
                  <w:szCs w:val="17"/>
                  <w:color w:val="0000EE"/>
                </w:rPr>
                <w:t>37</w:t>
              </w:r>
            </w:hyperlink>
          </w:p>
        </w:tc>
      </w:tr>
      <w:tr>
        <w:trPr>
          <w:trHeight w:val="20"/>
        </w:trPr>
        <w:tc>
          <w:tcPr>
            <w:tcW w:w="56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20" w:type="dxa"/>
            <w:vAlign w:val="bottom"/>
            <w:gridSpan w:val="15"/>
          </w:tcPr>
          <w:p>
            <w:pPr>
              <w:spacing w:after="0"/>
              <w:rPr>
                <w:rFonts w:ascii="Arial" w:cs="Arial" w:eastAsia="Arial" w:hAnsi="Arial"/>
                <w:sz w:val="16"/>
                <w:szCs w:val="16"/>
                <w:color w:val="0000EE"/>
              </w:rPr>
            </w:pPr>
            <w:hyperlink w:anchor="page37">
              <w:r>
                <w:rPr>
                  <w:rFonts w:ascii="Arial" w:cs="Arial" w:eastAsia="Arial" w:hAnsi="Arial"/>
                  <w:sz w:val="16"/>
                  <w:szCs w:val="16"/>
                  <w:color w:val="0000EE"/>
                </w:rPr>
                <w:t>Unregistered Sales of Equity Securities and Use of Proceeds</w:t>
              </w:r>
            </w:hyperlink>
          </w:p>
        </w:tc>
        <w:tc>
          <w:tcPr>
            <w:tcW w:w="340" w:type="dxa"/>
            <w:vAlign w:val="bottom"/>
            <w:gridSpan w:val="3"/>
          </w:tcPr>
          <w:p>
            <w:pPr>
              <w:jc w:val="right"/>
              <w:spacing w:after="0"/>
              <w:rPr>
                <w:rFonts w:ascii="Arial" w:cs="Arial" w:eastAsia="Arial" w:hAnsi="Arial"/>
                <w:sz w:val="17"/>
                <w:szCs w:val="17"/>
                <w:color w:val="0000EE"/>
              </w:rPr>
            </w:pPr>
            <w:hyperlink w:anchor="page37">
              <w:r>
                <w:rPr>
                  <w:rFonts w:ascii="Arial" w:cs="Arial" w:eastAsia="Arial" w:hAnsi="Arial"/>
                  <w:sz w:val="17"/>
                  <w:szCs w:val="17"/>
                  <w:color w:val="0000EE"/>
                </w:rPr>
                <w:t>38</w:t>
              </w:r>
            </w:hyperlink>
          </w:p>
        </w:tc>
      </w:tr>
      <w:tr>
        <w:trPr>
          <w:trHeight w:val="20"/>
        </w:trPr>
        <w:tc>
          <w:tcPr>
            <w:tcW w:w="460" w:type="dxa"/>
            <w:vAlign w:val="bottom"/>
            <w:gridSpan w:val="2"/>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gridSpan w:val="2"/>
          </w:tcPr>
          <w:p>
            <w:pPr>
              <w:spacing w:after="0"/>
              <w:rPr>
                <w:sz w:val="20"/>
                <w:szCs w:val="20"/>
                <w:color w:val="auto"/>
              </w:rPr>
            </w:pPr>
            <w:r>
              <w:rPr>
                <w:rFonts w:ascii="Arial" w:cs="Arial" w:eastAsia="Arial" w:hAnsi="Arial"/>
                <w:sz w:val="16"/>
                <w:szCs w:val="16"/>
                <w:color w:val="auto"/>
                <w:w w:val="89"/>
              </w:rPr>
              <w:t>Item 6.</w:t>
            </w:r>
          </w:p>
        </w:tc>
        <w:tc>
          <w:tcPr>
            <w:tcW w:w="620" w:type="dxa"/>
            <w:vAlign w:val="bottom"/>
            <w:gridSpan w:val="2"/>
          </w:tcPr>
          <w:p>
            <w:pPr>
              <w:spacing w:after="0"/>
              <w:rPr>
                <w:sz w:val="20"/>
                <w:szCs w:val="20"/>
                <w:color w:val="auto"/>
              </w:rPr>
            </w:pPr>
          </w:p>
        </w:tc>
        <w:tc>
          <w:tcPr>
            <w:tcW w:w="3900" w:type="dxa"/>
            <w:vAlign w:val="bottom"/>
            <w:gridSpan w:val="9"/>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Exhibits</w:t>
              </w:r>
            </w:hyperlink>
          </w:p>
        </w:tc>
        <w:tc>
          <w:tcPr>
            <w:tcW w:w="5720" w:type="dxa"/>
            <w:vAlign w:val="bottom"/>
            <w:gridSpan w:val="6"/>
          </w:tcPr>
          <w:p>
            <w:pPr>
              <w:spacing w:after="0"/>
              <w:rPr>
                <w:sz w:val="20"/>
                <w:szCs w:val="20"/>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8">
              <w:r>
                <w:rPr>
                  <w:rFonts w:ascii="Arial" w:cs="Arial" w:eastAsia="Arial" w:hAnsi="Arial"/>
                  <w:sz w:val="17"/>
                  <w:szCs w:val="17"/>
                  <w:color w:val="0000EE"/>
                </w:rPr>
                <w:t>39</w:t>
              </w:r>
            </w:hyperlink>
          </w:p>
        </w:tc>
      </w:tr>
      <w:tr>
        <w:trPr>
          <w:trHeight w:val="20"/>
        </w:trPr>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94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35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gridSpan w:val="2"/>
          </w:tcPr>
          <w:p>
            <w:pPr>
              <w:spacing w:after="0"/>
              <w:rPr>
                <w:rFonts w:ascii="Arial" w:cs="Arial" w:eastAsia="Arial" w:hAnsi="Arial"/>
                <w:sz w:val="16"/>
                <w:szCs w:val="16"/>
                <w:color w:val="0000EE"/>
                <w:w w:val="86"/>
              </w:rPr>
            </w:pPr>
            <w:hyperlink w:anchor="page39">
              <w:r>
                <w:rPr>
                  <w:rFonts w:ascii="Arial" w:cs="Arial" w:eastAsia="Arial" w:hAnsi="Arial"/>
                  <w:sz w:val="16"/>
                  <w:szCs w:val="16"/>
                  <w:color w:val="0000EE"/>
                  <w:w w:val="86"/>
                </w:rPr>
                <w:t>Signatures</w:t>
              </w:r>
            </w:hyperlink>
          </w:p>
        </w:tc>
        <w:tc>
          <w:tcPr>
            <w:tcW w:w="8940" w:type="dxa"/>
            <w:vAlign w:val="bottom"/>
            <w:gridSpan w:val="13"/>
          </w:tcPr>
          <w:p>
            <w:pPr>
              <w:spacing w:after="0"/>
              <w:rPr>
                <w:sz w:val="24"/>
                <w:szCs w:val="24"/>
                <w:color w:val="auto"/>
              </w:rPr>
            </w:pPr>
          </w:p>
        </w:tc>
        <w:tc>
          <w:tcPr>
            <w:tcW w:w="340" w:type="dxa"/>
            <w:vAlign w:val="bottom"/>
            <w:gridSpan w:val="3"/>
          </w:tcPr>
          <w:p>
            <w:pPr>
              <w:jc w:val="right"/>
              <w:spacing w:after="0"/>
              <w:rPr>
                <w:rFonts w:ascii="Arial" w:cs="Arial" w:eastAsia="Arial" w:hAnsi="Arial"/>
                <w:sz w:val="17"/>
                <w:szCs w:val="17"/>
                <w:color w:val="0000EE"/>
              </w:rPr>
            </w:pPr>
            <w:hyperlink w:anchor="page39">
              <w:r>
                <w:rPr>
                  <w:rFonts w:ascii="Arial" w:cs="Arial" w:eastAsia="Arial" w:hAnsi="Arial"/>
                  <w:sz w:val="17"/>
                  <w:szCs w:val="17"/>
                  <w:color w:val="0000EE"/>
                </w:rPr>
                <w:t>40</w:t>
              </w:r>
            </w:hyperlink>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40"/>
          </w:cols>
          <w:pgMar w:left="440" w:top="364" w:right="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538,075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468,010</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45,865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68,028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59,404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85,675</w:t>
            </w:r>
          </w:p>
        </w:tc>
        <w:tc>
          <w:tcPr>
            <w:tcW w:w="0" w:type="dxa"/>
            <w:vAlign w:val="bottom"/>
          </w:tcPr>
          <w:p>
            <w:pPr>
              <w:spacing w:after="0"/>
              <w:rPr>
                <w:sz w:val="1"/>
                <w:szCs w:val="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4"/>
              </w:rPr>
              <w:t>Trade accounts receivable, net of allowances for doubtful accounts of $18,832 at June 30, 2015 and $20,546 at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December 31, 2014</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325,848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375,579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121,273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108,624</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1,090,465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1,105,916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Property and equipment, net of accumulated depreciation of $242,024 at June 30, 2015 and $239,607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140,070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125,307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605,265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599,863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Acquired intangible assets, net of accumulated amortization of $121,854 at June 30, 2015 and $113,153 at December 31,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176,052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158,267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8"/>
              </w:rPr>
              <w:t>Other assets, net of accumulated amortization of $33,920 at June 30, 2015 and $30,276 at December 31, 2014</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61,098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62,206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2,072,950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2,051,559</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393,817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445,984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393,071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336,361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11,156</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11,695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19,248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33,916</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847,819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848,881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415,455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410,368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3,739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38,959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18,492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18,391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1,331,715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1,318,747</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 $0.02 par value. 90,000,000 shares authorized; 56,979,239 issued at June 30, 2015 and 56,464,187</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issued at December 31, 2014</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970,162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955,715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4,939,904 shares at June 30, 2015 and 4,867,420 shares at December 31, 2014</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(133,788)</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39,606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5,619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(97,922)</w:t>
            </w:r>
          </w:p>
        </w:tc>
        <w:tc>
          <w:tcPr>
            <w:tcW w:w="0" w:type="dxa"/>
            <w:vAlign w:val="bottom"/>
          </w:tcPr>
          <w:p>
            <w:pPr>
              <w:spacing w:after="0"/>
              <w:rPr>
                <w:sz w:val="1"/>
                <w:szCs w:val="1"/>
                <w:color w:val="auto"/>
              </w:rPr>
            </w:pP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739,689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730,753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741,235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732,812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2,072,950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2,051,559</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314"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314"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264"/>
        </w:trPr>
        <w:tc>
          <w:tcPr>
            <w:tcW w:w="58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425,148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395,462</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820,310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748,777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258,079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242,637</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509,436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468,975</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64,760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60,368</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125,088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113,942</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38,616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40,981</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72,650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73,852</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16,513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17,348</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33,793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33,498</w:t>
            </w:r>
          </w:p>
        </w:tc>
      </w:tr>
      <w:tr>
        <w:trPr>
          <w:trHeight w:val="27"/>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8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377,968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361,334</w:t>
            </w:r>
          </w:p>
        </w:tc>
        <w:tc>
          <w:tcPr>
            <w:tcW w:w="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740,967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690,267</w:t>
            </w: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47,180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34,128</w:t>
            </w:r>
          </w:p>
        </w:tc>
        <w:tc>
          <w:tcPr>
            <w:tcW w:w="3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79,343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58,510</w:t>
            </w:r>
          </w:p>
        </w:tc>
      </w:tr>
      <w:tr>
        <w:trPr>
          <w:trHeight w:val="27"/>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627</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1,159</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(4,430)</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Loss from unconsolidated affiliates</w:t>
            </w:r>
          </w:p>
        </w:tc>
        <w:tc>
          <w:tcPr>
            <w:tcW w:w="3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exchange loss, net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(4,356)</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Other gains</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(7,658)</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36,864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29,195</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50,986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50,852</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(8,707)</w:t>
            </w:r>
          </w:p>
        </w:tc>
        <w:tc>
          <w:tcPr>
            <w:tcW w:w="3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(14,431)</w:t>
            </w:r>
          </w:p>
        </w:tc>
      </w:tr>
      <w:tr>
        <w:trPr>
          <w:trHeight w:val="237"/>
        </w:trPr>
        <w:tc>
          <w:tcPr>
            <w:tcW w:w="58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26,521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20,488</w:t>
            </w:r>
          </w:p>
        </w:tc>
        <w:tc>
          <w:tcPr>
            <w:tcW w:w="3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33,646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36,421</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r>
      <w:tr>
        <w:trPr>
          <w:trHeight w:val="297"/>
        </w:trPr>
        <w:tc>
          <w:tcPr>
            <w:tcW w:w="5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26,809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20,502</w:t>
            </w:r>
          </w:p>
        </w:tc>
        <w:tc>
          <w:tcPr>
            <w:tcW w:w="3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33,987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36,524</w:t>
            </w:r>
          </w:p>
        </w:tc>
      </w:tr>
      <w:tr>
        <w:trPr>
          <w:trHeight w:val="257"/>
        </w:trPr>
        <w:tc>
          <w:tcPr>
            <w:tcW w:w="58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share attributable to Euronet Worldwide, Inc. stockholders: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9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0.71</w:t>
            </w:r>
          </w:p>
        </w:tc>
      </w:tr>
      <w:tr>
        <w:trPr>
          <w:trHeight w:val="20"/>
        </w:trPr>
        <w:tc>
          <w:tcPr>
            <w:tcW w:w="2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286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0.38</w:t>
            </w:r>
          </w:p>
        </w:tc>
        <w:tc>
          <w:tcPr>
            <w:tcW w:w="3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0.69</w:t>
            </w:r>
          </w:p>
        </w:tc>
      </w:tr>
      <w:tr>
        <w:trPr>
          <w:trHeight w:val="203"/>
        </w:trPr>
        <w:tc>
          <w:tcPr>
            <w:tcW w:w="2860" w:type="dxa"/>
            <w:vAlign w:val="bottom"/>
            <w:tcBorders>
              <w:top w:val="single" w:sz="8" w:color="CCEEFF"/>
            </w:tcBorders>
            <w:shd w:val="clear" w:color="auto" w:fill="CCEEFF"/>
          </w:tcPr>
          <w:p>
            <w:pPr>
              <w:spacing w:after="0"/>
              <w:rPr>
                <w:sz w:val="17"/>
                <w:szCs w:val="17"/>
                <w:color w:val="auto"/>
              </w:rPr>
            </w:pPr>
          </w:p>
        </w:tc>
        <w:tc>
          <w:tcPr>
            <w:tcW w:w="29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w w:val="90"/>
              </w:rPr>
              <w:t>Weighted average shares outstanding:</w:t>
            </w:r>
          </w:p>
        </w:tc>
        <w:tc>
          <w:tcPr>
            <w:tcW w:w="2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8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4"/>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9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51,935,757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51,675,775</w:t>
            </w: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51,804,459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51,231,997</w:t>
            </w:r>
          </w:p>
        </w:tc>
      </w:tr>
      <w:tr>
        <w:trPr>
          <w:trHeight w:val="20"/>
        </w:trPr>
        <w:tc>
          <w:tcPr>
            <w:tcW w:w="2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28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9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53,658,504</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53,773,759</w:t>
            </w:r>
          </w:p>
        </w:tc>
        <w:tc>
          <w:tcPr>
            <w:tcW w:w="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53,492,580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53,279,782</w:t>
            </w:r>
          </w:p>
        </w:tc>
      </w:tr>
      <w:tr>
        <w:trPr>
          <w:trHeight w:val="20"/>
        </w:trPr>
        <w:tc>
          <w:tcPr>
            <w:tcW w:w="2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2860" w:type="dxa"/>
            <w:vAlign w:val="bottom"/>
          </w:tcPr>
          <w:p>
            <w:pPr>
              <w:spacing w:after="0"/>
              <w:rPr>
                <w:sz w:val="24"/>
                <w:szCs w:val="24"/>
                <w:color w:val="auto"/>
              </w:rPr>
            </w:pPr>
          </w:p>
        </w:tc>
        <w:tc>
          <w:tcPr>
            <w:tcW w:w="5940" w:type="dxa"/>
            <w:vAlign w:val="bottom"/>
            <w:gridSpan w:val="7"/>
          </w:tcPr>
          <w:p>
            <w:pPr>
              <w:jc w:val="center"/>
              <w:ind w:right="240"/>
              <w:spacing w:after="0"/>
              <w:rPr>
                <w:sz w:val="20"/>
                <w:szCs w:val="20"/>
                <w:color w:val="auto"/>
              </w:rPr>
            </w:pPr>
            <w:r>
              <w:rPr>
                <w:rFonts w:ascii="Arial" w:cs="Arial" w:eastAsia="Arial" w:hAnsi="Arial"/>
                <w:sz w:val="18"/>
                <w:szCs w:val="18"/>
                <w:color w:val="auto"/>
                <w:w w:val="89"/>
              </w:rPr>
              <w:t>See accompanying notes to the unaudited consolidated financial statements.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9"/>
        </w:trPr>
        <w:tc>
          <w:tcPr>
            <w:tcW w:w="2860" w:type="dxa"/>
            <w:vAlign w:val="bottom"/>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20" w:right="2600"/>
        <w:spacing w:after="0" w:line="266" w:lineRule="auto"/>
        <w:rPr>
          <w:sz w:val="20"/>
          <w:szCs w:val="20"/>
          <w:color w:val="auto"/>
        </w:rPr>
      </w:pPr>
      <w:r>
        <w:rPr>
          <w:rFonts w:ascii="Arial" w:cs="Arial" w:eastAsia="Arial" w:hAnsi="Arial"/>
          <w:sz w:val="18"/>
          <w:szCs w:val="18"/>
          <w:b w:val="1"/>
          <w:bCs w:val="1"/>
          <w:color w:val="auto"/>
        </w:rPr>
        <w:t>EURONET WORLDWIDE, INC. AND SUBSIDIARIES CONSOLIDATED STATEMENTS OF COMPREHENSIVE INCOME (LOSS) (Unaudited,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2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264"/>
        </w:trPr>
        <w:tc>
          <w:tcPr>
            <w:tcW w:w="64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26,521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33,646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36,421</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28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20,400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4,137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(34,940)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7,336</w:t>
            </w:r>
          </w:p>
        </w:tc>
      </w:tr>
      <w:tr>
        <w:trPr>
          <w:trHeight w:val="27"/>
        </w:trPr>
        <w:tc>
          <w:tcPr>
            <w:tcW w:w="6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46,921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43,757</w:t>
            </w:r>
          </w:p>
        </w:tc>
      </w:tr>
      <w:tr>
        <w:trPr>
          <w:trHeight w:val="243"/>
        </w:trPr>
        <w:tc>
          <w:tcPr>
            <w:tcW w:w="6480" w:type="dxa"/>
            <w:vAlign w:val="bottom"/>
          </w:tcPr>
          <w:p>
            <w:pPr>
              <w:ind w:left="380"/>
              <w:spacing w:after="0"/>
              <w:rPr>
                <w:sz w:val="20"/>
                <w:szCs w:val="20"/>
                <w:color w:val="auto"/>
              </w:rPr>
            </w:pPr>
            <w:r>
              <w:rPr>
                <w:rFonts w:ascii="Arial" w:cs="Arial" w:eastAsia="Arial" w:hAnsi="Arial"/>
                <w:sz w:val="18"/>
                <w:szCs w:val="18"/>
                <w:color w:val="auto"/>
              </w:rPr>
              <w:t>Comprehensive loss attributable to noncontrolling interests</w:t>
            </w:r>
          </w:p>
        </w:tc>
        <w:tc>
          <w:tcPr>
            <w:tcW w:w="28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114</w:t>
            </w:r>
          </w:p>
        </w:tc>
      </w:tr>
      <w:tr>
        <w:trPr>
          <w:trHeight w:val="27"/>
        </w:trPr>
        <w:tc>
          <w:tcPr>
            <w:tcW w:w="6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 (loss) attributable to Euronet Worldwide,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47,160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24,651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43,871</w:t>
            </w:r>
          </w:p>
        </w:tc>
      </w:tr>
      <w:tr>
        <w:trPr>
          <w:trHeight w:val="20"/>
        </w:trPr>
        <w:tc>
          <w:tcPr>
            <w:tcW w:w="6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5" w:right="2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2014</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36,421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33,498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6,511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Inventory — PINs and other</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22,012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24,720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53,423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5,637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(69,469)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1,744</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103,124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(83,408)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(29,268)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other long-term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(115,392)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shares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Repurchase of shares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119,580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1,206,556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(116,790)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(1,008,600)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long-term debt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Borrowings from short-term debt obligations, net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3,597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209,378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w:t>
            </w:r>
          </w:p>
        </w:tc>
      </w:tr>
      <w:tr>
        <w:trPr>
          <w:trHeight w:val="243"/>
        </w:trPr>
        <w:tc>
          <w:tcPr>
            <w:tcW w:w="8580" w:type="dxa"/>
            <w:vAlign w:val="bottom"/>
          </w:tcPr>
          <w:p>
            <w:pPr>
              <w:ind w:left="600"/>
              <w:spacing w:after="0"/>
              <w:rPr>
                <w:sz w:val="20"/>
                <w:szCs w:val="20"/>
                <w:color w:val="auto"/>
              </w:rPr>
            </w:pPr>
            <w:r>
              <w:rPr>
                <w:rFonts w:ascii="Arial" w:cs="Arial" w:eastAsia="Arial" w:hAnsi="Arial"/>
                <w:sz w:val="18"/>
                <w:szCs w:val="18"/>
                <w:color w:val="auto"/>
              </w:rPr>
              <w:t>Increase in cash and cash equivalents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70,065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198,544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468,010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209,826</w:t>
            </w:r>
          </w:p>
        </w:tc>
      </w:tr>
      <w:tr>
        <w:trPr>
          <w:trHeight w:val="230"/>
        </w:trPr>
        <w:tc>
          <w:tcPr>
            <w:tcW w:w="8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538,075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408,370</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paid during the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5,050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3,314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paid during the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issued in connection with acquisitions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56,554</w:t>
            </w:r>
          </w:p>
        </w:tc>
      </w:tr>
      <w:tr>
        <w:trPr>
          <w:trHeight w:val="230"/>
        </w:trPr>
        <w:tc>
          <w:tcPr>
            <w:tcW w:w="8580" w:type="dxa"/>
            <w:vAlign w:val="bottom"/>
          </w:tcPr>
          <w:p>
            <w:pPr>
              <w:ind w:left="2980"/>
              <w:spacing w:after="0"/>
              <w:rPr>
                <w:sz w:val="20"/>
                <w:szCs w:val="20"/>
                <w:color w:val="auto"/>
              </w:rPr>
            </w:pPr>
            <w:r>
              <w:rPr>
                <w:rFonts w:ascii="Arial" w:cs="Arial" w:eastAsia="Arial" w:hAnsi="Arial"/>
                <w:sz w:val="18"/>
                <w:szCs w:val="18"/>
                <w:color w:val="auto"/>
                <w:w w:val="91"/>
              </w:rPr>
              <w:t>See accompanying notes to the unaudited consolidated financial statements.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678"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678"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Euronet Worldwide, Inc. (together with its subsidiaries, the “Company” or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electronic distribution of prepaid mobile airtime and other electronic payment products; and global money transfer services.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on a consolidated basis the financial position of the Company as of June 30, 2015, the results of its operations for the three and six months ended June 30, 2015 and 2014 and cash flows for the six months ended June 30, 2015 and 2014. The unaudited consolidated financial statements should be read in conjunction with the audited consolidated financial statements of the Company for the year ended December 31, 2014, including the notes thereto, set forth in the Company’s 2014 Annual Report on Form 10-K. Certain amounts in prior years have been reclassified to conform to the current year's presentation.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reported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2015.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Euronet’s EFT Processing Segment experiences its heaviest demand for dynamic currency conversion services during the third quarter of the fiscal year, coinciding with tourism season. Additionally, the EFT Processing and epay Segments are impacted by seasonality during the fourth quarter and first quarter of each year due to higher transaction levels during the holiday season and lower levels following the holiday season. Seasonality in the Money Transfer Segment varies by regions of the world. In most markets, Euronet usually experiences increased demand for money transfer services from the month of May through the fourth quarter of each year, coinciding with the increase in worker migration patterns and various holidays, and experiences its lowest transaction levels during the first quarter of each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July 2015, the Financial Accounting Standards Board (“FASB”) issued Accounting Standards Update No. 2015-11, </w:t>
      </w:r>
      <w:r>
        <w:rPr>
          <w:rFonts w:ascii="Arial" w:cs="Arial" w:eastAsia="Arial" w:hAnsi="Arial"/>
          <w:sz w:val="18"/>
          <w:szCs w:val="18"/>
          <w:i w:val="1"/>
          <w:iCs w:val="1"/>
          <w:color w:val="auto"/>
        </w:rPr>
        <w:t>Inventory</w:t>
      </w:r>
      <w:r>
        <w:rPr>
          <w:rFonts w:ascii="Arial" w:cs="Arial" w:eastAsia="Arial" w:hAnsi="Arial"/>
          <w:sz w:val="18"/>
          <w:szCs w:val="18"/>
          <w:color w:val="auto"/>
        </w:rPr>
        <w:t xml:space="preserve"> ("ASU 2015-11"), which simplifies the valuation of inventory by using the lower of cost or net realizable value. ASU 2015-11 will become effective for the Company on January 1, 2017 and early adoption is permitted. The guidance is to be applied on a prospective basis. The adoption of ASU 2015-11 is not expected to have a significant impact on the Company's financial position, results of operations or cash flows.</w:t>
      </w:r>
    </w:p>
    <w:p>
      <w:pPr>
        <w:spacing w:after="0" w:line="79"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 xml:space="preserve">In April 2015, the Financial Accounting Standards Board (“FASB”) issued Accounting Standards Update No. 2015-03, </w:t>
      </w:r>
      <w:r>
        <w:rPr>
          <w:rFonts w:ascii="Arial" w:cs="Arial" w:eastAsia="Arial" w:hAnsi="Arial"/>
          <w:sz w:val="16"/>
          <w:szCs w:val="16"/>
          <w:i w:val="1"/>
          <w:iCs w:val="1"/>
          <w:color w:val="auto"/>
        </w:rPr>
        <w:t>Interest - Imputation of Interest</w:t>
      </w:r>
      <w:r>
        <w:rPr>
          <w:rFonts w:ascii="Arial" w:cs="Arial" w:eastAsia="Arial" w:hAnsi="Arial"/>
          <w:sz w:val="16"/>
          <w:szCs w:val="16"/>
          <w:color w:val="auto"/>
        </w:rPr>
        <w:t xml:space="preserve"> ("ASU 2015-03"), which requires that transaction costs related to the issuance of debt be deducted from the carrying value of the financial liability and not recorded as separate assets. ASU 2015-03 will become effective for the Company on January 1, 2016 and early adoption is permitted. The guidance is to be applied on a retrospective basis. Euronet has debt issuance costs which will be reclassified upon adoption of the guidance, but it is not expected to have a significant impact on the Company's financial position and it will have no impact upon the Company's results of operations or cash flows.</w:t>
      </w:r>
    </w:p>
    <w:p>
      <w:pPr>
        <w:spacing w:after="0" w:line="5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In May 2014, the FASB issued Accounting Standards Update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which requires an entity to recognize the amount of revenue to which it expects to be entitled for the transfer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promised goods or services to customers. ASU 2014-09 will replace most existing revenue recognition guidance in U.S. GAAP when it becomes effective. In July 2015, the FASB approved a one-year deferral of the effective date of the new revenue recognition standard. The new standard will become effective for the Company on January 1, 2018 and the Company has the option to adopt it effective January 1, 2017. The standard permits the use of either the retrospective or cumulative effect transition method. The Company is evaluating the effect that ASU 2014-09 will have on its consolidated financial statements and related disclosures. The Company has not yet selected an adoption date, a transition method nor has it determined the effect of the standard on its ongoing financial reporting.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any potential dilution of options to purchase the Company's common stock, assumed vesting of restricted stock and the assumed conversion of the Company’s convertible debentures. The following table provides the computation of diluted weighted average number of common shares outstanding:</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8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r>
      <w:tr>
        <w:trPr>
          <w:trHeight w:val="192"/>
        </w:trPr>
        <w:tc>
          <w:tcPr>
            <w:tcW w:w="596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939"/>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939"/>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51,935,757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w w:val="93"/>
              </w:rPr>
              <w:t>51,675,775</w:t>
            </w:r>
          </w:p>
        </w:tc>
        <w:tc>
          <w:tcPr>
            <w:tcW w:w="2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51,804,459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w w:val="95"/>
              </w:rPr>
              <w:t>51,231,997</w:t>
            </w: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Incremental shares from assumed exercise of stock options and vesting of</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restricted stock</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1,722,747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2,097,984</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1,688,121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2,047,785</w:t>
            </w:r>
          </w:p>
        </w:tc>
      </w:tr>
      <w:tr>
        <w:trPr>
          <w:trHeight w:val="257"/>
        </w:trPr>
        <w:tc>
          <w:tcPr>
            <w:tcW w:w="5960" w:type="dxa"/>
            <w:vAlign w:val="bottom"/>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53,658,504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3"/>
              </w:rPr>
              <w:t>53,773,759</w:t>
            </w:r>
          </w:p>
        </w:tc>
        <w:tc>
          <w:tcPr>
            <w:tcW w:w="2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53,492,580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5"/>
              </w:rPr>
              <w:t>53,279,782</w:t>
            </w: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table includes the impact of all stock options and restricted stock that are dilutive to the Company’s weighted average common shares outstanding during the three and six months ended June 30, 2015 and 2014. The calculation of diluted earnings per share excludes stock options or shares of restricted stock that are anti-dilutive to the Company’s weighted average common shares outstanding of approximately 620,000 and 888,000 for the three and six months ended June 30, 2015, respectively, and approximately 674,000 for both the three and six months ended June 30, 2014.</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During the six months ended June 30, 2015, the Company had convertible notes outstanding that, if converted, would have had a potentially dilutive effect on its common stock. At issuance, the Company stated its intent to settle any conversion of these notes by paying cash for the principal value and issuing common stock for any conversion value in excess of the principal value. As of June 30, 2015, and currently, the Company maintains the intent and ability to settle any conversion as stated. Accordingly, the convertible notes would only have a dilutive effect if the market price per share of common stock exceeds the conversion price per share of common stock. Therefore, according to Accounting Standards Codification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these notes were not dilutive to earnings per share for the three and six months ended June 30, 2015. See Note 7, Debt Obligations, for more information about the convertible notes.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Accumulated other comprehensive loss consists entirely of foreign currency translation adjustments. The Company recorded a foreign currency translation gain of $20.4 million and a loss of $34.9 million for the three and six months ended June 30, 2015, respectively, and gains of $4.1 million and $7.3 million for the three and six months ended June 30, 2014, respectively. There were no reclassifications of foreign currency translation into the consolidated statements of income for the three and six months ended June 30, 2015 and 2014.</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On June 17, 2015, the Company completed the acquisition of all of the capital stock of IME (M) Sdn Bhd and certain affiliated companies ("IME") pursuant to a Share Purchase Agreement (the "Purchase Agreement") among the Company and the selling shareholders of IME (the "Sellers"). IME is a leading Malaysian-based money transfer provider and provides the Money Transfer Segment with immediate entry into the Asian and Middle East send markets.</w:t>
      </w:r>
    </w:p>
    <w:p>
      <w:pPr>
        <w:spacing w:after="0" w:line="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terms of the Purchase Agreement, the Sellers received purchase consideration (the "Purchase Consideration") of $79.6 million in cash and 49,941 shares of Euronet common stock, with a fair value at date of acquisition of $3.0 million. A portion of the Purchase Consideration was placed in escrow at closing as security for the Sellers' indemnification and other obligations under the Purchase Agreement. Any Purchase Consideration remaining in escrow will be released to the Sellers at various defined dates over five years following the closing date, net of any pending indemnification or other claims under the Purchase Agreement.</w:t>
      </w:r>
    </w:p>
    <w:p>
      <w:pPr>
        <w:spacing w:after="0" w:line="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Purchase Consideration was allocated to the assets acquired and liabilities assumed, including identifiable intangible assets, based on their respective fair values at the date of acquisition. The valuation of the acquired net assets remains preliminary while management completes its valuation, particularly the valuation of acquired intangible assets. None of the goodwill or intangible asset amounts are expected to be deductible for income tax purposes. Pro-forma results of operations, assuming this acquisition was made at the beginning of the earliest period presented, have not been presented because the effect of this acquisition was not material to the Company's results. The net assets of the IME and its results from operations are included in the Money Transfer Segment's results.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as of the acquisition date.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3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37"/>
              <w:spacing w:after="0"/>
              <w:rPr>
                <w:sz w:val="20"/>
                <w:szCs w:val="20"/>
                <w:color w:val="auto"/>
              </w:rPr>
            </w:pPr>
            <w:r>
              <w:rPr>
                <w:rFonts w:ascii="Arial" w:cs="Arial" w:eastAsia="Arial" w:hAnsi="Arial"/>
                <w:sz w:val="14"/>
                <w:szCs w:val="14"/>
                <w:b w:val="1"/>
                <w:bCs w:val="1"/>
                <w:color w:val="auto"/>
                <w:w w:val="92"/>
              </w:rPr>
              <w:t>As of June 17, 2015</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33,229</w:t>
            </w:r>
          </w:p>
        </w:tc>
        <w:tc>
          <w:tcPr>
            <w:tcW w:w="0" w:type="dxa"/>
            <w:vAlign w:val="bottom"/>
          </w:tcPr>
          <w:p>
            <w:pPr>
              <w:spacing w:after="0"/>
              <w:rPr>
                <w:sz w:val="1"/>
                <w:szCs w:val="1"/>
                <w:color w:val="auto"/>
              </w:rPr>
            </w:pP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tcPr>
          <w:p>
            <w:pPr>
              <w:jc w:val="right"/>
              <w:ind w:right="37"/>
              <w:spacing w:after="0"/>
              <w:rPr>
                <w:sz w:val="20"/>
                <w:szCs w:val="20"/>
                <w:color w:val="auto"/>
              </w:rPr>
            </w:pPr>
            <w:r>
              <w:rPr>
                <w:rFonts w:ascii="Arial" w:cs="Arial" w:eastAsia="Arial" w:hAnsi="Arial"/>
                <w:sz w:val="18"/>
                <w:szCs w:val="18"/>
                <w:color w:val="auto"/>
              </w:rPr>
              <w:t>17,052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35,130</w:t>
            </w:r>
          </w:p>
        </w:tc>
        <w:tc>
          <w:tcPr>
            <w:tcW w:w="0" w:type="dxa"/>
            <w:vAlign w:val="bottom"/>
          </w:tcPr>
          <w:p>
            <w:pPr>
              <w:spacing w:after="0"/>
              <w:rPr>
                <w:sz w:val="1"/>
                <w:szCs w:val="1"/>
                <w:color w:val="auto"/>
              </w:rPr>
            </w:pP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tcPr>
          <w:p>
            <w:pPr>
              <w:jc w:val="right"/>
              <w:ind w:right="37"/>
              <w:spacing w:after="0"/>
              <w:rPr>
                <w:sz w:val="20"/>
                <w:szCs w:val="20"/>
                <w:color w:val="auto"/>
              </w:rPr>
            </w:pPr>
            <w:r>
              <w:rPr>
                <w:rFonts w:ascii="Arial" w:cs="Arial" w:eastAsia="Arial" w:hAnsi="Arial"/>
                <w:sz w:val="18"/>
                <w:szCs w:val="18"/>
                <w:color w:val="auto"/>
              </w:rPr>
              <w:t>5,253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 acquired</w:t>
            </w:r>
          </w:p>
        </w:tc>
        <w:tc>
          <w:tcPr>
            <w:tcW w:w="3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90,664</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3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obligations and customer deposits</w:t>
            </w:r>
          </w:p>
        </w:tc>
        <w:tc>
          <w:tcPr>
            <w:tcW w:w="3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(27,700)</w:t>
            </w:r>
          </w:p>
        </w:tc>
        <w:tc>
          <w:tcPr>
            <w:tcW w:w="0" w:type="dxa"/>
            <w:vAlign w:val="bottom"/>
          </w:tcPr>
          <w:p>
            <w:pPr>
              <w:spacing w:after="0"/>
              <w:rPr>
                <w:sz w:val="1"/>
                <w:szCs w:val="1"/>
                <w:color w:val="auto"/>
              </w:rPr>
            </w:pP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(9,122)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9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60" w:type="dxa"/>
            <w:vAlign w:val="bottom"/>
          </w:tcPr>
          <w:p>
            <w:pPr>
              <w:ind w:left="140"/>
              <w:spacing w:after="0"/>
              <w:rPr>
                <w:sz w:val="20"/>
                <w:szCs w:val="20"/>
                <w:color w:val="auto"/>
              </w:rPr>
            </w:pPr>
            <w:r>
              <w:rPr>
                <w:rFonts w:ascii="Arial" w:cs="Arial" w:eastAsia="Arial" w:hAnsi="Arial"/>
                <w:sz w:val="18"/>
                <w:szCs w:val="18"/>
                <w:color w:val="auto"/>
              </w:rPr>
              <w:t>Total liabilities assumed</w:t>
            </w:r>
          </w:p>
        </w:tc>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(41,129)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4460" w:type="dxa"/>
            <w:vAlign w:val="bottom"/>
            <w:shd w:val="clear" w:color="auto" w:fill="CCEEFF"/>
          </w:tcPr>
          <w:p>
            <w:pPr>
              <w:spacing w:after="0"/>
              <w:rPr>
                <w:sz w:val="24"/>
                <w:szCs w:val="24"/>
                <w:color w:val="auto"/>
              </w:rPr>
            </w:pPr>
          </w:p>
        </w:tc>
        <w:tc>
          <w:tcPr>
            <w:tcW w:w="3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gridSpan w:val="3"/>
          </w:tcPr>
          <w:p>
            <w:pPr>
              <w:jc w:val="right"/>
              <w:ind w:right="37"/>
              <w:spacing w:after="0"/>
              <w:rPr>
                <w:sz w:val="20"/>
                <w:szCs w:val="20"/>
                <w:color w:val="auto"/>
              </w:rPr>
            </w:pPr>
            <w:r>
              <w:rPr>
                <w:rFonts w:ascii="Arial" w:cs="Arial" w:eastAsia="Arial" w:hAnsi="Arial"/>
                <w:sz w:val="18"/>
                <w:szCs w:val="18"/>
                <w:color w:val="auto"/>
              </w:rPr>
              <w:t>33,092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4460" w:type="dxa"/>
            <w:vAlign w:val="bottom"/>
            <w:shd w:val="clear" w:color="auto" w:fill="CCEEFF"/>
          </w:tcPr>
          <w:p>
            <w:pPr>
              <w:spacing w:after="0"/>
              <w:rPr>
                <w:sz w:val="24"/>
                <w:szCs w:val="24"/>
                <w:color w:val="auto"/>
              </w:rPr>
            </w:pPr>
          </w:p>
        </w:tc>
        <w:tc>
          <w:tcPr>
            <w:tcW w:w="3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Net assets acquired</w:t>
            </w:r>
          </w:p>
        </w:tc>
        <w:tc>
          <w:tcPr>
            <w:tcW w:w="3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8"/>
                <w:szCs w:val="18"/>
                <w:color w:val="auto"/>
              </w:rPr>
              <w:t>82,627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9860" w:type="dxa"/>
            <w:vAlign w:val="bottom"/>
            <w:gridSpan w:val="8"/>
          </w:tcPr>
          <w:p>
            <w:pPr>
              <w:spacing w:after="0"/>
              <w:rPr>
                <w:sz w:val="20"/>
                <w:szCs w:val="20"/>
                <w:color w:val="auto"/>
              </w:rPr>
            </w:pPr>
            <w:r>
              <w:rPr>
                <w:rFonts w:ascii="Arial" w:cs="Arial" w:eastAsia="Arial" w:hAnsi="Arial"/>
                <w:sz w:val="18"/>
                <w:szCs w:val="18"/>
                <w:color w:val="auto"/>
                <w:w w:val="97"/>
              </w:rPr>
              <w:t>The intangible assets of IME are being amortized on a straight-line basis, and the estimated fair values consist of the following:</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3"/>
            <w:vMerge w:val="restart"/>
          </w:tcPr>
          <w:p>
            <w:pPr>
              <w:jc w:val="right"/>
              <w:ind w:right="21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9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43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33,940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8 years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3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2 years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39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Total intangible assets</w:t>
            </w:r>
          </w:p>
        </w:tc>
        <w:tc>
          <w:tcPr>
            <w:tcW w:w="408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35,130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940" w:type="dxa"/>
            <w:vAlign w:val="bottom"/>
            <w:vMerge w:val="restart"/>
          </w:tcPr>
          <w:p>
            <w:pPr>
              <w:jc w:val="right"/>
              <w:ind w:right="259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six months ended June 30, 2015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158,267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599,863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758,130</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68,222</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(11,446)</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(33,589)</w:t>
            </w:r>
          </w:p>
        </w:tc>
        <w:tc>
          <w:tcPr>
            <w:tcW w:w="0" w:type="dxa"/>
            <w:vAlign w:val="bottom"/>
          </w:tcPr>
          <w:p>
            <w:pPr>
              <w:spacing w:after="0"/>
              <w:rPr>
                <w:sz w:val="1"/>
                <w:szCs w:val="1"/>
                <w:color w:val="auto"/>
              </w:rPr>
            </w:pPr>
          </w:p>
        </w:tc>
      </w:tr>
      <w:tr>
        <w:trPr>
          <w:trHeight w:val="25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Balance as of June 30, 2015</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176,052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605,265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781,317</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Estimated amortization expense on intangible assets with finite lives, before income taxes, as of June 30, 2015, is expected to total $14.3 million for the remainder of 2015, $19.0 million for 2016, $17.1 million for 2017, $15.0 million for 2018, $14.3 million for 2019 and $13.9 million for 2020.</w:t>
      </w:r>
    </w:p>
    <w:p>
      <w:pPr>
        <w:spacing w:after="0" w:line="3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Company’s annual goodwill impairment test is performed during the fourth quarter of its fiscal year. The annual impairment test for the year ended December 31, 2014 resulted in no impairment charge.</w:t>
      </w:r>
    </w:p>
    <w:p>
      <w:pPr>
        <w:spacing w:after="0" w:line="6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the estimates or assumptions included in the 2014 annual impairment test could change, which may result in the Company recording material non-cash impairment charges during the year in which these changes take place.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June 30, 2015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74"/>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112,689</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97,115</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Money transfer settlement obligations</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184,934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137,285</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Accrued amounts due to mobile operators and other content providers</w:t>
            </w: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64,839</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47,422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36,439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57"/>
        </w:trPr>
        <w:tc>
          <w:tcPr>
            <w:tcW w:w="5320" w:type="dxa"/>
            <w:vAlign w:val="bottom"/>
          </w:tcPr>
          <w:p>
            <w:pPr>
              <w:ind w:left="160"/>
              <w:spacing w:after="0"/>
              <w:rPr>
                <w:sz w:val="20"/>
                <w:szCs w:val="20"/>
                <w:color w:val="auto"/>
              </w:rPr>
            </w:pPr>
            <w:r>
              <w:rPr>
                <w:rFonts w:ascii="Arial" w:cs="Arial" w:eastAsia="Arial" w:hAnsi="Arial"/>
                <w:sz w:val="18"/>
                <w:szCs w:val="18"/>
                <w:color w:val="auto"/>
              </w:rPr>
              <w:t>Total</w:t>
            </w:r>
          </w:p>
        </w:tc>
        <w:tc>
          <w:tcPr>
            <w:tcW w:w="366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393,071</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336,361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540" w:type="dxa"/>
            <w:vAlign w:val="bottom"/>
            <w:vMerge w:val="restart"/>
          </w:tcPr>
          <w:p>
            <w:pPr>
              <w:jc w:val="right"/>
              <w:ind w:right="30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2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six months ended June 30, 2015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Revolving</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Debt</w:t>
            </w:r>
          </w:p>
        </w:tc>
        <w:tc>
          <w:tcPr>
            <w:tcW w:w="20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Credit</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Debentures</w:t>
            </w:r>
          </w:p>
        </w:tc>
        <w:tc>
          <w:tcPr>
            <w:tcW w:w="180" w:type="dxa"/>
            <w:vAlign w:val="bottom"/>
          </w:tcPr>
          <w:p>
            <w:pPr>
              <w:spacing w:after="0"/>
              <w:rPr>
                <w:sz w:val="12"/>
                <w:szCs w:val="12"/>
                <w:color w:val="auto"/>
              </w:rPr>
            </w:pPr>
          </w:p>
        </w:tc>
        <w:tc>
          <w:tcPr>
            <w:tcW w:w="10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Term Loan A</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Facilities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Due 2044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337,986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72,187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425,888</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borrowings (repayments)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4,925</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Accretion</w:t>
            </w: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4,882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4,882</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lease interest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Foreign currency exchange gain</w:t>
            </w:r>
          </w:p>
        </w:tc>
        <w:tc>
          <w:tcPr>
            <w:tcW w:w="1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June 30, 2015</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342,868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69,843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436,088</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Less — current maturities</w:t>
            </w: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(16,894)</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obligations as of June 30, 2015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8,021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342,868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63,749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419,194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June 30, 2015, the Company had a $675 million senior secured credit facility (the "Credit Facility") consisting of a $600 million revolving credit facility and a $75 million term loan ("Term Loan A"), which had been reduced to $69.8 million through principal amortization payments. The Credit Facility expires April 9, 2019.</w:t>
      </w:r>
    </w:p>
    <w:p>
      <w:pPr>
        <w:spacing w:after="0" w:line="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Interest on borrowings under the revolving credit facility and Term Loan A varies based upon the Company's consolidated total leverage ratio, as defined in the Company's credit agreement, and during the second quarter of 2015 was based on a margin over the London Inter-Bank Offered Rate (“LIBOR”) rate or a margin over a base rate, as selected by the Company, with the applicable margin ranging from 1.375% to 2.375% for LIBOR loans or 0.375% to 1.375% for base rate loans. Accordingly, the weighted average interest rate for borrowings outstanding under the Company's revolving credit facility and Term Loan A was 10.75% and 1.81%, respectively, as of June 30, 2015, excluding amortization of deferred financing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30, 2014, the Company completed the sale of $402.5 million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Holders of the Convertible Notes have the option to require the Company to purchase their notes at par on October 1, 2020, and have additional options to require the Company to purchase their notes at par on October 1, 2024, 2029, 2034, and 2039, or upon a change in control of the Company. In connection with the issuance of the Convertible Notes, the Company recorded $10.7 million in debt issuance costs, which are being amortized through October 1, 2020.</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accordance with Accounting Standards Codification ("ASC") 470-20-30-27, proceeds from the issuance of convertible debt are allocated between debt and equity components so that debt is discounted to reflect the Company's nonconvertible debt borrowing rate. ASC 470-20-35-13 requires the debt discount to be amortized over the period the convertible debt is expected to be outstanding as additional non-cash interest expense. The allocation resulted in an increase to additional paid in capital of $66.1 million.</w:t>
      </w:r>
    </w:p>
    <w:p>
      <w:pPr>
        <w:spacing w:after="0" w:line="7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Contractual interest expense was $1.5 million and $3.0 million for the three and six months ended June 30, 2015. Accretion expense was $2.5 million and $4.9 million for the three and six months ended June 30, 2015. The effective interest rate was 4.7% for the three and six months ended June 30, 2015. As of June 30, 2015, the unamortized discount was $59.6 million, and will be amortized through October 1, 2020.</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 AND HEDGING ACTIVITIES</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short-term borrowings that are payable in currencies other than the U.S dollar. The Company enters into foreign currency derivative contracts, primarily foreign currency forwards and cross-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currency swaps, to minimize its exposure related to fluctuations in foreign currency exchange rates. As a matter of Company policy, the derivative instruments used in these activities are economic hedges and are not designated as hedges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w:t>
      </w:r>
    </w:p>
    <w:p>
      <w:pPr>
        <w:spacing w:after="0" w:line="8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June 30, 2015, the Company had foreign currency forward contracts outstanding in the U.S. with a notional value of $158 million, primarily in Australian dollars, Canadian dollars, British pounds, euros and Mexican pesos.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HiFX Operations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HiFX writes derivative instruments, primarily foreign currency forward contracts and cross-currency swaps, mostly with counterparties comprised of individuals and small-to-medium size businesses and derives a currency margin from this activity as part of its operations. HiFX aggregates its foreign currency exposures arising from customer contracts and hedges the resulting net currency risks by entering into offsetting contracts with established financial institution counterparties. Foreign exchange revenues from HiFX's total portfolio of positions were $15.9 million and $31.6 million for the three and six months ended June 30, 2015, respectively, and $7.1 million for the three months ended June 30, 2014. All of the derivative contracts used in the Company' s HiFX operations are economic hedges and are not designated as hedges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The duration of these derivative contracts is generally less than one year.</w:t>
      </w:r>
    </w:p>
    <w:p>
      <w:pPr>
        <w:spacing w:after="0" w:line="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fair value of HiFX's total portfolio of positions can change significantly from period to period based on, among other factors, market movements and changes in customer contract positions. HiFX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HiFX does not expect any significant losses from counterparty defaults.</w:t>
      </w:r>
    </w:p>
    <w:p>
      <w:pPr>
        <w:spacing w:after="0" w:line="64"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aggregate equivalent U.S. dollar notional amounts of foreign currency derivative customer contracts held by the Company in its HiFX operations as of June 30, 2015 was approximately $770 million. The majority of customer contracts are written in major currencies such as the euro, Canadian dollar, British pound, and Australian dollar.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w w:val="89"/>
              </w:rPr>
              <w:t>Asset Derivatives</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4"/>
          </w:tcPr>
          <w:p>
            <w:pPr>
              <w:ind w:left="1640"/>
              <w:spacing w:after="0"/>
              <w:rPr>
                <w:sz w:val="20"/>
                <w:szCs w:val="20"/>
                <w:color w:val="auto"/>
              </w:rPr>
            </w:pPr>
            <w:r>
              <w:rPr>
                <w:rFonts w:ascii="Arial" w:cs="Arial" w:eastAsia="Arial" w:hAnsi="Arial"/>
                <w:sz w:val="14"/>
                <w:szCs w:val="14"/>
                <w:b w:val="1"/>
                <w:bCs w:val="1"/>
                <w:color w:val="auto"/>
              </w:rPr>
              <w:t>Liability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Fair Value</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1"/>
              </w:rPr>
              <w:t>Balance Sheet Location</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2"/>
              </w:rPr>
              <w:t>June 30, 2015</w:t>
            </w:r>
          </w:p>
        </w:tc>
        <w:tc>
          <w:tcPr>
            <w:tcW w:w="100" w:type="dxa"/>
            <w:vAlign w:val="bottom"/>
          </w:tcPr>
          <w:p>
            <w:pPr>
              <w:spacing w:after="0"/>
              <w:rPr>
                <w:sz w:val="13"/>
                <w:szCs w:val="13"/>
                <w:color w:val="auto"/>
              </w:rPr>
            </w:pPr>
          </w:p>
        </w:tc>
        <w:tc>
          <w:tcPr>
            <w:tcW w:w="12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1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1"/>
              </w:rPr>
              <w:t>Balance Sheet Location</w:t>
            </w:r>
          </w:p>
        </w:tc>
        <w:tc>
          <w:tcPr>
            <w:tcW w:w="140" w:type="dxa"/>
            <w:vAlign w:val="bottom"/>
          </w:tcPr>
          <w:p>
            <w:pPr>
              <w:spacing w:after="0"/>
              <w:rPr>
                <w:sz w:val="13"/>
                <w:szCs w:val="13"/>
                <w:color w:val="auto"/>
              </w:rPr>
            </w:pPr>
          </w:p>
        </w:tc>
        <w:tc>
          <w:tcPr>
            <w:tcW w:w="100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0"/>
              </w:rPr>
              <w:t>June 30, 2015</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24"/>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w:t>
            </w: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designated as hedging</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7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Foreign currency</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340"/>
              <w:spacing w:after="0"/>
              <w:rPr>
                <w:sz w:val="20"/>
                <w:szCs w:val="20"/>
                <w:color w:val="auto"/>
              </w:rPr>
            </w:pPr>
            <w:r>
              <w:rPr>
                <w:rFonts w:ascii="Arial" w:cs="Arial" w:eastAsia="Arial" w:hAnsi="Arial"/>
                <w:sz w:val="18"/>
                <w:szCs w:val="18"/>
                <w:color w:val="auto"/>
              </w:rPr>
              <w:t>exchange contracts</w:t>
            </w:r>
          </w:p>
        </w:tc>
        <w:tc>
          <w:tcPr>
            <w:tcW w:w="1760" w:type="dxa"/>
            <w:vAlign w:val="bottom"/>
          </w:tcPr>
          <w:p>
            <w:pPr>
              <w:ind w:left="320"/>
              <w:spacing w:after="0"/>
              <w:rPr>
                <w:sz w:val="20"/>
                <w:szCs w:val="20"/>
                <w:color w:val="auto"/>
              </w:rPr>
            </w:pPr>
            <w:r>
              <w:rPr>
                <w:rFonts w:ascii="Arial" w:cs="Arial" w:eastAsia="Arial" w:hAnsi="Arial"/>
                <w:sz w:val="18"/>
                <w:szCs w:val="18"/>
                <w:color w:val="auto"/>
                <w:w w:val="87"/>
              </w:rPr>
              <w:t>Other current assets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2"/>
              <w:spacing w:after="0"/>
              <w:rPr>
                <w:sz w:val="20"/>
                <w:szCs w:val="20"/>
                <w:color w:val="auto"/>
              </w:rPr>
            </w:pPr>
            <w:r>
              <w:rPr>
                <w:rFonts w:ascii="Arial" w:cs="Arial" w:eastAsia="Arial" w:hAnsi="Arial"/>
                <w:sz w:val="18"/>
                <w:szCs w:val="18"/>
                <w:color w:val="auto"/>
              </w:rPr>
              <w:t>50,881</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41,151</w:t>
            </w:r>
          </w:p>
        </w:tc>
        <w:tc>
          <w:tcPr>
            <w:tcW w:w="100" w:type="dxa"/>
            <w:vAlign w:val="bottom"/>
          </w:tcPr>
          <w:p>
            <w:pPr>
              <w:spacing w:after="0"/>
              <w:rPr>
                <w:sz w:val="20"/>
                <w:szCs w:val="20"/>
                <w:color w:val="auto"/>
              </w:rPr>
            </w:pPr>
          </w:p>
        </w:tc>
        <w:tc>
          <w:tcPr>
            <w:tcW w:w="2160" w:type="dxa"/>
            <w:vAlign w:val="bottom"/>
          </w:tcPr>
          <w:p>
            <w:pPr>
              <w:jc w:val="center"/>
              <w:ind w:right="42"/>
              <w:spacing w:after="0"/>
              <w:rPr>
                <w:sz w:val="20"/>
                <w:szCs w:val="20"/>
                <w:color w:val="auto"/>
              </w:rPr>
            </w:pPr>
            <w:r>
              <w:rPr>
                <w:rFonts w:ascii="Arial" w:cs="Arial" w:eastAsia="Arial" w:hAnsi="Arial"/>
                <w:sz w:val="18"/>
                <w:szCs w:val="18"/>
                <w:color w:val="auto"/>
                <w:w w:val="93"/>
              </w:rPr>
              <w:t>Other 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(47,422)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(36,439)</w:t>
            </w:r>
          </w:p>
        </w:tc>
        <w:tc>
          <w:tcPr>
            <w:tcW w:w="0" w:type="dxa"/>
            <w:vAlign w:val="bottom"/>
          </w:tcPr>
          <w:p>
            <w:pPr>
              <w:spacing w:after="0"/>
              <w:rPr>
                <w:sz w:val="1"/>
                <w:szCs w:val="1"/>
                <w:color w:val="auto"/>
              </w:rPr>
            </w:pPr>
          </w:p>
        </w:tc>
      </w:tr>
      <w:tr>
        <w:trPr>
          <w:trHeight w:val="594"/>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gridSpan w:val="2"/>
          </w:tcPr>
          <w:p>
            <w:pPr>
              <w:jc w:val="right"/>
              <w:ind w:right="108"/>
              <w:spacing w:after="0"/>
              <w:rPr>
                <w:sz w:val="20"/>
                <w:szCs w:val="20"/>
                <w:color w:val="auto"/>
              </w:rPr>
            </w:pPr>
            <w:r>
              <w:rPr>
                <w:rFonts w:ascii="Arial" w:cs="Arial" w:eastAsia="Arial" w:hAnsi="Arial"/>
                <w:sz w:val="18"/>
                <w:szCs w:val="18"/>
                <w:color w:val="auto"/>
              </w:rPr>
              <w:t>12</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gross and net fair value of derivative assets and liabilities as of June 30, 2015 and December 31, 2014 (in thousands):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Gross Amounts Not Offset in the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Amounts of</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June 30, 2015</w:t>
            </w:r>
          </w:p>
        </w:tc>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Recognized Assets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Received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50,881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50,881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11,227</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41,151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41,151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7,759</w:t>
            </w:r>
          </w:p>
        </w:tc>
        <w:tc>
          <w:tcPr>
            <w:tcW w:w="0" w:type="dxa"/>
            <w:vAlign w:val="bottom"/>
          </w:tcPr>
          <w:p>
            <w:pPr>
              <w:spacing w:after="0"/>
              <w:rPr>
                <w:sz w:val="1"/>
                <w:szCs w:val="1"/>
                <w:color w:val="auto"/>
              </w:rPr>
            </w:pPr>
          </w:p>
        </w:tc>
      </w:tr>
      <w:tr>
        <w:trPr>
          <w:trHeight w:val="324"/>
        </w:trPr>
        <w:tc>
          <w:tcPr>
            <w:tcW w:w="3340" w:type="dxa"/>
            <w:vAlign w:val="bottom"/>
            <w:gridSpan w:val="3"/>
          </w:tcPr>
          <w:p>
            <w:pPr>
              <w:spacing w:after="0"/>
              <w:rPr>
                <w:sz w:val="20"/>
                <w:szCs w:val="20"/>
                <w:color w:val="auto"/>
              </w:rPr>
            </w:pPr>
            <w:r>
              <w:rPr>
                <w:rFonts w:ascii="Arial" w:cs="Arial" w:eastAsia="Arial" w:hAnsi="Arial"/>
                <w:sz w:val="18"/>
                <w:szCs w:val="18"/>
                <w:i w:val="1"/>
                <w:iCs w:val="1"/>
                <w:color w:val="auto"/>
              </w:rPr>
              <w:t>Offsetting of Derivative Liabilities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Gross Amounts Not Offset in the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Consolidated Balance Sheet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Gross Amounts of</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8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Collateral</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June 30, 2015</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Net Amounts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Instruments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(47,422)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31,897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28,113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Presentation</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tables summarize the location and amount of gains and losses of derivatives in the Consolidated Statements of Income for the three and six months ended June 30, 2015 and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gridSpan w:val="9"/>
          </w:tcPr>
          <w:p>
            <w:pPr>
              <w:jc w:val="right"/>
              <w:ind w:right="599"/>
              <w:spacing w:after="0"/>
              <w:rPr>
                <w:sz w:val="20"/>
                <w:szCs w:val="20"/>
                <w:color w:val="auto"/>
              </w:rPr>
            </w:pPr>
            <w:r>
              <w:rPr>
                <w:rFonts w:ascii="Arial" w:cs="Arial" w:eastAsia="Arial" w:hAnsi="Arial"/>
                <w:sz w:val="14"/>
                <w:szCs w:val="14"/>
                <w:b w:val="1"/>
                <w:bCs w:val="1"/>
                <w:color w:val="auto"/>
              </w:rPr>
              <w:t>Amount of Loss Recognized in Income on Derivative Contracts (a)</w:t>
            </w: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jc w:val="center"/>
              <w:ind w:right="520"/>
              <w:spacing w:after="0" w:line="153" w:lineRule="exact"/>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3"/>
                <w:szCs w:val="13"/>
                <w:color w:val="auto"/>
              </w:rPr>
            </w:pPr>
          </w:p>
        </w:tc>
        <w:tc>
          <w:tcPr>
            <w:tcW w:w="2320" w:type="dxa"/>
            <w:vAlign w:val="bottom"/>
            <w:gridSpan w:val="3"/>
          </w:tcPr>
          <w:p>
            <w:pPr>
              <w:jc w:val="center"/>
              <w:ind w:right="219"/>
              <w:spacing w:after="0" w:line="153" w:lineRule="exact"/>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Location of Gain (Loss) Recognized in</w:t>
            </w: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564"/>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left="544"/>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3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vMerge w:val="restart"/>
          </w:tcPr>
          <w:p>
            <w:pPr>
              <w:jc w:val="right"/>
              <w:ind w:right="444"/>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6"/>
                <w:szCs w:val="6"/>
                <w:color w:val="auto"/>
              </w:rPr>
            </w:pPr>
          </w:p>
        </w:tc>
        <w:tc>
          <w:tcPr>
            <w:tcW w:w="9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 on Derivative Contracts</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Foreign currency exchange contracts -</w:t>
            </w:r>
          </w:p>
        </w:tc>
        <w:tc>
          <w:tcPr>
            <w:tcW w:w="1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exchange loss,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Ria Operations</w:t>
            </w:r>
          </w:p>
        </w:tc>
        <w:tc>
          <w:tcPr>
            <w:tcW w:w="1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(34)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7"/>
        </w:trPr>
        <w:tc>
          <w:tcPr>
            <w:tcW w:w="3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55"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HiFX operations. These derivative contracts are excluded from this table as they are part of the broader disclosure of foreign currency exchange revenues for this business discussed above.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See Note 9, Fair Value Measurements, for the determination of the fair values of derivatives.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27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62"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As of June 30, 2015</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50,881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50,881</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(47,422)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(47,422)</w:t>
            </w:r>
          </w:p>
        </w:tc>
      </w:tr>
      <w:tr>
        <w:trPr>
          <w:trHeight w:val="399"/>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As of December 31, 2014</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22"/>
                <w:szCs w:val="22"/>
                <w:color w:val="auto"/>
              </w:rPr>
            </w:pPr>
          </w:p>
        </w:tc>
        <w:tc>
          <w:tcPr>
            <w:tcW w:w="22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41,151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41,151</w:t>
            </w:r>
          </w:p>
        </w:tc>
      </w:tr>
      <w:tr>
        <w:trPr>
          <w:trHeight w:val="243"/>
        </w:trPr>
        <w:tc>
          <w:tcPr>
            <w:tcW w:w="36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640" w:type="dxa"/>
            <w:vAlign w:val="bottom"/>
            <w:gridSpan w:val="2"/>
          </w:tcPr>
          <w:p>
            <w:pPr>
              <w:spacing w:after="0"/>
              <w:rPr>
                <w:sz w:val="2"/>
                <w:szCs w:val="2"/>
                <w:color w:val="auto"/>
              </w:rPr>
            </w:pPr>
          </w:p>
        </w:tc>
        <w:tc>
          <w:tcPr>
            <w:tcW w:w="2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3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(36,439)</w:t>
            </w:r>
          </w:p>
        </w:tc>
      </w:tr>
      <w:tr>
        <w:trPr>
          <w:trHeight w:val="27"/>
        </w:trPr>
        <w:tc>
          <w:tcPr>
            <w:tcW w:w="3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Other Fair Value Disclosures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52525"/>
        </w:rPr>
        <w:t>The carrying amounts of cash and cash equivalents, accounts receivable, trade accounts payable, accrued expenses and other current obligations approximate their fair values because of the relatively short-term maturities of these financial instruments. The carrying values of the Company’s long-term debt (other than the Convertible Notes), including the current portion, approximate fair value because interest is primarily based on LIBOR, which resets at various intervals of less than one year. The Company estimates the fair value of the Convertible Notes using quoted prices in inactive markets for identical liabilities (Level 2). As of June 30, 2015 and December 31, 2014, the fair values of the convertible notes were $448.5 million and $408.0 million, respectively, with carrying values of $342.9 million and $338.0 million, respectively.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125" w:right="3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The Company’s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20" w:hanging="648"/>
        <w:spacing w:after="0" w:line="25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700" w:hanging="648"/>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Through the epay Segment, the Company provides distribution, processing and collection services for prepaid mobile airtime and other electronic payment products in Europe, the Middle East, Asia Pacific, the United States and South America.</w:t>
      </w:r>
    </w:p>
    <w:p>
      <w:pPr>
        <w:spacing w:after="0" w:line="38" w:lineRule="exact"/>
        <w:rPr>
          <w:rFonts w:ascii="Arial" w:cs="Arial" w:eastAsia="Arial" w:hAnsi="Arial"/>
          <w:sz w:val="17"/>
          <w:szCs w:val="17"/>
          <w:color w:val="auto"/>
        </w:rPr>
      </w:pPr>
    </w:p>
    <w:p>
      <w:pPr>
        <w:ind w:left="980" w:right="80" w:hanging="648"/>
        <w:spacing w:after="0" w:line="272"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Through the Money Transfer Segment, the Company provides global money transfer services under the brand names Ria and HiFX. Ria provides global consumer-to-consumer money transfer services through a network of sending agents, Company-owned stores and a Company-owned website, disbursing money transfers through a worldwide correspondent network. HiFX offers account-to-account international payment services to high-income individuals and small-to-medium sized businesses. The Company also offers customers bill payment services, payment alternatives such as money orders and prepaid debit cards, comprehensive check cashing services, foreign currency exchange services and mobile top-up. The Company provides cash management solutions and foreign currency risk management services to small-to-medium sized businesses under the brand name HiFM.</w:t>
      </w:r>
    </w:p>
    <w:p>
      <w:pPr>
        <w:spacing w:after="0" w:line="7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addition, the Company accounts for non-operating activity, most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three and six months ended June 30, 2015 and 2014:</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4"/>
              </w:rPr>
              <w:t>For the Three Months Ended June 30, 2015</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93,075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166,824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165,651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425,148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126,519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86,860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258,079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11,598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12,382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33,301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7,479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64,760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38,616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7,754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2,728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5,964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16,513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150,644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147,897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8,390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377,968</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22,038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16,180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17,754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47,180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4"/>
              </w:rPr>
              <w:t>For the Three Months Ended June 30, 2014</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89,472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181,979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124,318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395,462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138,522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62,558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242,637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11,877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13,906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27,943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6,642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60,368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40,981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7,645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4,179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5,458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17,348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67,894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167,793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113,505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12,142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361,334</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21,578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14,186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10,813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(12,449)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34,128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Six Months Ended June 30, 2015</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167,755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342,749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310,457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820,310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84,204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263,736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162,080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509,436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22,604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24,427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64,394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13,663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125,088</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72,650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15,159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5,805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12,692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33,793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134,347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310,996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278,899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16,725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740,967</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33,408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31,753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31,558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79,343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Six Months Ended June 30, 2014</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164,077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367,043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218,318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748,777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79,161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281,863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468,975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22,972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27,500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51,253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12,217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113,942</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7,237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73,852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14,941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8,325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10,091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33,498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129,725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337,961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203,565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19,016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690,267</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34,352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29,082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14,753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58,510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property and equipment and total assets by reportable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w w:val="94"/>
              </w:rPr>
              <w:t>Property and Equipment, net as of</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4"/>
                <w:szCs w:val="14"/>
                <w:b w:val="1"/>
                <w:bCs w:val="1"/>
                <w:color w:val="auto"/>
              </w:rPr>
              <w:t>Total Assets as of</w:t>
            </w:r>
          </w:p>
        </w:tc>
      </w:tr>
      <w:tr>
        <w:trPr>
          <w:trHeight w:val="264"/>
        </w:trPr>
        <w:tc>
          <w:tcPr>
            <w:tcW w:w="6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0"/>
              </w:rPr>
              <w:t>June 30, 2015</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December 31, 2014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2"/>
              </w:rPr>
              <w:t>June 30, 2015</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December 31, 2014</w:t>
            </w: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84,254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537,011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390,398</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23,693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24,859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563,114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754,448</w:t>
            </w:r>
          </w:p>
        </w:tc>
      </w:tr>
      <w:tr>
        <w:trPr>
          <w:trHeight w:val="27"/>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31,972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940,638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837,360</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32,187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69,353</w:t>
            </w:r>
          </w:p>
        </w:tc>
      </w:tr>
      <w:tr>
        <w:trPr>
          <w:trHeight w:val="27"/>
        </w:trPr>
        <w:tc>
          <w:tcPr>
            <w:tcW w:w="6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140,070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125,307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2,072,950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2,051,559</w:t>
            </w:r>
          </w:p>
        </w:tc>
      </w:tr>
      <w:tr>
        <w:trPr>
          <w:trHeight w:val="20"/>
        </w:trPr>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effective income tax rates were 28.1% and 29.8% for the three months ended June 30, 2015 and 2014, respectively, and 34.0% and 28.4% for the six months ended June 30, 2015 and 2014, respectively.</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effective income tax rates for the three and six months ended June 30, 2015 and 2014 were lower than the applicable statutory income tax rate of 35% primarily because of the Company's U.S. income tax positions. The Company does not have a history of significant taxable income in the U.S.; therefore, the Company has recorded a valuation allowance against its U.S. federal tax net operating loss carryforwards. Accordingly, in instances when the Company's U.S. legal entities generate pre-tax U.S. GAAP income, no income tax expense is recognized to the extent there are net operating loss carryforwards to offset pre-tax U.S. GAAP income. Additionally, the effective income tax rate for the six months ended June 30, 2015 was significantly influenced by foreign currency exchange losses, most of which are not currently deductible for income tax purposes, resulting in a higher effective income tax rate.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June 30, 2015, the Company had $74.9 million of stand-by letters of credit/bank guarantees issued on its behalf, of which $42.5 million are outstanding under the revolving credit facility. The remaining stand-by letters of credit/bank guarantees are collateralized by $2.9 million of cash deposits held by the respective issuing banks.</w:t>
      </w:r>
    </w:p>
    <w:p>
      <w:pPr>
        <w:spacing w:after="0" w:line="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June 30, 2015, the Company had granted off balance sheet guarantees for cash in various ATM networks amounting to $14.5 million over the terms of the cash supply agreements and performance guarantees amounting to approximately $24.4 million over the terms of agreements with the customers.</w:t>
      </w:r>
    </w:p>
    <w:p>
      <w:pPr>
        <w:spacing w:after="0" w:line="154"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Once each of Euronet's subsidiaries reaches a certain size, it is required under the Credit Agreement to provide a guarantee of all or a portion of the outstanding obligations under the Credit Agreement depending upon whether the subsidiary is a domestic or foreign entity.</w:t>
      </w:r>
    </w:p>
    <w:p>
      <w:pPr>
        <w:spacing w:after="0" w:line="9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36" w:lineRule="exact"/>
        <w:rPr>
          <w:sz w:val="20"/>
          <w:szCs w:val="20"/>
          <w:color w:val="auto"/>
        </w:rPr>
      </w:pPr>
    </w:p>
    <w:p>
      <w:pPr>
        <w:ind w:left="580" w:right="80" w:hanging="329"/>
        <w:spacing w:after="0" w:line="312"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connection with contracts with financial institutions in the EFT Processing Segment, the Company is responsible for damage to ATMs and theft of ATM network cash that is not recorded on the Company’s Consolidated Balance Sheets. As of June 30, 2015, the balance of ATM network cash for which the Company was responsible was approximately $420 million. The Company maintains insurance policies to mitigate this exposure;</w:t>
      </w:r>
    </w:p>
    <w:p>
      <w:pPr>
        <w:spacing w:after="0" w:line="38" w:lineRule="exact"/>
        <w:rPr>
          <w:rFonts w:ascii="Arial" w:cs="Arial" w:eastAsia="Arial" w:hAnsi="Arial"/>
          <w:sz w:val="16"/>
          <w:szCs w:val="16"/>
          <w:color w:val="auto"/>
        </w:rPr>
      </w:pPr>
    </w:p>
    <w:p>
      <w:pPr>
        <w:ind w:left="580" w:right="100" w:hanging="329"/>
        <w:spacing w:after="0" w:line="312"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38" w:lineRule="exact"/>
        <w:rPr>
          <w:rFonts w:ascii="Arial" w:cs="Arial" w:eastAsia="Arial" w:hAnsi="Arial"/>
          <w:sz w:val="16"/>
          <w:szCs w:val="16"/>
          <w:color w:val="auto"/>
        </w:rPr>
      </w:pPr>
    </w:p>
    <w:p>
      <w:pPr>
        <w:ind w:left="580" w:right="160" w:hanging="329"/>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580" w:right="120" w:hanging="329"/>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580" w:right="40" w:hanging="329"/>
        <w:spacing w:after="0" w:line="293"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80" w:right="420" w:hanging="329"/>
        <w:spacing w:after="0" w:line="26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June 30, 2015 or December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LITIGATION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u w:val="single" w:color="auto"/>
          <w:color w:val="auto"/>
        </w:rPr>
        <w:t>Unclaimed property compliance</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In September 2013, the Company entered into a voluntary disclosure agreement with the Secretary of State of the State of Delaware to determine compliance with Delaware unclaimed property laws. Types of property under examination include, but are not limited to, certain unmatched receipts from money transfer agents, payroll checks, accounts payable checks and accounts receivable credits for the period 1996 through 2007. In June 2015, the Company reached an agreement with the State of Delaware regarding unclaimed property for this period and through periods ending in 2009 and remitted an amount which was not material to the Company's consolidated financial condition or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From time to time, the Company is a party to legal or regulatory proceedings arising in the ordinary course of its business. Currently, there are no legal proceeding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July 2, 2015, the Company completed the acquisition of all of the capital stock of XE Corporation, a global leader in digital foreign exchange information. XE Corporation is a Canadian company which operates the XE.com and x-rates.com websites, providing currency-related data and international payments services.</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Under the terms of the purchase, the Company paid purchase consideration of $90.6 million in cash and 642,912 shares of Euronet common stock, with a fair value at date of acquisition of $40.1 million.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80"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the closing of any pending acquisitions;</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9"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including our financial processing networks;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and anti-bribery requirements; changes in laws and regulations affecting our business, including immigration laws; changes in our relationships with, or in fees charged by, our business partners; competition; the outcome of claims and other loss contingencies affecting Euronet; and those other factors referred to above and as set forth and more fully described in Part I, Item 1A — Risk Factors of our Annual Report on Form 10-K for the year ended December 31, 2014. Our Annual Report on Form 10-K is available on the SEC's EDGAR website at www.sec.gov, and a copy may also be obtained by contacting the Company. All forward-looking statements made in this Form 10-Q speak only as of the date of this report. We do not intend, and do not undertake any obligation, to update any forward-looking statements to reflect future events or circumstances after the date of such statements.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and global money transfer services. We operate in the following three segments:</w:t>
      </w:r>
    </w:p>
    <w:p>
      <w:pPr>
        <w:spacing w:after="0" w:line="79" w:lineRule="exact"/>
        <w:rPr>
          <w:sz w:val="20"/>
          <w:szCs w:val="20"/>
          <w:color w:val="auto"/>
        </w:rPr>
      </w:pPr>
    </w:p>
    <w:p>
      <w:pPr>
        <w:ind w:left="980" w:right="240" w:hanging="648"/>
        <w:spacing w:after="0" w:line="27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EFT Processing Segment, which processes transactions for a network of 21,980 ATMs and approximately 89,000 POS terminals across Europe, the Middle East and Asia Pacific. We provide comprehensive electronic payment solutions consisting of ATM cash withdrawal and deposit services, ATM network participation, outsourced ATM and POS management solutions, credit and debit card outsourcing, dynamic currency conversion, and other value added services. Through this segment, we also offer a suite of integrated electronic financial transaction software solutions for electronic payment and transaction delivery systems.</w:t>
      </w:r>
    </w:p>
    <w:p>
      <w:pPr>
        <w:spacing w:after="0" w:line="64" w:lineRule="exact"/>
        <w:rPr>
          <w:rFonts w:ascii="Arial" w:cs="Arial" w:eastAsia="Arial" w:hAnsi="Arial"/>
          <w:sz w:val="17"/>
          <w:szCs w:val="17"/>
          <w:color w:val="auto"/>
        </w:rPr>
      </w:pPr>
    </w:p>
    <w:p>
      <w:pPr>
        <w:ind w:left="980" w:right="80" w:hanging="648"/>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epay Segment, which provides distribution, processing and collection services for prepaid mobile airtime and other electronic payment products. We operate a network of approximately 676,000 POS terminals providing electronic processing of prepaid mobile airtime top-up services and other electronic payment products in Europe, the Middle East, Asia Pacific, the United States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right="80" w:hanging="648"/>
        <w:spacing w:after="0" w:line="270"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Money Transfer Segment, which provides global consumer-to-consumer money transfer services, primarily under the brand name Ria and global account-to-account money transfer services under the brand name HiFX. We offer services under the brand name Ria, through a network of sending agents, Company-owned stores (primarily in North America and Europe) and our Ria website (riamoneytransfer.com), disbursing money transfers through a worldwide correspondent network that includes approximately 272,000 locations. We offer services under the brand name HiFX through our HiFX websites (www.hifx.co.uk and www.hifx.com.au) and HiFX customer service representatives.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mobile top-up. Through our HiFM brand, we offer cash management solutions and foreign currency risk management services to small-to-medium sized businesses.</w:t>
      </w:r>
    </w:p>
    <w:p>
      <w:pPr>
        <w:spacing w:after="0" w:line="74" w:lineRule="exact"/>
        <w:rPr>
          <w:sz w:val="20"/>
          <w:szCs w:val="20"/>
          <w:color w:val="auto"/>
        </w:rPr>
      </w:pPr>
    </w:p>
    <w:p>
      <w:pPr>
        <w:ind w:left="60" w:right="60"/>
        <w:spacing w:after="0" w:line="259" w:lineRule="auto"/>
        <w:rPr>
          <w:sz w:val="20"/>
          <w:szCs w:val="20"/>
          <w:color w:val="auto"/>
        </w:rPr>
      </w:pPr>
      <w:r>
        <w:rPr>
          <w:rFonts w:ascii="Arial" w:cs="Arial" w:eastAsia="Arial" w:hAnsi="Arial"/>
          <w:sz w:val="18"/>
          <w:szCs w:val="18"/>
          <w:color w:val="auto"/>
        </w:rPr>
        <w:t>We have five processing centers in Europe, four in Asia Pacific and two in North America. We have 30 principal offices in Europe, 12 in Asia Pacific, seven in North America, three in the Middle East, two in South America and one in Africa. Our executive offices are located in Leawood, Kansas, USA. With approximately 70% of our revenues denominated in currencies other than the U.S. dollar, any significant changes in foreign currency exchange rates will likely have a significant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Euronet primarily earns revenues and income based on ATM management fees, transaction fees, commissions and foreign currency exchange margin. Each operating segment’s sources of revenues are described below.</w:t>
      </w:r>
    </w:p>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EFT Processing Segment </w:t>
      </w:r>
      <w:r>
        <w:rPr>
          <w:rFonts w:ascii="Arial" w:cs="Arial" w:eastAsia="Arial" w:hAnsi="Arial"/>
          <w:sz w:val="16"/>
          <w:szCs w:val="16"/>
          <w:color w:val="auto"/>
        </w:rPr>
        <w:t>— Revenues in the EFT Processing Segment, which represented approximately 22% and 20% of our total consolidated revenues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second quarter and first half of 2015, respectively, are primarily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dynamic currency conversion transactions, and fees received for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39% and 42% of our total consolidated revenues for the second quarter</w:t>
      </w:r>
      <w:r>
        <w:rPr>
          <w:rFonts w:ascii="Arial" w:cs="Arial" w:eastAsia="Arial" w:hAnsi="Arial"/>
          <w:sz w:val="17"/>
          <w:szCs w:val="17"/>
          <w:i w:val="1"/>
          <w:iCs w:val="1"/>
          <w:color w:val="auto"/>
        </w:rPr>
        <w:t xml:space="preserve"> </w:t>
      </w:r>
      <w:r>
        <w:rPr>
          <w:rFonts w:ascii="Arial" w:cs="Arial" w:eastAsia="Arial" w:hAnsi="Arial"/>
          <w:sz w:val="17"/>
          <w:szCs w:val="17"/>
          <w:color w:val="auto"/>
        </w:rPr>
        <w:t>and first half of 2015, respectively, are primarily derived from commissions or processing fees received from mobile phone operators for the processing and distribution of prepaid mobile airtime and commissions earned from the distribution of other electronic payment products, vouchers, and physical gifts. Due to certain provisions in our mobile phone operator agreements, the operators have the ability to reduce the overall commission paid on top-up transactions.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 reduction in commissions to the retailers. In certain markets, retailers may negotiate directly with the mobile phone operators and prepaid content providers for their own commission rates, which also limits our ability to pass through reductions in commissions. Agreements with mobile operators and prepaid content providers are important to the success of our business. These agreements permit us to distribute prepaid mobile airtime and other electronic payment products to the end consumer.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approximately 39% and 38% of our total consolidated revenues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and first half of 2015, respectively, are primarily derived from transaction fees, as well as the margin earned from purchasing foreign currency at wholesale exchange rates and selling the foreign currency to customers at retail exchange rates. We have a sending network in place comprised of agents, customer service representatives, Company-owned stores, primarily in North America and Europe, and our websites riamoneytransfer.com, www.hifx.co.uk and www.hifx.com.au,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8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currently focused on eight primary areas:</w:t>
      </w:r>
    </w:p>
    <w:p>
      <w:pPr>
        <w:spacing w:after="0" w:line="117"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the number of ATMs in our independent ATM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right="48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value added services in our EFT Processing Segment, including the sale of dynamic currency conversion services to banks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electronic payment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money transfer services, cross-currency payment products and bill payment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cash management solutions and foreign currency risk management services;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5"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enter into and renew ATM network cash supply agreements with financial institutions;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outsourcing customers. However, we cannot predict any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legal and regulatory considerations in local countries. These agreements tend to cover large numbers of ATMs, so significant increases and decreases in our pool of managed ATMs could result from the acquisition or termination of one or more of these management contracts. Therefore, the timing of both current and new contract revenues is uncertain and unpredictable.</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our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32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phone operators,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use existing expertise and relationships with mobile operators,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continued use of third-party providers such as ourselves to supply electronic processing solutions for existing and additional content;</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development of mobile phone networks in the markets in which we do business and the increase in the number of mobile phone users;</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market, including consumer shifts between prepaid and postpaid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117"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EFT Processing and Money Transfer Segments,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125" w:right="3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all of the markets in which we operate, we are experiencing significant competition which will impact the rate at which we may be able to grow organically. Competition among prepaid mobile airtime distributors results in the increase of commissions paid to retailers and increases in retailer attrition rates. To grow, we must capture market share from other prepaid mobile airtime distributors, offer a superior product offering and demonstrate the value of a global network. In certain markets in which we operate, we believe that many of the factors that may contribute to rapid growth (growth in electronic payment products, expansion of our network of retailers and access to all mobile operators' products) remain present.</w:t>
      </w:r>
    </w:p>
    <w:p>
      <w:pPr>
        <w:spacing w:after="0" w:line="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2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62" w:lineRule="exact"/>
        <w:rPr>
          <w:rFonts w:ascii="Arial" w:cs="Arial" w:eastAsia="Arial" w:hAnsi="Arial"/>
          <w:sz w:val="18"/>
          <w:szCs w:val="18"/>
          <w:color w:val="auto"/>
        </w:rPr>
      </w:pPr>
    </w:p>
    <w:p>
      <w:pPr>
        <w:ind w:left="980" w:right="6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high-income individuals,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epay Segment, including providing prepaid services through Ria’s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maintain banking relationships necessary for us to service our customers; and</w:t>
      </w:r>
    </w:p>
    <w:p>
      <w:pPr>
        <w:spacing w:after="0" w:line="117"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institution licenses under the Payment Services Directive and in the United States.</w:t>
      </w:r>
    </w:p>
    <w:p>
      <w:pPr>
        <w:spacing w:after="0" w:line="2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Any inability to continue to effectively manage expansion could have a material adverse effect on our business, growth, financial condition and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Revenues and operating income by segment for the three and six months ended June 30, 2015 and 2014 are summarized in the tables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10"/>
          </w:tcPr>
          <w:p>
            <w:pPr>
              <w:jc w:val="center"/>
              <w:spacing w:after="0"/>
              <w:rPr>
                <w:sz w:val="20"/>
                <w:szCs w:val="20"/>
                <w:color w:val="auto"/>
              </w:rPr>
            </w:pPr>
            <w:r>
              <w:rPr>
                <w:rFonts w:ascii="Arial" w:cs="Arial" w:eastAsia="Arial" w:hAnsi="Arial"/>
                <w:sz w:val="14"/>
                <w:szCs w:val="14"/>
                <w:b w:val="1"/>
                <w:bCs w:val="1"/>
                <w:color w:val="auto"/>
                <w:w w:val="92"/>
              </w:rPr>
              <w:t>Revenues for the Three Months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rPr>
              <w:t>Year-over-Year Change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11"/>
          </w:tcPr>
          <w:p>
            <w:pPr>
              <w:ind w:left="40"/>
              <w:spacing w:after="0"/>
              <w:rPr>
                <w:sz w:val="20"/>
                <w:szCs w:val="20"/>
                <w:color w:val="auto"/>
              </w:rPr>
            </w:pPr>
            <w:r>
              <w:rPr>
                <w:rFonts w:ascii="Arial" w:cs="Arial" w:eastAsia="Arial" w:hAnsi="Arial"/>
                <w:sz w:val="14"/>
                <w:szCs w:val="14"/>
                <w:b w:val="1"/>
                <w:bCs w:val="1"/>
                <w:color w:val="auto"/>
                <w:w w:val="95"/>
              </w:rPr>
              <w:t>Revenues for the Six Months Ended June</w:t>
            </w:r>
          </w:p>
        </w:tc>
        <w:tc>
          <w:tcPr>
            <w:tcW w:w="140" w:type="dxa"/>
            <w:vAlign w:val="bottom"/>
          </w:tcPr>
          <w:p>
            <w:pPr>
              <w:spacing w:after="0"/>
              <w:rPr>
                <w:sz w:val="14"/>
                <w:szCs w:val="14"/>
                <w:color w:val="auto"/>
              </w:rPr>
            </w:pPr>
          </w:p>
        </w:tc>
        <w:tc>
          <w:tcPr>
            <w:tcW w:w="1920" w:type="dxa"/>
            <w:vAlign w:val="bottom"/>
            <w:gridSpan w:val="5"/>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8"/>
          </w:tcPr>
          <w:p>
            <w:pPr>
              <w:jc w:val="center"/>
              <w:ind w:left="34"/>
              <w:spacing w:after="0"/>
              <w:rPr>
                <w:sz w:val="20"/>
                <w:szCs w:val="20"/>
                <w:color w:val="auto"/>
              </w:rPr>
            </w:pPr>
            <w:r>
              <w:rPr>
                <w:rFonts w:ascii="Arial" w:cs="Arial" w:eastAsia="Arial" w:hAnsi="Arial"/>
                <w:sz w:val="14"/>
                <w:szCs w:val="14"/>
                <w:b w:val="1"/>
                <w:bCs w:val="1"/>
                <w:color w:val="auto"/>
                <w:w w:val="93"/>
              </w:rPr>
              <w:t>Ended June 30,</w:t>
            </w: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Increase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260"/>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Increase</w:t>
            </w:r>
          </w:p>
        </w:tc>
        <w:tc>
          <w:tcPr>
            <w:tcW w:w="40" w:type="dxa"/>
            <w:vAlign w:val="bottom"/>
          </w:tcPr>
          <w:p>
            <w:pPr>
              <w:spacing w:after="0"/>
              <w:rPr>
                <w:sz w:val="13"/>
                <w:szCs w:val="13"/>
                <w:color w:val="auto"/>
              </w:rPr>
            </w:pP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(Decrease)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(Decrease)</w:t>
            </w:r>
          </w:p>
        </w:tc>
        <w:tc>
          <w:tcPr>
            <w:tcW w:w="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 amounts in thousands)</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Percent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93,075</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89,472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4 %</w:t>
            </w:r>
          </w:p>
        </w:tc>
        <w:tc>
          <w:tcPr>
            <w:tcW w:w="4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167,755</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164,077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3,678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4"/>
          </w:tcPr>
          <w:p>
            <w:pPr>
              <w:jc w:val="right"/>
              <w:ind w:right="30"/>
              <w:spacing w:after="0"/>
              <w:rPr>
                <w:sz w:val="20"/>
                <w:szCs w:val="20"/>
                <w:color w:val="auto"/>
              </w:rPr>
            </w:pPr>
            <w:r>
              <w:rPr>
                <w:rFonts w:ascii="Arial" w:cs="Arial" w:eastAsia="Arial" w:hAnsi="Arial"/>
                <w:sz w:val="18"/>
                <w:szCs w:val="18"/>
                <w:color w:val="auto"/>
              </w:rPr>
              <w:t>166,824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3"/>
          </w:tcPr>
          <w:p>
            <w:pPr>
              <w:jc w:val="right"/>
              <w:ind w:right="36"/>
              <w:spacing w:after="0"/>
              <w:rPr>
                <w:sz w:val="20"/>
                <w:szCs w:val="20"/>
                <w:color w:val="auto"/>
              </w:rPr>
            </w:pPr>
            <w:r>
              <w:rPr>
                <w:rFonts w:ascii="Arial" w:cs="Arial" w:eastAsia="Arial" w:hAnsi="Arial"/>
                <w:sz w:val="18"/>
                <w:szCs w:val="18"/>
                <w:color w:val="auto"/>
              </w:rPr>
              <w:t>181,979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(15,155)</w:t>
            </w: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342,749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16"/>
              <w:spacing w:after="0"/>
              <w:rPr>
                <w:sz w:val="20"/>
                <w:szCs w:val="20"/>
                <w:color w:val="auto"/>
              </w:rPr>
            </w:pPr>
            <w:r>
              <w:rPr>
                <w:rFonts w:ascii="Arial" w:cs="Arial" w:eastAsia="Arial" w:hAnsi="Arial"/>
                <w:sz w:val="18"/>
                <w:szCs w:val="18"/>
                <w:color w:val="auto"/>
              </w:rPr>
              <w:t>367,043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(24,294)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165,651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124,318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41,333</w:t>
            </w:r>
          </w:p>
        </w:tc>
        <w:tc>
          <w:tcPr>
            <w:tcW w:w="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33 %</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310,457</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218,318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92,139</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37"/>
        </w:trPr>
        <w:tc>
          <w:tcPr>
            <w:tcW w:w="19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425,550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3"/>
          </w:tcPr>
          <w:p>
            <w:pPr>
              <w:jc w:val="right"/>
              <w:ind w:right="36"/>
              <w:spacing w:after="0"/>
              <w:rPr>
                <w:sz w:val="20"/>
                <w:szCs w:val="20"/>
                <w:color w:val="auto"/>
              </w:rPr>
            </w:pPr>
            <w:r>
              <w:rPr>
                <w:rFonts w:ascii="Arial" w:cs="Arial" w:eastAsia="Arial" w:hAnsi="Arial"/>
                <w:sz w:val="18"/>
                <w:szCs w:val="18"/>
                <w:color w:val="auto"/>
              </w:rPr>
              <w:t>395,769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8"/>
              </w:rPr>
              <w:t>29,781</w:t>
            </w:r>
          </w:p>
        </w:tc>
        <w:tc>
          <w:tcPr>
            <w:tcW w:w="40" w:type="dxa"/>
            <w:vAlign w:val="bottom"/>
            <w:tcBorders>
              <w:top w:val="single" w:sz="8" w:color="auto"/>
            </w:tcBorders>
          </w:tcPr>
          <w:p>
            <w:pPr>
              <w:spacing w:after="0"/>
              <w:rPr>
                <w:sz w:val="20"/>
                <w:szCs w:val="20"/>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820,961</w:t>
            </w: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3"/>
          </w:tcPr>
          <w:p>
            <w:pPr>
              <w:jc w:val="right"/>
              <w:ind w:right="16"/>
              <w:spacing w:after="0"/>
              <w:rPr>
                <w:sz w:val="20"/>
                <w:szCs w:val="20"/>
                <w:color w:val="auto"/>
              </w:rPr>
            </w:pPr>
            <w:r>
              <w:rPr>
                <w:rFonts w:ascii="Arial" w:cs="Arial" w:eastAsia="Arial" w:hAnsi="Arial"/>
                <w:sz w:val="18"/>
                <w:szCs w:val="18"/>
                <w:color w:val="auto"/>
              </w:rPr>
              <w:t>749,438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71,523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7"/>
              </w:rPr>
              <w:t>eliminations and other</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11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31 %</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194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425,148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3"/>
          </w:tcPr>
          <w:p>
            <w:pPr>
              <w:jc w:val="right"/>
              <w:ind w:right="36"/>
              <w:spacing w:after="0"/>
              <w:rPr>
                <w:sz w:val="20"/>
                <w:szCs w:val="20"/>
                <w:color w:val="auto"/>
              </w:rPr>
            </w:pPr>
            <w:r>
              <w:rPr>
                <w:rFonts w:ascii="Arial" w:cs="Arial" w:eastAsia="Arial" w:hAnsi="Arial"/>
                <w:sz w:val="18"/>
                <w:szCs w:val="18"/>
                <w:color w:val="auto"/>
              </w:rPr>
              <w:t>395,462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98"/>
              </w:rPr>
              <w:t>29,686</w:t>
            </w:r>
          </w:p>
        </w:tc>
        <w:tc>
          <w:tcPr>
            <w:tcW w:w="40" w:type="dxa"/>
            <w:vAlign w:val="bottom"/>
            <w:tcBorders>
              <w:top w:val="single" w:sz="8" w:color="auto"/>
              <w:bottom w:val="single" w:sz="8" w:color="auto"/>
            </w:tcBorders>
          </w:tcPr>
          <w:p>
            <w:pPr>
              <w:spacing w:after="0"/>
              <w:rPr>
                <w:sz w:val="22"/>
                <w:szCs w:val="22"/>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8 %</w:t>
            </w:r>
          </w:p>
        </w:tc>
        <w:tc>
          <w:tcPr>
            <w:tcW w:w="22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820,310</w:t>
            </w:r>
          </w:p>
        </w:tc>
        <w:tc>
          <w:tcPr>
            <w:tcW w:w="2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gridSpan w:val="3"/>
          </w:tcPr>
          <w:p>
            <w:pPr>
              <w:jc w:val="right"/>
              <w:ind w:right="16"/>
              <w:spacing w:after="0"/>
              <w:rPr>
                <w:sz w:val="20"/>
                <w:szCs w:val="20"/>
                <w:color w:val="auto"/>
              </w:rPr>
            </w:pPr>
            <w:r>
              <w:rPr>
                <w:rFonts w:ascii="Arial" w:cs="Arial" w:eastAsia="Arial" w:hAnsi="Arial"/>
                <w:sz w:val="18"/>
                <w:szCs w:val="18"/>
                <w:color w:val="auto"/>
              </w:rPr>
              <w:t>748,777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71,533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40" w:type="dxa"/>
            <w:vAlign w:val="bottom"/>
            <w:gridSpan w:val="11"/>
          </w:tcPr>
          <w:p>
            <w:pPr>
              <w:ind w:left="40"/>
              <w:spacing w:after="0"/>
              <w:rPr>
                <w:sz w:val="20"/>
                <w:szCs w:val="20"/>
                <w:color w:val="auto"/>
              </w:rPr>
            </w:pPr>
            <w:r>
              <w:rPr>
                <w:rFonts w:ascii="Arial" w:cs="Arial" w:eastAsia="Arial" w:hAnsi="Arial"/>
                <w:sz w:val="14"/>
                <w:szCs w:val="14"/>
                <w:b w:val="1"/>
                <w:bCs w:val="1"/>
                <w:color w:val="auto"/>
                <w:w w:val="97"/>
              </w:rPr>
              <w:t>Operating Income (Expense) for</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2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Operating Income (Expense) for the</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11"/>
          </w:tcPr>
          <w:p>
            <w:pPr>
              <w:ind w:left="100"/>
              <w:spacing w:after="0" w:line="149" w:lineRule="exact"/>
              <w:rPr>
                <w:sz w:val="20"/>
                <w:szCs w:val="20"/>
                <w:color w:val="auto"/>
              </w:rPr>
            </w:pPr>
            <w:r>
              <w:rPr>
                <w:rFonts w:ascii="Arial" w:cs="Arial" w:eastAsia="Arial" w:hAnsi="Arial"/>
                <w:sz w:val="14"/>
                <w:szCs w:val="14"/>
                <w:b w:val="1"/>
                <w:bCs w:val="1"/>
                <w:color w:val="auto"/>
              </w:rPr>
              <w:t>the Three Months Ended June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6"/>
            <w:vMerge w:val="restart"/>
          </w:tcPr>
          <w:p>
            <w:pPr>
              <w:jc w:val="right"/>
              <w:ind w:right="348"/>
              <w:spacing w:after="0"/>
              <w:rPr>
                <w:sz w:val="20"/>
                <w:szCs w:val="20"/>
                <w:color w:val="auto"/>
              </w:rPr>
            </w:pPr>
            <w:r>
              <w:rPr>
                <w:rFonts w:ascii="Arial" w:cs="Arial" w:eastAsia="Arial" w:hAnsi="Arial"/>
                <w:sz w:val="14"/>
                <w:szCs w:val="14"/>
                <w:b w:val="1"/>
                <w:bCs w:val="1"/>
                <w:color w:val="auto"/>
                <w:w w:val="98"/>
              </w:rPr>
              <w:t>Year-over-Year Change</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9"/>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92"/>
              </w:rPr>
              <w:t>30,</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7"/>
          </w:tcPr>
          <w:p>
            <w:pPr>
              <w:jc w:val="right"/>
              <w:ind w:right="253"/>
              <w:spacing w:after="0"/>
              <w:rPr>
                <w:sz w:val="20"/>
                <w:szCs w:val="20"/>
                <w:color w:val="auto"/>
              </w:rPr>
            </w:pPr>
            <w:r>
              <w:rPr>
                <w:rFonts w:ascii="Arial" w:cs="Arial" w:eastAsia="Arial" w:hAnsi="Arial"/>
                <w:sz w:val="14"/>
                <w:szCs w:val="14"/>
                <w:b w:val="1"/>
                <w:bCs w:val="1"/>
                <w:color w:val="auto"/>
                <w:w w:val="95"/>
              </w:rPr>
              <w:t>Six Months Ended June 30,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Increase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1"/>
              </w:rPr>
              <w:t>Increase</w:t>
            </w:r>
          </w:p>
        </w:tc>
        <w:tc>
          <w:tcPr>
            <w:tcW w:w="40" w:type="dxa"/>
            <w:vAlign w:val="bottom"/>
          </w:tcPr>
          <w:p>
            <w:pPr>
              <w:spacing w:after="0"/>
              <w:rPr>
                <w:sz w:val="13"/>
                <w:szCs w:val="13"/>
                <w:color w:val="auto"/>
              </w:rPr>
            </w:pP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6"/>
              </w:rPr>
              <w:t>(dollar amounts 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Percent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(Decrease)Amount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22,038</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21,578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460</w:t>
            </w:r>
          </w:p>
        </w:tc>
        <w:tc>
          <w:tcPr>
            <w:tcW w:w="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33,408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16,180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3"/>
          </w:tcPr>
          <w:p>
            <w:pPr>
              <w:jc w:val="right"/>
              <w:ind w:right="13"/>
              <w:spacing w:after="0"/>
              <w:rPr>
                <w:sz w:val="20"/>
                <w:szCs w:val="20"/>
                <w:color w:val="auto"/>
              </w:rPr>
            </w:pPr>
            <w:r>
              <w:rPr>
                <w:rFonts w:ascii="Arial" w:cs="Arial" w:eastAsia="Arial" w:hAnsi="Arial"/>
                <w:sz w:val="18"/>
                <w:szCs w:val="18"/>
                <w:color w:val="auto"/>
              </w:rPr>
              <w:t>14,186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1,994</w:t>
            </w:r>
          </w:p>
        </w:tc>
        <w:tc>
          <w:tcPr>
            <w:tcW w:w="4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14 %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31,753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29,082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2,671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17,754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10,813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6,941</w:t>
            </w:r>
          </w:p>
        </w:tc>
        <w:tc>
          <w:tcPr>
            <w:tcW w:w="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31,558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16,805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37"/>
        </w:trPr>
        <w:tc>
          <w:tcPr>
            <w:tcW w:w="19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55,972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3"/>
          </w:tcPr>
          <w:p>
            <w:pPr>
              <w:jc w:val="right"/>
              <w:ind w:right="13"/>
              <w:spacing w:after="0"/>
              <w:rPr>
                <w:sz w:val="20"/>
                <w:szCs w:val="20"/>
                <w:color w:val="auto"/>
              </w:rPr>
            </w:pPr>
            <w:r>
              <w:rPr>
                <w:rFonts w:ascii="Arial" w:cs="Arial" w:eastAsia="Arial" w:hAnsi="Arial"/>
                <w:sz w:val="18"/>
                <w:szCs w:val="18"/>
                <w:color w:val="auto"/>
              </w:rPr>
              <w:t>46,577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9,395</w:t>
            </w:r>
          </w:p>
        </w:tc>
        <w:tc>
          <w:tcPr>
            <w:tcW w:w="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96,719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78,187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18,532</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eliminations and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9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(8,792)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(12,449)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3,657</w:t>
            </w:r>
          </w:p>
        </w:tc>
        <w:tc>
          <w:tcPr>
            <w:tcW w:w="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2,301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19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47,180</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3"/>
          </w:tcPr>
          <w:p>
            <w:pPr>
              <w:jc w:val="right"/>
              <w:ind w:right="13"/>
              <w:spacing w:after="0"/>
              <w:rPr>
                <w:sz w:val="20"/>
                <w:szCs w:val="20"/>
                <w:color w:val="auto"/>
              </w:rPr>
            </w:pPr>
            <w:r>
              <w:rPr>
                <w:rFonts w:ascii="Arial" w:cs="Arial" w:eastAsia="Arial" w:hAnsi="Arial"/>
                <w:sz w:val="18"/>
                <w:szCs w:val="18"/>
                <w:color w:val="auto"/>
              </w:rPr>
              <w:t>34,128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13,052</w:t>
            </w:r>
          </w:p>
        </w:tc>
        <w:tc>
          <w:tcPr>
            <w:tcW w:w="4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38 %</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102"/>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79,343</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58,510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20,833</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revenues and local expenses are recorded in the functional currencies of our operating entities and translated into U.S. dollars for financial reporting purposes; therefore, amounts we earn outside the U.S. are negatively impacted by the stronger U.S. dollar and positively impacted by the weaker U.S. dollar. On average, the U.S. dollar was considerably stronger in the second quarter and first half of 2015 than the same periods of 2014 compared to currencies of most markets in which we operate. Considering the results by country and the associated functional currency, we estimate that our reported consolidated operating income for the second quarter and first half of 2015 was 17% and 16% less, respectively, due to the changes in foreign currency exchange rates when compared to the same periods of 2014.</w:t>
      </w:r>
    </w:p>
    <w:p>
      <w:pPr>
        <w:spacing w:after="0" w:line="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Average Translation Rate</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Average Translation Rate</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 June 30,</w:t>
            </w: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Decrease</w:t>
            </w:r>
          </w:p>
        </w:tc>
        <w:tc>
          <w:tcPr>
            <w:tcW w:w="340" w:type="dxa"/>
            <w:vAlign w:val="bottom"/>
          </w:tcPr>
          <w:p>
            <w:pPr>
              <w:spacing w:after="0"/>
              <w:rPr>
                <w:sz w:val="16"/>
                <w:szCs w:val="16"/>
                <w:color w:val="auto"/>
              </w:rPr>
            </w:pPr>
          </w:p>
        </w:tc>
        <w:tc>
          <w:tcPr>
            <w:tcW w:w="260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0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71"/>
        </w:trPr>
        <w:tc>
          <w:tcPr>
            <w:tcW w:w="2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vMerge w:val="restart"/>
          </w:tcPr>
          <w:p>
            <w:pPr>
              <w:jc w:val="right"/>
              <w:ind w:right="47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60" w:type="dxa"/>
            <w:vAlign w:val="bottom"/>
            <w:tcBorders>
              <w:top w:val="single" w:sz="8" w:color="auto"/>
            </w:tcBorders>
            <w:vMerge w:val="restart"/>
          </w:tcPr>
          <w:p>
            <w:pPr>
              <w:jc w:val="right"/>
              <w:ind w:right="47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0.7771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0.9330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0.7817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0.9146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Brazilian real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0.3257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0.4489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0.3382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0.4362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1.6833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1.6692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euro</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1.1069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1.3714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1.1167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1.3708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Hungarian forint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0.0036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0.0045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0.0036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0.0045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2800" w:type="dxa"/>
            <w:vAlign w:val="bottom"/>
            <w:gridSpan w:val="2"/>
          </w:tcPr>
          <w:p>
            <w:pPr>
              <w:ind w:left="40"/>
              <w:spacing w:after="0"/>
              <w:rPr>
                <w:sz w:val="20"/>
                <w:szCs w:val="20"/>
                <w:color w:val="auto"/>
              </w:rPr>
            </w:pPr>
            <w:r>
              <w:rPr>
                <w:rFonts w:ascii="Arial" w:cs="Arial" w:eastAsia="Arial" w:hAnsi="Arial"/>
                <w:sz w:val="18"/>
                <w:szCs w:val="18"/>
                <w:color w:val="auto"/>
              </w:rPr>
              <w:t>Indian rupee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0.0158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0.0167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0.0159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0.0165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Polish zloty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0.2708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0.3295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0.2699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0.3286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567"/>
        </w:trPr>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AND SIX MONTHS ENDED JUNE 30, 2015 AND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six months ended June 30, 2015 and 2014 for our EFT Processing Segment: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5"/>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7"/>
              </w:rPr>
              <w:t>Increase</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(Decrease)</w:t>
            </w:r>
          </w:p>
        </w:tc>
        <w:tc>
          <w:tcPr>
            <w:tcW w:w="220" w:type="dxa"/>
            <w:vAlign w:val="bottom"/>
          </w:tcPr>
          <w:p>
            <w:pPr>
              <w:spacing w:after="0"/>
              <w:rPr>
                <w:sz w:val="12"/>
                <w:szCs w:val="12"/>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7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93,075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89,472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3,603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167,755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164,077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3,678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3,252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84,204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5,043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11,598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11,877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22,604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22,972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12,380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7,645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109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15,159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14,941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218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71,037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67,894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3,143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134,347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129,725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4,622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97"/>
        </w:trPr>
        <w:tc>
          <w:tcPr>
            <w:tcW w:w="262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22,038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21,578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460</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2 %</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33,408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34,352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9"/>
        </w:trPr>
        <w:tc>
          <w:tcPr>
            <w:tcW w:w="262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ATMs as of June 30,</w:t>
            </w:r>
          </w:p>
        </w:tc>
        <w:tc>
          <w:tcPr>
            <w:tcW w:w="24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21,980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19,313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2,667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21,980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19,313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2,667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ATMs</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21,649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18,993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2,656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21,132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18,702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2,430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revenues for the second quarter and first half of 2015 increased when compared to the same periods of 2014 primarily due to an increase in the number of ATMs under management being largely offset by the impact of the U.S. dollar strengthening against key foreign currencies. The increase in ATMs and POS devices under management also contributed to an increase in dynamic currency conversion ("DCC") revenues which were partly offset by a decrease in rates charged for certain debit and credit card outsourcing services as a result of our actions to amend and extend a contract with a large European customer during the first quarter of 2015.</w:t>
      </w:r>
    </w:p>
    <w:p>
      <w:pPr>
        <w:spacing w:after="0" w:line="8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Our EFT Processing business in Greece has been affected by the recent sovereign debt crisis in that country. First, due to capital controls on Greek banks, we have not been able to obtain the full amount of cash from them needed to fill our ATMs which potentially results in lost transactions when ATMs become empty. However, we have arranged alternative sources of cash to supplement those supplied by Greek banks which has largely mitigated ATM cash supply risks. Second, due to the uncertainty in Greece, tourist traffic is lower than usual which reduces the number of ATM withdrawals and DCC transactions processed. Further, some tourists who are concerned about their ability to withdraw cash from ATMs in Greece bring additional cash with them on their travels which results in fewer withdrawals from our ATMs, including DCC transactions. These circumstances are likely to continue to impact our operations in the near term, reducing the number of transactions processed and revenues recognized from what would otherwise be expected. Current developments appear to keep Greece as a member of the European Union and the Eurozone which allays the immediate risk of any currency conversion of our cash in Greece; however, the longer term risk of Greece exiting the European Union is still uncertain and any related currency conversion risk remains.</w:t>
      </w:r>
    </w:p>
    <w:p>
      <w:pPr>
        <w:spacing w:after="0" w:line="5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Average monthly revenues per ATM were $1,433 for the second quarter and $1,323 for the first half of 2015 compared to $1,570 for the second quarter and $1,462 for the first half of 2014. The decreases were primarily due to the strengthening of the U.S. dollar against key foreign currencies, partly offset by revenue growth from an increase in ATMs under management and DCC transactions. Revenues per transaction were $0.28 for the second quarter and $0.27 for the first half of 2015 compared to $0.28 for the second quarter and $0.26 for the first half of 2014. Revenue growth from DCC, which earns higher revenues per transaction than other ATM or card based services, was largely offset by the impact of the U.S. dollar strengthening against key foreign currencies.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Direct operating costs consist primarily of site rental fees, cash delivery costs, cash supply costs, maintenance, insurance, telecommunications, data center operations-related personnel, as well as the processing centers’ facility-related costs and other processing center-related expenses and commissions paid to retail merchants, banks and card processors involved with POS DCC transactions. Direct operating costs increased for the second quarter and first half of 2015 compared to the same periods of 2014, primarily due to an increase in the number of ATMs under management, partly offset by the impact of the U.S. dollar strengthening against key foreign currencies.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Gross profit, which is calculated as revenues less direct operating costs, was $48.0 million for the second quarter and $83.6 million for the first half of 2015 compared to $47.6 million for the second quarter and $84.9 million for the first half of 2014. The slight variances in gross profit were primarily due to the impact of the U.S dollar strengthening against key foreign currencies and decreases in rates charged for certain debit and credit card outsourcing services being largely offset by the growth in revenues from DCC transactions and the increase in ATMs under management. Gross profit as a percentage of revenues (“gross margin”) was 51.6% for the second quarter and 49.8% for the first half of 2015 compared to 53.3% for the second quarter and 51.8% for the first half of 2014. The decreases in gross margin were primarily due to the decrease in rates charged for certain debit and credit card outsourcing services.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slight decreases in salaries and benefits for the second quarter and first half of 2015 compared to the same periods of 2014 were primarily due to the impact of the U.S. dollar strengthening against key foreign currencies being largely offset by additional headcount to support an increase in the number of ATMs and POS devices under management. As a percentage of revenues, these costs decreased to 12.5% for the second quarter and 13.5% for the first half of 2015 from 13.3% for first quarter and 14.0% for the first half of 2014. These decreases were primarily due to the growth in revenues earned from DCC and other value added service transactions on our ATMs under management, which require minimal incremental support costs.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Selling, general and administrative expenses were largely unchanged for the second quarter of 2015 compared to the same period of 2014. The slight decrease in these expenses for the first half of 2015 compared to the same period of 2014 was primarily due to the impact of the U.S. dollar strengthening against key foreign currencies, partly offset by increased support costs as a result of the increase in the number of ATMs under management. As a percentage of revenues, these expenses decreased to 7.1% for the second quarter and 7.4% for the first half of 2015 from 7.3% for the first quarter and 7.7% for the first half of 2014. These decreases were primarily due to the growth in revenues earned from DCC and other value added service transactions on our ATMs and POS devices under management, which require minimal incremental support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minor increases in depreciation and amortization expense for the second quarter and first half of 2015 compared to the same periods of 2014 were primarily due to an increase in depreciation on our ATMs under management and software assets, largely offset by the impact of the U.S. dollar strengthening against key foreign currencies. As a percentage of revenues, depreciation and amortization expense decreased slightly to 8.3% for the second quarter and 9.0% for the first half of 2015 from 8.5% for the first quarter and 9.1% for the first half of 2014, primarily due to revenue growth slightly outpacing the growth in our ATMs under management and the increase in software capitalization.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slight increase in operating income for the second quarter of 2015 compared to the same period of 2014 was primarily due to the increase in the number of ATMs under management and growth in revenues earned from DCC and other value added service transactions, largely offset by the impact of the U.S. dollar strengthening against key foreign currencies and the decrease in rates charged for certain debit and credit card management services. The slight decrease in in operating income for the first half of 2015 compared to the same period of 2014 is due to the impact of the strengthening U.S. dollar exceeding the operating improvements described above as seasonally fewer transactions are processed during the first quarter of the year, particularly DCC transactions.</w:t>
      </w:r>
    </w:p>
    <w:p>
      <w:pPr>
        <w:spacing w:after="0" w:line="5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Operating income as a percentage of revenues (“operating margin”) decreased to 23.7% for the second quarter and 19.9% for the first half of 2015 from 24.1% for the first quarter and 20.9% for the first half of 2014. The decreases in operating margin were primarily due to the decrease in rates charged for certain debit and credit card management services. Operating income per transaction remained at $0.07 for the second quarter of 2015 and 2014 and decreased slightly to $0.05 for the first half of 2015 from $0.06 for the same period of 2014.</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and six months ended June 30, 2015 and 2014 for our epay Segment: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6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2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4"/>
                <w:szCs w:val="14"/>
                <w:color w:val="auto"/>
              </w:rPr>
            </w:pPr>
          </w:p>
        </w:tc>
        <w:tc>
          <w:tcPr>
            <w:tcW w:w="234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2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1"/>
              </w:rPr>
              <w:t>Increase</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3"/>
                <w:szCs w:val="13"/>
                <w:color w:val="auto"/>
              </w:rPr>
            </w:pPr>
          </w:p>
        </w:tc>
        <w:tc>
          <w:tcPr>
            <w:tcW w:w="12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(Decrease)</w:t>
            </w:r>
          </w:p>
        </w:tc>
        <w:tc>
          <w:tcPr>
            <w:tcW w:w="200" w:type="dxa"/>
            <w:vAlign w:val="bottom"/>
          </w:tcPr>
          <w:p>
            <w:pPr>
              <w:spacing w:after="0"/>
              <w:rPr>
                <w:sz w:val="12"/>
                <w:szCs w:val="12"/>
                <w:color w:val="auto"/>
              </w:rPr>
            </w:pPr>
          </w:p>
        </w:tc>
        <w:tc>
          <w:tcPr>
            <w:tcW w:w="7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(Decrease)Amount</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(Decrease)Percent</w:t>
            </w:r>
          </w:p>
        </w:tc>
        <w:tc>
          <w:tcPr>
            <w:tcW w:w="0" w:type="dxa"/>
            <w:vAlign w:val="bottom"/>
          </w:tcPr>
          <w:p>
            <w:pPr>
              <w:spacing w:after="0"/>
              <w:rPr>
                <w:sz w:val="1"/>
                <w:szCs w:val="1"/>
                <w:color w:val="auto"/>
              </w:rPr>
            </w:pPr>
          </w:p>
        </w:tc>
      </w:tr>
      <w:tr>
        <w:trPr>
          <w:trHeight w:val="27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166,824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181,979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342,749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367,043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(24,294)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126,519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138,522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263,736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281,863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13,906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27,500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11,186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2400" w:type="dxa"/>
            <w:vAlign w:val="bottom"/>
            <w:gridSpan w:val="2"/>
          </w:tcPr>
          <w:p>
            <w:pPr>
              <w:ind w:left="180"/>
              <w:spacing w:after="0"/>
              <w:rPr>
                <w:sz w:val="20"/>
                <w:szCs w:val="20"/>
                <w:color w:val="auto"/>
              </w:rPr>
            </w:pPr>
            <w:r>
              <w:rPr>
                <w:rFonts w:ascii="Arial" w:cs="Arial" w:eastAsia="Arial" w:hAnsi="Arial"/>
                <w:sz w:val="18"/>
                <w:szCs w:val="18"/>
                <w:color w:val="auto"/>
              </w:rPr>
              <w:t>Depreciation and</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ind w:left="34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8,325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8"/>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150,644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167,793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310,996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337,961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(26,965)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7"/>
        </w:trPr>
        <w:tc>
          <w:tcPr>
            <w:tcW w:w="240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14,186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1,994</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14 %</w:t>
            </w:r>
          </w:p>
        </w:tc>
        <w:tc>
          <w:tcPr>
            <w:tcW w:w="2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31,753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29,082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2,671</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189"/>
        </w:trPr>
        <w:tc>
          <w:tcPr>
            <w:tcW w:w="24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right="300"/>
        <w:spacing w:after="0" w:line="257" w:lineRule="auto"/>
        <w:rPr>
          <w:sz w:val="20"/>
          <w:szCs w:val="20"/>
          <w:color w:val="auto"/>
        </w:rPr>
      </w:pPr>
      <w:r>
        <w:rPr>
          <w:rFonts w:ascii="Arial" w:cs="Arial" w:eastAsia="Arial" w:hAnsi="Arial"/>
          <w:sz w:val="18"/>
          <w:szCs w:val="18"/>
          <w:color w:val="auto"/>
        </w:rPr>
        <w:t>The decreases in revenues for the second quarter and first half of 2015 compared to the same periods of 2014 were primarily due to the impact of the U.S. dollar strengthening against key foreign currencies, a decrease in prepaid mobile transactions processed in Brazil and the U.K. and lower rates charged for certain transactions in the U.S. Partially offsetting the decreases in revenues for the second quarter and first half of 2015 was an increase in the number of non-mobile transactions processed in Germany and certain emerging markets and an increase in voucher redemptions in our cadooz subsidiary following strong year-end holiday sales.</w:t>
      </w:r>
    </w:p>
    <w:p>
      <w:pPr>
        <w:spacing w:after="0" w:line="8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currently expect most of our future revenue growth in the epay segment to be derived from: (i) additional electronic payment products sold over the base of POS terminals, (ii) value added services, (iii) developing markets or markets in which there is organic growth in the electronic top-up sector overall, and (iv) acquisitions, if available and commercially appropriate.</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Revenues per transaction decreased to $0.49 for the second quarter and $0.52 for the first half of 2015 from $0.61 for the first quarter and $0.63 for the first half of 2014, primarily due to the impact of the U.S. dollar weakening against key foreign currencies and growth in the number of prepaid mobile transactions processed in India, where revenues per transaction are considerably lower than average. The decrease in revenues per transaction was partly offset by the increase in the number of non-mobile transactions processed in Germany and certain emerging markets, for which we generally earn higher revenues per transaction than mobile transactions.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Direct operating costs in our epay Segment include the commissions we pay to retail merchants for the distribution and sale of prepaid mobile airtime and other prepaid products, expenses required to operate POS terminals and the cost of vouchers sold and physical gifts fulfilled. The decreases in direct operating costs for the second quarter and first half of 2015 compared to the same periods of 2014 were primarily due to the net impact of the U.S. dollar strengthening against key foreign currencies and the decrease in prepaid mobile transactions processed in the U.K. and Brazil, partly offset by the increases in vouchers redeemed in our cadooz subsidiary and non-mobile transactions processed in Germany and certain emerging markets.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Gross profit was $40.3 million for the second quarter and $79.0 million for the first half of 2015 compared to $43.5 million for the second quarter and $85.2 million for the first half of 2014. The decreases in gross profit were primarily due to the net impact of the U.S. dollar strengthening against key foreign currencies and the decreases in revenues in Brazil and the U.K., partly offset by growth in non-mobile transactions processed in Germany and certain emerging markets and the increase in vouchers redeemed in our cadooz subsidiary.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Gross margin was 24.2% for the second quarter and 23.1% for the first half of 2015 compared to 23.9% and 23.2% for the same periods of 2014. The increase in the second quarter was primarily due to the increase in non-mobile transactions processed. First half gross margin was also impacted by a decrease in revenues in Brazil and lower gross margins realized on voucher redemptions.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decreases in salaries and benefits for the second quarter and first half of 2015 compared to the same periods of 2014 were primarily due the U.S. dollar strengthening against key foreign currencies, partly offset by an increase in bonus expense related to the improved results.</w:t>
      </w:r>
    </w:p>
    <w:p>
      <w:pPr>
        <w:spacing w:after="0" w:line="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percentage of revenues, salaries and benefits decreased to 7.4% for the second quarter and 7.1% for the first half of 2015 compared to 7.6% and 7.5% for the same periods of 2014, respectively, primarily due to transaction growth exceeding headcount growth.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decreases in selling, general and administrative expenses for the second quarter and first half of 2015 compared to the same periods of 2014 were primarily due to the net impact of the U.S. dollar strengthening against key foreign currencies.</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a percentage of revenues, selling, general and administrative expenses decreased to 5.4% for the second quarter and 5.0% for the first half of 2015 compared to 6.1% and 5.5% for the same periods of 2014, respectively. The decreases for the second quarter and first half of 2015 compared to same periods of 2014 were due to transaction growth with little increase in support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Depreciation and amortization expense primarily represents depreciation of POS terminals we place in retail stores and the amortization of acquired intangible assets. Depreciation and amortization expense decreased for the second quarter and first half of 2015 compared to the same periods of 2014 primarily due to the net impact of the U.S. dollar strengthening against key foreign currencies and certain assets becoming fully depreciated without yet being replaced. As a percentage of revenues, depreciation and amortization expense decreased to 1.6% for the second quarter and 1.7% for the first half of 2015 from 2.3% for both the second quarter and first half of 2014 mainly as a result of the fully depreciated assets not being replaced.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The increases in operating income for the second quarter and first half of 2015 compared to the same periods of 2014 were primarily due to the growth in transactions processed exceeding the growth in support costs, partly offset by the net impact of the U.S. dollar strengthening against key foreign currencies.</w:t>
      </w:r>
    </w:p>
    <w:p>
      <w:pPr>
        <w:spacing w:after="0" w:line="16"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Operating margin increased to 9.7% for the second quarter and 9.3% for the first half of 2015 from 7.8% and 7.9% for the same periods of 2014, primarily due to the growth in transactions processed while keeping costs stable. Operating income per transaction remained at $0.05 for the second quarters and first six months of 2015 and 2014.</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six months ended June 30, 2015 and 2014 for the Money Transfer Segment: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115"/>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2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98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165,651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124,318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41,333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310,457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218,318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92,139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86,860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62,558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24,302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162,080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108,530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53,550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33,301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27,943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5,358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64,394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51,253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13,141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21,772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4,226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39,733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33,691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6,042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5,964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5,458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506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12,692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10,091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2,601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147,897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113,505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34,392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278,899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203,565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75,334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97"/>
        </w:trPr>
        <w:tc>
          <w:tcPr>
            <w:tcW w:w="26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17,754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10,813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6,941</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31,558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14,753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16,805</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increases in revenues for the second quarter and first half of 2015 compared to the same periods of 2014 were primarily due to increases in the number of money transfers processed, driven by growth in our U.S and foreign agent and correspondent payout networks, the April 2014 launch of the domestic Walmart money transfer product and the impact of our May 2014 acquisition of EIM (FX) Limited, which owns subsidiaries that operate under the brand name HiFX. Our June 2015 acquisition of IME (M) Sdn Bhd ("IME"), a Malaysian money transfer operation, also contributed to the second quarter revenue growth. The increases were partly offset by the U.S. dollar strengthening against key foreign currencies.</w:t>
      </w:r>
    </w:p>
    <w:p>
      <w:pPr>
        <w:spacing w:after="0" w:line="6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Revenues per transaction decreased to $10.04 for the second quarter and $10.21 for the first half of 2015 from $10.81 for the second quarter and $10.75 for the first half of 2014, primarily due to the impact of the U.S. dollar strengthening against key foreign currencies and the launch of our Walmart money transfer product during the second quarter of 2014, which earns lower revenues per transaction than other money transfer services. Partly offsetting these decreases in revenues per transaction was the impact of the HiFX transactions which earn higher revenues per transaction than other money transfer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Direct operating costs in the Money Transfer Segment primarily represent commissions paid to agents who originate money transfers on our behalf and correspondent agents who disburse funds to the customers’ destination beneficiaries, together with less significant costs, such as bank depository fees. The increases in direct operating costs for the second quarter and first half of 2015 compared to the same periods of 2014 were primarily due to growth in the number of money transfer transactions processed in both the U.S. and non-U.S. locations. Partly offsetting the increases in direct operating costs was the impact of the U.S. dollar strengthening against key foreign currencies.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Gross profit was $78.8 million for the second quarter and $148.4 million for the first half of 2015 compared to $61.8 million for the second quarter and</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$109.8 million for the first half of 2014. The increases in gross profit were primarily due to growth in the number of money transfer transactions processed in both the U.S. and foreign markets and the impact of our acquisitions of HiFX and IME. Partly offsetting the increases in gross profit was the impact of the U.S. dollar strengthening against key foreign currencies.</w:t>
      </w:r>
    </w:p>
    <w:p>
      <w:pPr>
        <w:spacing w:after="0" w:line="8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Gross margin decreased to 47.6% for the second quarter and 47.8% for the first half of 2015 from 49.7% for second quarter and 50.3% for the first half of 2014, primarily due to the launch of our Walmart money transfer product in the U.S., which earns a lower gross profit per transaction than other money transfer services, partly offset by the impact of our acquisition of HiFX, which has higher margin transactions.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increases in salaries and benefits for the second quarter and first half of 2015 compared to the same periods of 2014 were primarily due to the impact of our acquisitions of HiFX and IME, an increase in headcount as a result of the launch of our Walmart money transfer product, the development of our online money transfer service and expansion of our operations in foreign markets. As a percentage of revenues, salaries and benefits improved to 20.1% for the second quarter and 20.7% for the first half of 2015 from 22.5% for second quarter and 23.5% for the first half of 2014, primarily due to the increase in the number of money transfers processed in the U.S, which did not require a similar increase in support costs.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increases in selling, general and administrative expenses for the second quarter and first half of 2015 compared to the same periods of 2014 were primarily due to the impact of our acquisitions of HiFX and IME and expenses incurred to support the expansion of our money transfer products in both the U.S. and foreign markets. Partly offsetting the increases in selling, general and administrative expenses was the impact of the U.S. dollar strengthening against key foreign currencies and the write-down of certain customer acquisition costs in the first quarter of 2014.</w:t>
      </w:r>
    </w:p>
    <w:p>
      <w:pPr>
        <w:spacing w:after="0" w:line="6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a percentage of revenues, selling, general and administrative expenses decreased to 13.1% for the second quarter and 12.8% for the first half of 2015 from 14.1% and 15.4% for the same periods of 2014, respectively, primarily due to an increase in the number of money transfers processed in the U.S., which did not require a similar increase in support costs, and the first quarter 2014 write-down of certain customer acquisition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Depreciation and amortization primarily represents amortization of acquired intangible assets and depreciation of money transfer terminals, computers and software, leasehold improvements and office equipment. The increases in depreciation and amortization for the second quarter and first half of 2015 compared to the same periods of 2014 was primarily due to the amortization of intangible assets related to the acquisitions of HiFX and IME and investments made to support the growth in the business. Partly offsetting these increases was the the impact of the U.S. dollar strengthening against key foreign currencies. As a percentage of revenues, depreciation and amortization decreased to 3.6% for the second quarter and 4.1% for the first half of 2015 from 4.4% and 4.6% for the same periods of 2014, respectively. These decreases were primarily due to the revenues earned from our Walmart money transfer product, which required less capital investment than other money transfer products.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increases in operating income for the second quarter and first half of 2015 compared to the same periods of 2014 were primarily due to the increase in the number of money transfers processed, the impact of our acquisitions of HiFX and IME and the write-down of certain customer acquisition costs during the first quarter of 2014, partly offset by an increase in salaries and benefits and other costs to support the growth in the business. Also partly offsetting the increase in operating income was the impact of the U.S. dollar strengthening against key foreign currencies.</w:t>
      </w:r>
    </w:p>
    <w:p>
      <w:pPr>
        <w:spacing w:after="0" w:line="6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a percentage of revenues, operating margin increased to 10.7% for the second quarter and 10.2% for the first half of 2015 from 8.7% and 6.8% for same periods of 2014, respectively, primarily due to the increase in the number of money transfers processed in the U.S., the acquisitions of HiFX and IME and the write-down of certain customer acquisition costs in the first quarter of 2014.</w:t>
      </w:r>
    </w:p>
    <w:p>
      <w:pPr>
        <w:spacing w:after="0" w:line="7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Operating income per transaction increased to $1.08 for the second quarter and $1.04 for the first half of 2015 from $0.94 and $0.73 for the same periods of 2014, respectively, primarily due to the increase in the number of money transfers processed, which did not require a similar increase in support costs, along with the impact of the higher margin HiFX transactions and the first quarter 2014 write-down of customer acquisition costs, partly offset by the impact of the U.S. dollar strengthening against key foreign currencies.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 and six months ended June 30, 2015 and 2014 for Corporate Services: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9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2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6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7,479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837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13,663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4"/>
              </w:rPr>
              <w:t>12,217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1,446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680" w:type="dxa"/>
            <w:vAlign w:val="bottom"/>
          </w:tcPr>
          <w:p>
            <w:pPr>
              <w:jc w:val="right"/>
              <w:ind w:right="18"/>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5,741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(4,495)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8"/>
              <w:spacing w:after="0"/>
              <w:rPr>
                <w:sz w:val="20"/>
                <w:szCs w:val="20"/>
                <w:color w:val="auto"/>
              </w:rPr>
            </w:pPr>
            <w:r>
              <w:rPr>
                <w:rFonts w:ascii="Arial" w:cs="Arial" w:eastAsia="Arial" w:hAnsi="Arial"/>
                <w:sz w:val="18"/>
                <w:szCs w:val="18"/>
                <w:color w:val="auto"/>
              </w:rPr>
              <w:t>3,576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7,319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(3,743)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8,792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12,449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17,376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19,677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Overall, operating expenses for Corporate Services decreased for the second quarter and first half of 2015 compared to the same periods of 2014. The increases in salaries and benefits were primarily due to increased headcount, employee raises and an increase in bonus expense related to the timing of meeting higher bonus targets. The decreases in selling, general and administrative expense were primarily due to the settlement during the second quarter of 2014 of a dispute related to a prior period potential acquisition.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960" w:type="dxa"/>
            <w:vAlign w:val="bottom"/>
            <w:gridSpan w:val="3"/>
            <w:vMerge w:val="restart"/>
          </w:tcPr>
          <w:p>
            <w:pPr>
              <w:jc w:val="right"/>
              <w:ind w:right="258"/>
              <w:spacing w:after="0"/>
              <w:rPr>
                <w:sz w:val="20"/>
                <w:szCs w:val="20"/>
                <w:color w:val="auto"/>
              </w:rPr>
            </w:pPr>
            <w:r>
              <w:rPr>
                <w:rFonts w:ascii="Arial" w:cs="Arial" w:eastAsia="Arial" w:hAnsi="Arial"/>
                <w:sz w:val="14"/>
                <w:szCs w:val="14"/>
                <w:b w:val="1"/>
                <w:bCs w:val="1"/>
                <w:color w:val="auto"/>
              </w:rPr>
              <w:t>Year-over-Year Change</w:t>
            </w:r>
          </w:p>
        </w:tc>
        <w:tc>
          <w:tcPr>
            <w:tcW w:w="200" w:type="dxa"/>
            <w:vAlign w:val="bottom"/>
            <w:vMerge w:val="restart"/>
          </w:tcPr>
          <w:p>
            <w:pPr>
              <w:spacing w:after="0"/>
              <w:rPr>
                <w:sz w:val="14"/>
                <w:szCs w:val="14"/>
                <w:color w:val="auto"/>
              </w:rPr>
            </w:pPr>
          </w:p>
        </w:tc>
        <w:tc>
          <w:tcPr>
            <w:tcW w:w="21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2440" w:type="dxa"/>
            <w:vAlign w:val="bottom"/>
            <w:gridSpan w:val="3"/>
            <w:vMerge w:val="restart"/>
          </w:tcPr>
          <w:p>
            <w:pPr>
              <w:jc w:val="right"/>
              <w:ind w:right="416"/>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3"/>
          </w:tcPr>
          <w:p>
            <w:pPr>
              <w:jc w:val="center"/>
              <w:ind w:left="636"/>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340" w:type="dxa"/>
            <w:vAlign w:val="bottom"/>
            <w:tcBorders>
              <w:bottom w:val="single" w:sz="8" w:color="auto"/>
            </w:tcBorders>
            <w:gridSpan w:val="3"/>
          </w:tcPr>
          <w:p>
            <w:pPr>
              <w:jc w:val="center"/>
              <w:ind w:left="596"/>
              <w:spacing w:after="0"/>
              <w:rPr>
                <w:sz w:val="20"/>
                <w:szCs w:val="20"/>
                <w:color w:val="auto"/>
              </w:rPr>
            </w:pPr>
            <w:r>
              <w:rPr>
                <w:rFonts w:ascii="Arial" w:cs="Arial" w:eastAsia="Arial" w:hAnsi="Arial"/>
                <w:sz w:val="14"/>
                <w:szCs w:val="14"/>
                <w:b w:val="1"/>
                <w:bCs w:val="1"/>
                <w:color w:val="auto"/>
                <w:w w:val="89"/>
              </w:rPr>
              <w:t>June 30,</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22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7"/>
              </w:rPr>
              <w:t>Increase</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Increase(Decrease)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(Decrease)</w:t>
            </w:r>
          </w:p>
        </w:tc>
        <w:tc>
          <w:tcPr>
            <w:tcW w:w="10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980" w:type="dxa"/>
            <w:vAlign w:val="bottom"/>
          </w:tcPr>
          <w:p>
            <w:pPr>
              <w:jc w:val="right"/>
              <w:spacing w:after="0"/>
              <w:rPr>
                <w:sz w:val="20"/>
                <w:szCs w:val="20"/>
                <w:color w:val="auto"/>
              </w:rPr>
            </w:pPr>
            <w:r>
              <w:rPr>
                <w:rFonts w:ascii="Arial" w:cs="Arial" w:eastAsia="Arial" w:hAnsi="Arial"/>
                <w:sz w:val="18"/>
                <w:szCs w:val="18"/>
                <w:color w:val="auto"/>
              </w:rPr>
              <w:t>(6,094)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150 %</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(4,430)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(7,362)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Loss from unconsolidated</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affiliates</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Foreign currency exchange</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ind w:left="200"/>
              <w:spacing w:after="0"/>
              <w:rPr>
                <w:sz w:val="20"/>
                <w:szCs w:val="20"/>
                <w:color w:val="auto"/>
              </w:rPr>
            </w:pPr>
            <w:r>
              <w:rPr>
                <w:rFonts w:ascii="Arial" w:cs="Arial" w:eastAsia="Arial" w:hAnsi="Arial"/>
                <w:sz w:val="18"/>
                <w:szCs w:val="18"/>
                <w:color w:val="auto"/>
              </w:rPr>
              <w:t>loss, net</w:t>
            </w:r>
          </w:p>
        </w:tc>
        <w:tc>
          <w:tcPr>
            <w:tcW w:w="980" w:type="dxa"/>
            <w:vAlign w:val="bottom"/>
          </w:tcPr>
          <w:p>
            <w:pPr>
              <w:jc w:val="right"/>
              <w:spacing w:after="0"/>
              <w:rPr>
                <w:sz w:val="20"/>
                <w:szCs w:val="20"/>
                <w:color w:val="auto"/>
              </w:rPr>
            </w:pPr>
            <w:r>
              <w:rPr>
                <w:rFonts w:ascii="Arial" w:cs="Arial" w:eastAsia="Arial" w:hAnsi="Arial"/>
                <w:sz w:val="18"/>
                <w:szCs w:val="18"/>
                <w:color w:val="auto"/>
              </w:rPr>
              <w:t>(5,104)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1000" w:type="dxa"/>
            <w:vAlign w:val="bottom"/>
          </w:tcPr>
          <w:p>
            <w:pPr>
              <w:jc w:val="right"/>
              <w:spacing w:after="0"/>
              <w:rPr>
                <w:sz w:val="20"/>
                <w:szCs w:val="20"/>
                <w:color w:val="auto"/>
              </w:rPr>
            </w:pPr>
            <w:r>
              <w:rPr>
                <w:rFonts w:ascii="Arial" w:cs="Arial" w:eastAsia="Arial" w:hAnsi="Arial"/>
                <w:sz w:val="18"/>
                <w:szCs w:val="18"/>
                <w:color w:val="auto"/>
              </w:rPr>
              <w:t>(18,056)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(4,356)</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(13,700)</w:t>
            </w:r>
          </w:p>
        </w:tc>
        <w:tc>
          <w:tcPr>
            <w:tcW w:w="100" w:type="dxa"/>
            <w:vAlign w:val="bottom"/>
          </w:tcPr>
          <w:p>
            <w:pPr>
              <w:spacing w:after="0"/>
              <w:rPr>
                <w:sz w:val="20"/>
                <w:szCs w:val="20"/>
                <w:color w:val="auto"/>
              </w:rPr>
            </w:pPr>
          </w:p>
        </w:tc>
        <w:tc>
          <w:tcPr>
            <w:tcW w:w="13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gains</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2400" w:type="dxa"/>
            <w:vAlign w:val="bottom"/>
            <w:gridSpan w:val="2"/>
          </w:tcPr>
          <w:p>
            <w:pPr>
              <w:ind w:left="340"/>
              <w:spacing w:after="0"/>
              <w:rPr>
                <w:sz w:val="20"/>
                <w:szCs w:val="20"/>
                <w:color w:val="auto"/>
              </w:rPr>
            </w:pPr>
            <w:r>
              <w:rPr>
                <w:rFonts w:ascii="Arial" w:cs="Arial" w:eastAsia="Arial" w:hAnsi="Arial"/>
                <w:sz w:val="18"/>
                <w:szCs w:val="18"/>
                <w:color w:val="auto"/>
              </w:rPr>
              <w:t>Other expense, net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(10,316)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(5,383)</w:t>
            </w:r>
          </w:p>
        </w:tc>
        <w:tc>
          <w:tcPr>
            <w:tcW w:w="100" w:type="dxa"/>
            <w:vAlign w:val="bottom"/>
          </w:tcPr>
          <w:p>
            <w:pPr>
              <w:spacing w:after="0"/>
              <w:rPr>
                <w:sz w:val="22"/>
                <w:szCs w:val="22"/>
                <w:color w:val="auto"/>
              </w:rPr>
            </w:pP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(28,357)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(7,658)</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(20,699)</w:t>
            </w:r>
          </w:p>
        </w:tc>
        <w:tc>
          <w:tcPr>
            <w:tcW w:w="100" w:type="dxa"/>
            <w:vAlign w:val="bottom"/>
          </w:tcPr>
          <w:p>
            <w:pPr>
              <w:spacing w:after="0"/>
              <w:rPr>
                <w:sz w:val="22"/>
                <w:szCs w:val="22"/>
                <w:color w:val="auto"/>
              </w:rPr>
            </w:pPr>
          </w:p>
        </w:tc>
        <w:tc>
          <w:tcPr>
            <w:tcW w:w="13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10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3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decreases in interest income for the second quarter and first half of 2015 compared to the same periods of 2014 were primarily due to a decrease in interest earned on funds held in Australia and the impact of the U.S. dollar strengthening against key foreign currencies, partly offset by an increase in interest earned on customer funds held on deposit related to money transfer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increases in interest expense for the second quarter and first half of 2015 compared to the same periods of 2014 were the result of the issuance of the Convertible Notes in the fourth quarter of 2014, partly offset by lower average borrowings outstanding under our revolving credit facility during the periods.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net</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determining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recorded net foreign currency exchange losses of $5.1 million and $3.1 million for the second quarters of 2015 and 2014, respectively, and $18.1 million and $4.4 million for the first six months of 2015 and 2014, respectively. These realized and unrealized net foreign currency exchange losses reflect the fluctuation in the value of the U.S. dollar against the currencies of the countries in which we operated during the respective periods.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second quarter 2015 gain was the result of the sale of a minor line of business by one of our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Company's effective income tax rates were 28.1% and 29.8% for the second quarter of 2015 and 2014, respectively, and 34.0% and 28.4% for the first half of 2015 and 2014, respectively. The effective income tax rate for the first half of 2015 was significantly influenced by foreign currency exchange losses. Excluding this item from pre-tax income, as well as the related tax effect, the effective income tax rate was 24.9% for 2015.</w:t>
      </w:r>
    </w:p>
    <w:p>
      <w:pPr>
        <w:spacing w:after="0" w:line="5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effective income tax rates for the second quarter of 2015 and 2014 and the first half of 2015, as adjusted for foreign currency exchange losses, and 2014 were lower than the applicable statutory income tax rate of 35% primarily because of the Company's U.S. income tax positions. The Company does not have a history of significant taxable income in the U.S.; therefore, the Company has recorded a valuation allowance against its U.S. federal tax net operating loss carryforwards. Accordingly, in instances when the Company's U.S. legal entities generate pre-tax U.S. GAAP income, no income tax expense is recognized to the extent there are net operating loss carryforwards to offset pre-tax U.S. GAAP income. The decreases in the effective tax rates for the second quarter of 2015 and the first half of 2015, as adjusted for foreign currency exchange losses, compared to the same periods of 2014 were largely due to an increase in the portion of earnings generated in the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OR LOSS ATTRIBUTABLE TO NONCONTROLLING INTERESTS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Noncontrolling interests represents the elimination of net income or loss attributable to the minority shareholders’ portion of the following consolidated subsidiaries that are not wholly owned: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Segment - Country</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EFT - China</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EFT - Pakistan</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Universal Solutions Partners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51%</w:t>
            </w:r>
          </w:p>
        </w:tc>
        <w:tc>
          <w:tcPr>
            <w:tcW w:w="10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6"/>
              </w:rPr>
              <w:t>EFT - UAE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income attributable to Euronet was $26.8 million for the second quarter and $34.0 million for the first half of 2015 compared to $20.5 million for the second quarter and $36.5 million for the first half of 2014. As more fully discussed above, the $2.5 million decrease in net income for the first half of 2015 compared to the same period of 2014 was primarily due to an increase in net foreign currency exchange loss of $13.7 million, an increase in interest expense of $7.4 million and an increase in income tax expense of $2.9 million. These decreases to net income were partly offset by an increase in operating income of $20.8 million and a decrease in other non-operating costs of $0.7 million.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As of June 30, 2015 and December 31, 2014, we had working capital, which is calculated as the difference between total current assets and total current liabilities, of $242.6 million and $257.0 million, respectively. Our ratio of current assets to current liabilities at June 30, 2015 and December 31, 2014 was 1.29 and 1.30, respectively.</w:t>
      </w:r>
    </w:p>
    <w:p>
      <w:pPr>
        <w:spacing w:after="0" w:line="7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require substantial working capital to finance operations. In the Money Transfer Segment, we fund the payout of the majority of Ria's consumer-to-consumer money transfers services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The epay Segment produces positive working capital, but much of it is restricted in connection with the administration of its customer collection and vendor remittance activities. In our EFT Processing Segment, we obtain the majority of the cash required to operate our ATMs through various cash supply arrangements, the amount of which is not recorded on Euronet's Consolidated Balance Sheets. In certain countries, we fund the cash required to operate our ATM network from borrowings under the revolving credit facility and cash flows from operations. As of June 30, 2015, we had approximately $173 million of our own cash in use or designated for use in our ATM network, which is recorded in cash and cash equivalents on Euronet's Consolidated Balance Sheet.</w:t>
      </w:r>
    </w:p>
    <w:p>
      <w:pPr>
        <w:spacing w:after="0" w:line="7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had cash and cash equivalents of $538.1 million at June 30, 2015, of which $490.7 million was held outside of the United States and is expected to be indefinitely reinvested for continued use in foreign operations. Repatriation of these assets to the U.S. could have negative tax consequences.</w:t>
      </w:r>
    </w:p>
    <w:p>
      <w:pPr>
        <w:spacing w:after="0" w:line="12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identifies cash and cash equivalents provided by/(used in) our operating, investing and financing activities for the six-month periods ended June 30, 2015 and 2014 (in thousands):</w:t>
      </w:r>
    </w:p>
    <w:p>
      <w:pPr>
        <w:spacing w:after="0" w:line="117" w:lineRule="exact"/>
        <w:rPr>
          <w:sz w:val="20"/>
          <w:szCs w:val="20"/>
          <w:color w:val="auto"/>
        </w:rPr>
      </w:pPr>
    </w:p>
    <w:p>
      <w:pPr>
        <w:ind w:left="936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ind w:left="97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33020</wp:posOffset>
            </wp:positionV>
            <wp:extent cx="1800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provided by (used 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156,928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103,124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(115,392)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209,378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1,434</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Increase in cash and cash equivalents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70,065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198,544</w:t>
            </w: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Cash flows provided by operating activities were $156.9 million for the first half of 2015 compared to $103.1 million for the first half of 2014. The increase is primarily due to fluctuations in working capital mainly associated with the timing of the settlement processes with mobile operators in the epay Segment and with correspondents in the Money Transfer Segment and improved operating results.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Cash flows used in investing activities were $66.2 million for the first half of 2015 compared to $115.4 million for the first half of 2014. Cash used for acquisitions was $29.3 million for the first half of 2015 compared to $83.4 million for the first half of 2014. During the first six months of 2015, we used $34.4 million for purchases of property and equipment compared to $29.3 million during the first six months of 2014; the increase was primarily related to ATM network expansion. Cash used for software development and other investing activities totaled $2.5 million for the first half of 2015 compared to $2.7 million for the same period of 2014.</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Cash flows provided by financing activities were $0.2 million for the first half of 2015 compared to $209.4 million for the first half of 2014. Our financing activities for the first six months of 2015 consisted of net borrowings of $1.9 million compared to $207.6 million for the first six months of 2014. The decrease in net borrowings during the first half of 2015 compared to the same period of 2014 was the result of having adequate cash on hand from the fourth quarter 2014 issuance of the Convertible Notes compared to borrowings needed for acquisitions and working capital purposes in the first half of 2014. Additionally, we used $1.7 million and $1.2 million during the first six months of 2015 and 2014, respectively, for capital lease repayments. During the first half of 2015, we paid $5.0 million for the amount of payroll taxes represented by the common stock withheld on restricted stock vestings and stock option exercises compared to $0.8 million for the same period of 2014; we also purchased $0.1 million of our stock in the open market during the first half of 2015. We received proceeds from stock option exercises of $4.6 million and $5.9 million for the first six months of 2015 and 2014, respectively. During the first half of 2014, we paid $2.5 million for debt issuance costs.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2015, we had a $675 million senior secured credit facility (the "Credit Facility") consisting of a $590 million revolving credit facility, a $10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million India revolving credit facility and an $75 million term loan ("Term Loan A"), which had been reduced to $69.8 million through principal amortization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The revolving credit facility allows for borrowings in U.S. dollars, euros, British pounds, Australian dollars and/or Indian rupees and contains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 million sublimit for the issuance of letters of credit and a $25 million sublimit for swingline loans. The Credit Facility expires April 9, 2019. We use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primarily to fund working capital requirements which are expected to increase as we expand the Money Transfer business and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independent ATM network. Based on our current projected working capital requirements, we anticipate that our revolving credit facility will be sufficient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fund our working capital needs.</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June 30, 2015, fees and interest on borrowings varied based upon the Company's consolidated total leverage ratio (as defined in the Company's Amended and Restated Credit Agreement) (the "Credit Agreement") and are based, in the case of letter of credit fees, on a margin, and in the case of interest, on a margin over LIBOR or a margin over the base rate, as selected by us, with the applicable margin ranging from 1.375% to 2.375% for LIBOR loans and 0.375% to 1.375% for base rate loans.</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June 30, 2015, we had borrowings of $69.8 million outstanding under Term Loan A. We had $8.0 million of borrowings and $42.5 million of stand-by letters of credit outstanding under the revolving credit facility as of June 30, 2015. The remaining $549.5 million under the revolving credit facility was available for borrowing. As of June 30, 2015, our weighted average interest rates under the revolving credit facility and Term Loan A were 10.75% and 1.81%, respectively, excluding amortization of deferred financing costs.</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On October 30, 2014, we completed the sale of $402.5 million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Holders of the Convertible Notes have the option to require us to purchase their notes at par on October 1, 2020, and have additional options to require us to purchase their notes at par on October 1, 2024, 2029, 2034, and 2039, or upon a change in control of the Company. In connection with the issuance of the Convertible Notes, we recorded $10.7 million in debt issuance costs, which are being amortized through October 1, 2020.</w:t>
      </w:r>
    </w:p>
    <w:p>
      <w:pPr>
        <w:spacing w:after="0" w:line="18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u w:val="single" w:color="auto"/>
          <w:color w:val="auto"/>
        </w:rPr>
        <w:t>Short-term debt obligations</w:t>
      </w:r>
      <w:r>
        <w:rPr>
          <w:rFonts w:ascii="Arial" w:cs="Arial" w:eastAsia="Arial" w:hAnsi="Arial"/>
          <w:sz w:val="18"/>
          <w:szCs w:val="18"/>
          <w:color w:val="auto"/>
        </w:rPr>
        <w:t xml:space="preserve"> - Short-term debt obligations as of June 30, 2015 were primarily comprised of $6.1 million of payments due in the next twelve months under Term Loan A. Certain of our subsidiaries also have available credit lines and overdraft facilities to supplement short-term working capital requirements, when necessary, and there was $9.4 million outstanding under these facilities as of June 30,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22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the first half of 2015 were $38.1 million. These capital expenditures were made primarily for the purchase of ATMs in Poland and India, as well as for office, data center and company store computer equipment and software, and POS terminals for the epay Segment. Total capital expenditures for 2015 are currently estimated to range from approximately $55.0 million to $65.0 million.</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sources, will be sufficient to meet our debt, leasing and capital expenditure obligations. If our capital resources are not sufficient to meet these obligations, we will seek to issue additional debt and/or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On June 17, 2015, the Company completed the acquisition of all of the capital stock of IME (M) Sdn Bhd and certain affiliated companies ("IME") pursuant to a Share Purchase Agreement (the "Purchase Agreement") among the Company and the selling shareholders of IME (the "Sellers"). IME is a leading Malaysian-based money transfer provider and provides the Money Transfer Segment with immediate entry into the Asian and Middle East send markets.</w:t>
      </w:r>
    </w:p>
    <w:p>
      <w:pPr>
        <w:spacing w:after="0" w:line="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terms of the Purchase Agreement, the Sellers received purchase consideration (the "Purchase Consideration") of $79.6 million in cash and 49,941 shares of Euronet common stock, with a fair value at date of acquisition of $3.0 million. A portion of the Purchase Consideration was placed in escrow at closing as security for the Sellers' indemnification and other obligations under the Purchase Agreement. Any Purchase Consideration remaining in escrow will be released to the Sellers at various defined dates over five years following the closing date, net of any pending indemnification or other claims under the Purchase Agreement.</w:t>
      </w:r>
    </w:p>
    <w:p>
      <w:pPr>
        <w:spacing w:after="0" w:line="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July 2, 2015, the Company completed the acquisition of all of the capital stock of XE Corporation, a global leader in digital foreign exchange information. XE Corporation is a Canadian company which operates the XE.com and x-rates.com websites, providing currency-related data and international payments services.</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 the terms of the purchase, the Company paid purchase consideration of $90.6 million in cash and 642,912 shares of Euronet common stock, with a fair value at date of acquisition of $40.1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plan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September 2013, the Board of Directors authorized a stock repurchase program ("2013 Program") allowing Euronet to repurchase up to $100 million in value or 5 million shares of its common stock through September 19, 2015. Repurchases under the 2013 Program may take place in the open market or in privately negotiated transactions, including derivative transactions, and may be made under a Rule 10b5-1 plan. We purchased 1,600 shares for $85 thousand during the first quarter of 2015 and none in the second quarter of 2015.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commercial counterparties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June 30, 2015, there were no material changes from the disclosure in our Annual Report on Form 10-K for the year ended December 31, 2014. To date, we are not aware of any significant claims made by the indemnified parties or parties to whom we have provided guarantees on behalf of our subsidiaries and, accordingly, no liabilities have been recorded as of June 30, 2015. See also Note 12, Commitments,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 our future contractual obligations have not changed significantly from the amounts reported within our 2014 Form 10-K.</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422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360"/>
        <w:spacing w:after="0" w:line="291" w:lineRule="auto"/>
        <w:rPr>
          <w:sz w:val="20"/>
          <w:szCs w:val="20"/>
          <w:color w:val="auto"/>
        </w:rPr>
      </w:pPr>
      <w:r>
        <w:rPr>
          <w:rFonts w:ascii="Arial" w:cs="Arial" w:eastAsia="Arial" w:hAnsi="Arial"/>
          <w:sz w:val="16"/>
          <w:szCs w:val="16"/>
          <w:color w:val="auto"/>
        </w:rPr>
        <w:t>As of June 30, 2015, our total debt outstanding was $436.1 million. Of this amount, $342.9 million, 79% of our total debt obligations, relates to our Convertible Notes having a fixed coupon rate. Our $402.5 million principal amount of Convertible Notes, issued in October 2014, accrue cash interest of</w:t>
      </w:r>
    </w:p>
    <w:p>
      <w:pPr>
        <w:spacing w:after="0" w:line="252" w:lineRule="auto"/>
        <w:rPr>
          <w:sz w:val="20"/>
          <w:szCs w:val="20"/>
          <w:color w:val="auto"/>
        </w:rPr>
      </w:pPr>
      <w:r>
        <w:rPr>
          <w:rFonts w:ascii="Arial" w:cs="Arial" w:eastAsia="Arial" w:hAnsi="Arial"/>
          <w:sz w:val="18"/>
          <w:szCs w:val="18"/>
          <w:color w:val="auto"/>
        </w:rPr>
        <w:t>1.5% of the principal amount per annum. Based on quoted market prices, as of June 30, 2015, the fair value of our fixed rate Convertible Notes was $448.5 million, compared to a carrying value of $342.9 million. Interest expense for these notes, including accretion and amortization of deferred debt issuance costs, has a weighted average interest rate of 4.7% annually. Additionally, $87.2 million, or 20% of our total debt obligations, relates to debt that accrues interest at variable rates. If we were to maintain these borrowings for one year and maximize the potential borrowings available under the revolving credit facility for one year, a 1% (100 basis points) increase in the applicable interest rate would result in additional annual interest expense to the Company of approximately $6.3 million.</w:t>
      </w:r>
    </w:p>
    <w:p>
      <w:pPr>
        <w:spacing w:after="0" w:line="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remaining $6.0 million, or 1% of our total debt obligations, relates to capitalized leases with fixed payment and interest terms that expire between 2015 and 2019.</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first half of 2015, approximately 70%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primarily the Australian dollar, Brazilian real, British pound, euro, Indian Rupee, Hungarian forint and Polish zloty. As of June 30, 2015, we estimate that a 10% fluctuation in these foreign currency exchange rates would have the combined annualized effect on reported net income and working capital of approximately $50 million to $55 million. This effect is estimated by applying a 10% adjustment factor to our non-U.S. dollar results from operations, intercompany loans that generate foreign currency exchange gains or losses and working capital balances that require translation from the respective functional currency to the U.S. dollar reporting currency.</w:t>
      </w:r>
    </w:p>
    <w:p>
      <w:pPr>
        <w:spacing w:after="0" w:line="8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$70 million to</w:t>
      </w:r>
    </w:p>
    <w:p>
      <w:pPr>
        <w:spacing w:after="0"/>
        <w:rPr>
          <w:sz w:val="20"/>
          <w:szCs w:val="20"/>
          <w:color w:val="auto"/>
        </w:rPr>
      </w:pPr>
      <w:r>
        <w:rPr>
          <w:rFonts w:ascii="Arial" w:cs="Arial" w:eastAsia="Arial" w:hAnsi="Arial"/>
          <w:sz w:val="16"/>
          <w:szCs w:val="16"/>
          <w:color w:val="auto"/>
        </w:rPr>
        <w:t>$75 million as a result of the change in value of these items during translation to the U.S. dollar. For the fluctuations described above, a strengthening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 produces a financial loss, while a weakening U.S. dollar produces a financial gain.</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8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customers at retail exchange rates. We enter into foreign currency forwards and cross-currency swaps, to minimize exposure related to fluctuations in foreign currency exchange rates. As of June 30, 2015, we had foreign currency derivative contracts outstanding with a notional value of $928 million, primarily in Australian dollars, British pounds, euros and Mexican pesos, that were not designated as hedges and mature within the next twelve months. See Note 8, Derivative Instruments and Hedging Activities to our unaudited consolidated financial statements for additional information.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June 30, 2015.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not been any changes in internal control over financial reporting during the three months ended June 30, 2015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13, Litigation and Contingencies, to the unaudited consolidated financial statements in this report is incorporated herein by reference.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Currently, there are no other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You should carefully consider the risks described in Part I, Item 1A. Risk Factors in our Annual Report on Form 10-K for the fiscal year ended December 31, 2014, as may be updated in our subsequent filings with the SEC, before making an investment decision. Our operations are subject to a number of risks and uncertainties, including the risks and uncertainties described in our Annual Report on Form 10-K, as may be updated by any subsequent Quarterly Reports on Form 10-Q, including this Form 10-Q. If any of the risks identified in our Annual Report on Form 10-K, as may be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 result of a number of factors, including the risks described in our Risk Factors and elsewhere in this Quarterly Report.</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There have been no material changes from the risk factors previously disclosed in the Company's Annual Report on Form 10-K for the year ended December 31, 2014, as filed with the SEC.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June 17, 2015, the Company completed the acquisition of all of the capital stock of IME (M) Sdn Bhd and certain affiliated companies ("IME") pursuant to a Share Purchase Agreement (the "Purchase Agreement") among the Company and the selling shareholders of IME (the "Sellers"). Under the terms of the Purchase Agreement, one of the Sellers received purchase consideration which included 49,941 shares of Euronet common stock with a fair value at date of acquisition of $3.0 million. The shares of Euronet common stock were not registered under the Securities Act of 1933, as amended ("Securities Act"), in reliance on the private offering exemption of Section 4(a)(2) of the Securities Act, and Rule 506 of Regulation D promulgated thereunder, and in addition with respect to the non-U.S. resident shareholder of IME pursuant to Regulation S promulgated under the Securities Act. Euronet issued the shares of its common stock in a private transaction to the shareholder of IME, who represented to Euronet that he is an accredited investor. In addition, the non-U.S. resident shareholder of IME represented to Euronet that he is located outside of the United States and is not a “U.S. Person.” The shareholder of IME receiving Euronet common stock has agreed to customary restrictions on resale under applicable securities laws and additional transfer restrictions in the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80"/>
          </w:cols>
          <w:pgMar w:left="240" w:top="125" w:right="3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6"/>
                <w:szCs w:val="16"/>
                <w:color w:val="auto"/>
              </w:rPr>
            </w:pPr>
          </w:p>
        </w:tc>
        <w:tc>
          <w:tcPr>
            <w:tcW w:w="936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47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102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Computation of Ratio of Earnings to Fixed Charges</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w:t>
            </w:r>
          </w:p>
        </w:tc>
      </w:tr>
      <w:tr>
        <w:trPr>
          <w:trHeight w:val="270"/>
        </w:trPr>
        <w:tc>
          <w:tcPr>
            <w:tcW w:w="104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w:t>
            </w:r>
          </w:p>
        </w:tc>
      </w:tr>
      <w:tr>
        <w:trPr>
          <w:trHeight w:val="256"/>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4"/>
              </w:rPr>
              <w:t>The following materials from Euronet Worldwide, Inc.’s Quarterly Report on Form 10-Q for the quarter ended June 30, 2015, formatted in</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2"/>
              </w:rPr>
              <w:t>XBRL (eXtensible Business Reporting Language): (i) Consolidated Balance Sheets at June 30, 2015 (unaudited) and December 31, 2014,</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0"/>
              </w:rPr>
              <w:t>(ii) Consolidated Statements of Income (unaudited) for the three and six months ended June 30, 2015 and 2014, (iii) Consolidated Statements</w:t>
            </w:r>
          </w:p>
        </w:tc>
      </w:tr>
    </w:tbl>
    <w:p>
      <w:pPr>
        <w:ind w:left="1180" w:right="20"/>
        <w:spacing w:after="0" w:line="290" w:lineRule="auto"/>
        <w:rPr>
          <w:sz w:val="20"/>
          <w:szCs w:val="20"/>
          <w:color w:val="auto"/>
        </w:rPr>
      </w:pPr>
      <w:r>
        <w:rPr>
          <w:rFonts w:ascii="Arial" w:cs="Arial" w:eastAsia="Arial" w:hAnsi="Arial"/>
          <w:sz w:val="16"/>
          <w:szCs w:val="16"/>
          <w:color w:val="auto"/>
        </w:rPr>
        <w:t>of Comprehensive Income (Loss) (unaudited) for the three and six months ended June 30, 2015 and 2014, (iv) Consolidated Statements of Cash Flows (unaudited) for the six months ended June 30, 2015 and 2014, and (v) Notes to the Unaudited Consolidated Financial Statements.</w:t>
      </w: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Filed herewith.</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July 31,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ind w:right="10"/>
              <w:spacing w:after="0"/>
              <w:rPr>
                <w:sz w:val="20"/>
                <w:szCs w:val="20"/>
                <w:color w:val="auto"/>
              </w:rPr>
            </w:pPr>
            <w:r>
              <w:rPr>
                <w:rFonts w:ascii="Arial" w:cs="Arial" w:eastAsia="Arial" w:hAnsi="Arial"/>
                <w:sz w:val="18"/>
                <w:szCs w:val="18"/>
                <w:color w:val="auto"/>
                <w:w w:val="96"/>
              </w:rPr>
              <w:t>/s/ MICHAEL J. BROWN</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6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6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66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60"/>
          </w:cols>
          <w:pgMar w:left="240" w:top="125" w:right="3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12.1</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EURONET WORLDWIDE,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52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89"/>
              </w:rPr>
              <w:t>2014</w:t>
            </w:r>
          </w:p>
        </w:tc>
      </w:tr>
      <w:tr>
        <w:trPr>
          <w:trHeight w:val="228"/>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Pretax income before adjustment for income from unconsolidated</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37"/>
        </w:trPr>
        <w:tc>
          <w:tcPr>
            <w:tcW w:w="5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29,226</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50,986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50,883</w:t>
            </w: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Add:</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Fixed charges</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15,142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8,053</w:t>
            </w:r>
          </w:p>
        </w:tc>
      </w:tr>
      <w:tr>
        <w:trPr>
          <w:trHeight w:val="297"/>
        </w:trPr>
        <w:tc>
          <w:tcPr>
            <w:tcW w:w="5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Adjusted pretax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44,749</w:t>
            </w:r>
          </w:p>
        </w:tc>
        <w:tc>
          <w:tcPr>
            <w:tcW w:w="10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33,556</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66,128</w:t>
            </w:r>
          </w:p>
        </w:tc>
        <w:tc>
          <w:tcPr>
            <w:tcW w:w="10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58,936</w:t>
            </w:r>
          </w:p>
        </w:tc>
      </w:tr>
      <w:tr>
        <w:trPr>
          <w:trHeight w:val="237"/>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r>
      <w:tr>
        <w:trPr>
          <w:trHeight w:val="243"/>
        </w:trPr>
        <w:tc>
          <w:tcPr>
            <w:tcW w:w="54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2,442</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11,792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4,430</w:t>
            </w:r>
          </w:p>
        </w:tc>
      </w:tr>
      <w:tr>
        <w:trPr>
          <w:trHeight w:val="27"/>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54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Estimate of interest within rental expense</w:t>
            </w: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3,623</w:t>
            </w:r>
          </w:p>
        </w:tc>
      </w:tr>
      <w:tr>
        <w:trPr>
          <w:trHeight w:val="297"/>
        </w:trPr>
        <w:tc>
          <w:tcPr>
            <w:tcW w:w="5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fixed charges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7,885</w:t>
            </w:r>
          </w:p>
        </w:tc>
        <w:tc>
          <w:tcPr>
            <w:tcW w:w="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4,330</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15,142</w:t>
            </w:r>
          </w:p>
        </w:tc>
        <w:tc>
          <w:tcPr>
            <w:tcW w:w="1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8,053</w:t>
            </w:r>
          </w:p>
        </w:tc>
      </w:tr>
      <w:tr>
        <w:trPr>
          <w:trHeight w:val="230"/>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Ratio of earnings to fixed charges</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5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ectPr>
          <w:pgSz w:w="11900" w:h="16838" w:orient="portrait"/>
          <w:cols w:equalWidth="0" w:num="1">
            <w:col w:w="10300"/>
          </w:cols>
          <w:pgMar w:left="1360" w:top="36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2015</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2015</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2015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July 31, 2015</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2015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July 31, 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2019-12-29T15:50:00Z</dcterms:created>
  <dcterms:modified xsi:type="dcterms:W3CDTF">2019-12-29T15:50:00Z</dcterms:modified>
</cp:coreProperties>
</file>