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line="239" w:lineRule="auto"/>
        <w:rPr>
          <w:sz w:val="20"/>
          <w:szCs w:val="20"/>
          <w:color w:val="auto"/>
        </w:rPr>
      </w:pPr>
      <w:r>
        <w:rPr>
          <w:rFonts w:ascii="Arial" w:cs="Arial" w:eastAsia="Arial" w:hAnsi="Arial"/>
          <w:sz w:val="22"/>
          <w:szCs w:val="22"/>
          <w:b w:val="1"/>
          <w:bCs w:val="1"/>
          <w:color w:val="auto"/>
        </w:rPr>
        <w:t>WASHINGTON, D.C. 20549</w:t>
      </w:r>
    </w:p>
    <w:p>
      <w:pPr>
        <w:ind w:left="4580"/>
        <w:spacing w:after="0"/>
        <w:rPr>
          <w:sz w:val="20"/>
          <w:szCs w:val="20"/>
          <w:color w:val="auto"/>
        </w:rPr>
      </w:pPr>
      <w:r>
        <w:rPr>
          <w:rFonts w:ascii="Arial" w:cs="Arial" w:eastAsia="Arial" w:hAnsi="Arial"/>
          <w:sz w:val="18"/>
          <w:szCs w:val="18"/>
          <w:color w:val="auto"/>
        </w:rPr>
        <w:t>_________________________</w:t>
      </w:r>
    </w:p>
    <w:p>
      <w:pPr>
        <w:spacing w:after="0" w:line="101"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FORM 10-K</w:t>
      </w:r>
    </w:p>
    <w:p>
      <w:pPr>
        <w:spacing w:after="0" w:line="2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259" w:lineRule="exact"/>
        <w:rPr>
          <w:sz w:val="24"/>
          <w:szCs w:val="24"/>
          <w:color w:val="auto"/>
        </w:rPr>
      </w:pPr>
    </w:p>
    <w:p>
      <w:pPr>
        <w:ind w:left="1120"/>
        <w:spacing w:after="0"/>
        <w:rPr>
          <w:sz w:val="20"/>
          <w:szCs w:val="20"/>
          <w:color w:val="auto"/>
        </w:rPr>
      </w:pPr>
      <w:r>
        <w:rPr>
          <w:rFonts w:ascii="Arial" w:cs="Arial" w:eastAsia="Arial" w:hAnsi="Arial"/>
          <w:sz w:val="14"/>
          <w:szCs w:val="14"/>
          <w:color w:val="auto"/>
        </w:rPr>
        <w:t>(Mark One)</w:t>
      </w:r>
    </w:p>
    <w:p>
      <w:pPr>
        <w:spacing w:after="0" w:line="42" w:lineRule="exact"/>
        <w:rPr>
          <w:sz w:val="24"/>
          <w:szCs w:val="24"/>
          <w:color w:val="auto"/>
        </w:rPr>
      </w:pPr>
    </w:p>
    <w:p>
      <w:pPr>
        <w:ind w:left="1480" w:right="1060" w:hanging="277"/>
        <w:spacing w:after="0" w:line="344" w:lineRule="auto"/>
        <w:tabs>
          <w:tab w:leader="none" w:pos="148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2013</w:t>
      </w:r>
    </w:p>
    <w:p>
      <w:pPr>
        <w:spacing w:after="0" w:line="136"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OR</w:t>
      </w:r>
    </w:p>
    <w:p>
      <w:pPr>
        <w:spacing w:after="0" w:line="228" w:lineRule="exact"/>
        <w:rPr>
          <w:sz w:val="24"/>
          <w:szCs w:val="24"/>
          <w:color w:val="auto"/>
        </w:rPr>
      </w:pPr>
    </w:p>
    <w:p>
      <w:pPr>
        <w:ind w:left="1480" w:hanging="277"/>
        <w:spacing w:after="0"/>
        <w:tabs>
          <w:tab w:leader="none" w:pos="1480" w:val="left"/>
        </w:tabs>
        <w:numPr>
          <w:ilvl w:val="0"/>
          <w:numId w:val="2"/>
        </w:numPr>
        <w:rPr>
          <w:rFonts w:ascii="MS PGothic" w:cs="MS PGothic" w:eastAsia="MS PGothic" w:hAnsi="MS PGothic"/>
          <w:sz w:val="32"/>
          <w:szCs w:val="32"/>
          <w:color w:val="auto"/>
          <w:vertAlign w:val="subscript"/>
        </w:rPr>
      </w:pPr>
      <w:r>
        <w:rPr>
          <w:rFonts w:ascii="Arial" w:cs="Arial" w:eastAsia="Arial" w:hAnsi="Arial"/>
          <w:sz w:val="18"/>
          <w:szCs w:val="18"/>
          <w:b w:val="1"/>
          <w:bCs w:val="1"/>
          <w:color w:val="auto"/>
        </w:rPr>
        <w:t>TRANSITION</w:t>
      </w:r>
      <w:r>
        <w:rPr>
          <w:rFonts w:ascii="Arial" w:cs="Arial" w:eastAsia="Arial" w:hAnsi="Arial"/>
          <w:sz w:val="36"/>
          <w:szCs w:val="36"/>
          <w:b w:val="1"/>
          <w:bCs w:val="1"/>
          <w:color w:val="auto"/>
          <w:vertAlign w:val="subscript"/>
        </w:rPr>
        <w:t>1934</w:t>
      </w:r>
      <w:r>
        <w:rPr>
          <w:rFonts w:ascii="Arial" w:cs="Arial" w:eastAsia="Arial" w:hAnsi="Arial"/>
          <w:sz w:val="18"/>
          <w:szCs w:val="18"/>
          <w:b w:val="1"/>
          <w:bCs w:val="1"/>
          <w:color w:val="auto"/>
        </w:rPr>
        <w:t xml:space="preserve"> REPORT PURSUANT TO SECTION 13 OR 15(d) OF THE SECURITIES EXCHANGE ACT OF</w:t>
      </w:r>
    </w:p>
    <w:p>
      <w:pPr>
        <w:spacing w:after="0" w:line="97"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2840" w:type="dxa"/>
            <w:vAlign w:val="bottom"/>
            <w:gridSpan w:val="3"/>
          </w:tcPr>
          <w:p>
            <w:pPr>
              <w:ind w:left="240"/>
              <w:spacing w:after="0"/>
              <w:rPr>
                <w:sz w:val="20"/>
                <w:szCs w:val="20"/>
                <w:color w:val="auto"/>
              </w:rPr>
            </w:pPr>
            <w:r>
              <w:rPr>
                <w:rFonts w:ascii="Arial" w:cs="Arial" w:eastAsia="Arial" w:hAnsi="Arial"/>
                <w:sz w:val="18"/>
                <w:szCs w:val="18"/>
                <w:b w:val="1"/>
                <w:bCs w:val="1"/>
                <w:color w:val="auto"/>
              </w:rPr>
              <w:t>For the transition period from</w:t>
            </w:r>
          </w:p>
        </w:tc>
        <w:tc>
          <w:tcPr>
            <w:tcW w:w="2800" w:type="dxa"/>
            <w:vAlign w:val="bottom"/>
          </w:tcPr>
          <w:p>
            <w:pPr>
              <w:ind w:left="500"/>
              <w:spacing w:after="0"/>
              <w:rPr>
                <w:sz w:val="20"/>
                <w:szCs w:val="20"/>
                <w:color w:val="auto"/>
              </w:rPr>
            </w:pPr>
            <w:r>
              <w:rPr>
                <w:rFonts w:ascii="Arial" w:cs="Arial" w:eastAsia="Arial" w:hAnsi="Arial"/>
                <w:sz w:val="18"/>
                <w:szCs w:val="18"/>
                <w:b w:val="1"/>
                <w:bCs w:val="1"/>
                <w:color w:val="auto"/>
              </w:rPr>
              <w:t>to</w:t>
            </w:r>
          </w:p>
        </w:tc>
        <w:tc>
          <w:tcPr>
            <w:tcW w:w="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jc w:val="center"/>
              <w:ind w:left="402"/>
              <w:spacing w:after="0"/>
              <w:rPr>
                <w:sz w:val="20"/>
                <w:szCs w:val="20"/>
                <w:color w:val="auto"/>
              </w:rPr>
            </w:pPr>
            <w:r>
              <w:rPr>
                <w:rFonts w:ascii="Arial" w:cs="Arial" w:eastAsia="Arial" w:hAnsi="Arial"/>
                <w:sz w:val="14"/>
                <w:szCs w:val="14"/>
                <w:b w:val="1"/>
                <w:bCs w:val="1"/>
                <w:color w:val="auto"/>
                <w:w w:val="93"/>
              </w:rPr>
              <w:t>Commission File Number 001-31648</w:t>
            </w:r>
          </w:p>
        </w:tc>
        <w:tc>
          <w:tcPr>
            <w:tcW w:w="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400" w:type="dxa"/>
            <w:vAlign w:val="bottom"/>
          </w:tcPr>
          <w:p>
            <w:pPr>
              <w:spacing w:after="0"/>
              <w:rPr>
                <w:sz w:val="24"/>
                <w:szCs w:val="24"/>
                <w:color w:val="auto"/>
              </w:rPr>
            </w:pPr>
          </w:p>
        </w:tc>
        <w:tc>
          <w:tcPr>
            <w:tcW w:w="7100" w:type="dxa"/>
            <w:vAlign w:val="bottom"/>
            <w:gridSpan w:val="5"/>
          </w:tcPr>
          <w:p>
            <w:pPr>
              <w:jc w:val="center"/>
              <w:ind w:right="868"/>
              <w:spacing w:after="0"/>
              <w:rPr>
                <w:sz w:val="20"/>
                <w:szCs w:val="20"/>
                <w:color w:val="auto"/>
              </w:rPr>
            </w:pPr>
            <w:r>
              <w:rPr>
                <w:rFonts w:ascii="Arial" w:cs="Arial" w:eastAsia="Arial" w:hAnsi="Arial"/>
                <w:sz w:val="29"/>
                <w:szCs w:val="29"/>
                <w:b w:val="1"/>
                <w:bCs w:val="1"/>
                <w:color w:val="auto"/>
              </w:rPr>
              <w:t>EURONET WORLDWIDE, INC.</w:t>
            </w:r>
          </w:p>
        </w:tc>
        <w:tc>
          <w:tcPr>
            <w:tcW w:w="0" w:type="dxa"/>
            <w:vAlign w:val="bottom"/>
          </w:tcPr>
          <w:p>
            <w:pPr>
              <w:spacing w:after="0"/>
              <w:rPr>
                <w:sz w:val="1"/>
                <w:szCs w:val="1"/>
                <w:color w:val="auto"/>
              </w:rPr>
            </w:pPr>
          </w:p>
        </w:tc>
      </w:tr>
      <w:tr>
        <w:trPr>
          <w:trHeight w:val="170"/>
        </w:trPr>
        <w:tc>
          <w:tcPr>
            <w:tcW w:w="1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60" w:type="dxa"/>
            <w:vAlign w:val="bottom"/>
            <w:gridSpan w:val="3"/>
          </w:tcPr>
          <w:p>
            <w:pPr>
              <w:jc w:val="center"/>
              <w:ind w:right="232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tcPr>
          <w:p>
            <w:pPr>
              <w:jc w:val="right"/>
              <w:ind w:right="2"/>
              <w:spacing w:after="0"/>
              <w:rPr>
                <w:sz w:val="20"/>
                <w:szCs w:val="20"/>
                <w:color w:val="auto"/>
              </w:rPr>
            </w:pPr>
            <w:r>
              <w:rPr>
                <w:rFonts w:ascii="Arial" w:cs="Arial" w:eastAsia="Arial" w:hAnsi="Arial"/>
                <w:sz w:val="18"/>
                <w:szCs w:val="18"/>
                <w:color w:val="auto"/>
              </w:rPr>
              <w:t>________________________</w:t>
            </w:r>
          </w:p>
        </w:tc>
        <w:tc>
          <w:tcPr>
            <w:tcW w:w="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4"/>
        </w:trPr>
        <w:tc>
          <w:tcPr>
            <w:tcW w:w="1400" w:type="dxa"/>
            <w:vAlign w:val="bottom"/>
          </w:tcPr>
          <w:p>
            <w:pPr>
              <w:spacing w:after="0"/>
              <w:rPr>
                <w:sz w:val="24"/>
                <w:szCs w:val="24"/>
                <w:color w:val="auto"/>
              </w:rPr>
            </w:pPr>
          </w:p>
        </w:tc>
        <w:tc>
          <w:tcPr>
            <w:tcW w:w="1440" w:type="dxa"/>
            <w:vAlign w:val="bottom"/>
            <w:gridSpan w:val="2"/>
          </w:tcPr>
          <w:p>
            <w:pPr>
              <w:jc w:val="center"/>
              <w:ind w:right="448"/>
              <w:spacing w:after="0"/>
              <w:rPr>
                <w:sz w:val="20"/>
                <w:szCs w:val="20"/>
                <w:color w:val="auto"/>
              </w:rPr>
            </w:pPr>
            <w:r>
              <w:rPr>
                <w:rFonts w:ascii="Arial" w:cs="Arial" w:eastAsia="Arial" w:hAnsi="Arial"/>
                <w:sz w:val="14"/>
                <w:szCs w:val="14"/>
                <w:b w:val="1"/>
                <w:bCs w:val="1"/>
                <w:color w:val="auto"/>
                <w:w w:val="98"/>
              </w:rPr>
              <w:t>DELAWARE</w:t>
            </w:r>
          </w:p>
        </w:tc>
        <w:tc>
          <w:tcPr>
            <w:tcW w:w="2800" w:type="dxa"/>
            <w:vAlign w:val="bottom"/>
          </w:tcPr>
          <w:p>
            <w:pPr>
              <w:spacing w:after="0"/>
              <w:rPr>
                <w:sz w:val="24"/>
                <w:szCs w:val="24"/>
                <w:color w:val="auto"/>
              </w:rPr>
            </w:pPr>
          </w:p>
        </w:tc>
        <w:tc>
          <w:tcPr>
            <w:tcW w:w="2860" w:type="dxa"/>
            <w:vAlign w:val="bottom"/>
            <w:gridSpan w:val="2"/>
          </w:tcPr>
          <w:p>
            <w:pPr>
              <w:jc w:val="right"/>
              <w:ind w:right="988"/>
              <w:spacing w:after="0"/>
              <w:rPr>
                <w:sz w:val="20"/>
                <w:szCs w:val="20"/>
                <w:color w:val="auto"/>
              </w:rPr>
            </w:pPr>
            <w:r>
              <w:rPr>
                <w:rFonts w:ascii="Arial" w:cs="Arial" w:eastAsia="Arial" w:hAnsi="Arial"/>
                <w:sz w:val="14"/>
                <w:szCs w:val="14"/>
                <w:b w:val="1"/>
                <w:bCs w:val="1"/>
                <w:color w:val="auto"/>
              </w:rPr>
              <w:t>74-2806888</w:t>
            </w:r>
          </w:p>
        </w:tc>
        <w:tc>
          <w:tcPr>
            <w:tcW w:w="0" w:type="dxa"/>
            <w:vAlign w:val="bottom"/>
          </w:tcPr>
          <w:p>
            <w:pPr>
              <w:spacing w:after="0"/>
              <w:rPr>
                <w:sz w:val="1"/>
                <w:szCs w:val="1"/>
                <w:color w:val="auto"/>
              </w:rPr>
            </w:pPr>
          </w:p>
        </w:tc>
      </w:tr>
      <w:tr>
        <w:trPr>
          <w:trHeight w:val="203"/>
        </w:trPr>
        <w:tc>
          <w:tcPr>
            <w:tcW w:w="5640" w:type="dxa"/>
            <w:vAlign w:val="bottom"/>
            <w:gridSpan w:val="4"/>
          </w:tcPr>
          <w:p>
            <w:pPr>
              <w:jc w:val="center"/>
              <w:ind w:right="1842"/>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4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516"/>
        </w:trPr>
        <w:tc>
          <w:tcPr>
            <w:tcW w:w="2840" w:type="dxa"/>
            <w:vAlign w:val="bottom"/>
            <w:gridSpan w:val="3"/>
          </w:tcPr>
          <w:p>
            <w:pPr>
              <w:jc w:val="center"/>
              <w:ind w:left="805"/>
              <w:spacing w:after="0"/>
              <w:rPr>
                <w:sz w:val="20"/>
                <w:szCs w:val="20"/>
                <w:color w:val="auto"/>
              </w:rPr>
            </w:pPr>
            <w:r>
              <w:rPr>
                <w:rFonts w:ascii="Arial" w:cs="Arial" w:eastAsia="Arial" w:hAnsi="Arial"/>
                <w:sz w:val="14"/>
                <w:szCs w:val="14"/>
                <w:b w:val="1"/>
                <w:bCs w:val="1"/>
                <w:color w:val="auto"/>
              </w:rPr>
              <w:t>3500 COLLEGE BOULEVARD</w:t>
            </w:r>
          </w:p>
        </w:tc>
        <w:tc>
          <w:tcPr>
            <w:tcW w:w="2800" w:type="dxa"/>
            <w:vAlign w:val="bottom"/>
          </w:tcPr>
          <w:p>
            <w:pPr>
              <w:spacing w:after="0"/>
              <w:rPr>
                <w:sz w:val="24"/>
                <w:szCs w:val="24"/>
                <w:color w:val="auto"/>
              </w:rPr>
            </w:pPr>
          </w:p>
        </w:tc>
        <w:tc>
          <w:tcPr>
            <w:tcW w:w="2860" w:type="dxa"/>
            <w:vAlign w:val="bottom"/>
            <w:gridSpan w:val="2"/>
            <w:vMerge w:val="restart"/>
          </w:tcPr>
          <w:p>
            <w:pPr>
              <w:jc w:val="right"/>
              <w:ind w:right="1168"/>
              <w:spacing w:after="0"/>
              <w:rPr>
                <w:sz w:val="20"/>
                <w:szCs w:val="20"/>
                <w:color w:val="auto"/>
              </w:rPr>
            </w:pPr>
            <w:r>
              <w:rPr>
                <w:rFonts w:ascii="Arial" w:cs="Arial" w:eastAsia="Arial" w:hAnsi="Arial"/>
                <w:sz w:val="14"/>
                <w:szCs w:val="14"/>
                <w:b w:val="1"/>
                <w:bCs w:val="1"/>
                <w:color w:val="auto"/>
              </w:rPr>
              <w:t>66211</w:t>
            </w:r>
          </w:p>
        </w:tc>
        <w:tc>
          <w:tcPr>
            <w:tcW w:w="0" w:type="dxa"/>
            <w:vAlign w:val="bottom"/>
          </w:tcPr>
          <w:p>
            <w:pPr>
              <w:spacing w:after="0"/>
              <w:rPr>
                <w:sz w:val="1"/>
                <w:szCs w:val="1"/>
                <w:color w:val="auto"/>
              </w:rPr>
            </w:pPr>
          </w:p>
        </w:tc>
      </w:tr>
      <w:tr>
        <w:trPr>
          <w:trHeight w:val="186"/>
        </w:trPr>
        <w:tc>
          <w:tcPr>
            <w:tcW w:w="2840" w:type="dxa"/>
            <w:vAlign w:val="bottom"/>
            <w:gridSpan w:val="3"/>
          </w:tcPr>
          <w:p>
            <w:pPr>
              <w:jc w:val="center"/>
              <w:ind w:left="805"/>
              <w:spacing w:after="0"/>
              <w:rPr>
                <w:sz w:val="20"/>
                <w:szCs w:val="20"/>
                <w:color w:val="auto"/>
              </w:rPr>
            </w:pPr>
            <w:r>
              <w:rPr>
                <w:rFonts w:ascii="Arial" w:cs="Arial" w:eastAsia="Arial" w:hAnsi="Arial"/>
                <w:sz w:val="14"/>
                <w:szCs w:val="14"/>
                <w:b w:val="1"/>
                <w:bCs w:val="1"/>
                <w:color w:val="auto"/>
                <w:w w:val="99"/>
              </w:rPr>
              <w:t>LEAWOOD, KANSAS</w:t>
            </w:r>
          </w:p>
        </w:tc>
        <w:tc>
          <w:tcPr>
            <w:tcW w:w="2800" w:type="dxa"/>
            <w:vAlign w:val="bottom"/>
          </w:tcPr>
          <w:p>
            <w:pPr>
              <w:spacing w:after="0"/>
              <w:rPr>
                <w:sz w:val="16"/>
                <w:szCs w:val="16"/>
                <w:color w:val="auto"/>
              </w:rPr>
            </w:pPr>
          </w:p>
        </w:tc>
        <w:tc>
          <w:tcPr>
            <w:tcW w:w="2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40" w:type="dxa"/>
            <w:vAlign w:val="bottom"/>
            <w:gridSpan w:val="4"/>
          </w:tcPr>
          <w:p>
            <w:pPr>
              <w:jc w:val="center"/>
              <w:ind w:right="182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67"/>
        </w:trPr>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jc w:val="right"/>
              <w:ind w:right="642"/>
              <w:spacing w:after="0"/>
              <w:rPr>
                <w:sz w:val="20"/>
                <w:szCs w:val="20"/>
                <w:color w:val="auto"/>
              </w:rPr>
            </w:pPr>
            <w:r>
              <w:rPr>
                <w:rFonts w:ascii="Arial" w:cs="Arial" w:eastAsia="Arial" w:hAnsi="Arial"/>
                <w:sz w:val="14"/>
                <w:szCs w:val="14"/>
                <w:b w:val="1"/>
                <w:bCs w:val="1"/>
                <w:color w:val="auto"/>
              </w:rPr>
              <w:t>(913) 327-4200</w:t>
            </w:r>
          </w:p>
        </w:tc>
        <w:tc>
          <w:tcPr>
            <w:tcW w:w="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60" w:type="dxa"/>
            <w:vAlign w:val="bottom"/>
            <w:gridSpan w:val="3"/>
          </w:tcPr>
          <w:p>
            <w:pPr>
              <w:jc w:val="center"/>
              <w:ind w:right="230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378"/>
        </w:trPr>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940" w:type="dxa"/>
            <w:vAlign w:val="bottom"/>
            <w:gridSpan w:val="4"/>
          </w:tcPr>
          <w:p>
            <w:pPr>
              <w:ind w:left="28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512"/>
        </w:trPr>
        <w:tc>
          <w:tcPr>
            <w:tcW w:w="14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b w:val="1"/>
                <w:bCs w:val="1"/>
                <w:color w:val="auto"/>
                <w:w w:val="91"/>
              </w:rPr>
              <w:t>Title of Each Class</w:t>
            </w: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840" w:type="dxa"/>
            <w:vAlign w:val="bottom"/>
            <w:gridSpan w:val="3"/>
          </w:tcPr>
          <w:p>
            <w:pPr>
              <w:jc w:val="center"/>
              <w:ind w:left="805"/>
              <w:spacing w:after="0"/>
              <w:rPr>
                <w:sz w:val="20"/>
                <w:szCs w:val="20"/>
                <w:color w:val="auto"/>
              </w:rPr>
            </w:pPr>
            <w:r>
              <w:rPr>
                <w:rFonts w:ascii="Arial" w:cs="Arial" w:eastAsia="Arial" w:hAnsi="Arial"/>
                <w:sz w:val="14"/>
                <w:szCs w:val="14"/>
                <w:b w:val="1"/>
                <w:bCs w:val="1"/>
                <w:color w:val="auto"/>
                <w:w w:val="92"/>
              </w:rPr>
              <w:t>Common Stock, $0.02 par value</w:t>
            </w:r>
          </w:p>
        </w:tc>
        <w:tc>
          <w:tcPr>
            <w:tcW w:w="2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6"/>
              </w:rPr>
              <w:t>Nasdaq Stock Market, LLC</w:t>
            </w:r>
          </w:p>
        </w:tc>
        <w:tc>
          <w:tcPr>
            <w:tcW w:w="0" w:type="dxa"/>
            <w:vAlign w:val="bottom"/>
          </w:tcPr>
          <w:p>
            <w:pPr>
              <w:spacing w:after="0"/>
              <w:rPr>
                <w:sz w:val="1"/>
                <w:szCs w:val="1"/>
                <w:color w:val="auto"/>
              </w:rPr>
            </w:pPr>
          </w:p>
        </w:tc>
      </w:tr>
      <w:tr>
        <w:trPr>
          <w:trHeight w:val="203"/>
        </w:trPr>
        <w:tc>
          <w:tcPr>
            <w:tcW w:w="5640" w:type="dxa"/>
            <w:vAlign w:val="bottom"/>
            <w:gridSpan w:val="4"/>
          </w:tcPr>
          <w:p>
            <w:pPr>
              <w:jc w:val="center"/>
              <w:ind w:right="1842"/>
              <w:spacing w:after="0"/>
              <w:rPr>
                <w:sz w:val="20"/>
                <w:szCs w:val="20"/>
                <w:color w:val="auto"/>
              </w:rPr>
            </w:pPr>
            <w:r>
              <w:rPr>
                <w:rFonts w:ascii="Arial" w:cs="Arial" w:eastAsia="Arial" w:hAnsi="Arial"/>
                <w:sz w:val="14"/>
                <w:szCs w:val="14"/>
                <w:b w:val="1"/>
                <w:bCs w:val="1"/>
                <w:color w:val="auto"/>
                <w:w w:val="91"/>
              </w:rPr>
              <w:t>Preferred Stock Purchase Rights</w:t>
            </w:r>
          </w:p>
        </w:tc>
        <w:tc>
          <w:tcPr>
            <w:tcW w:w="4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6"/>
              </w:rPr>
              <w:t>Nasdaq Stock Market, LLC</w:t>
            </w:r>
          </w:p>
        </w:tc>
        <w:tc>
          <w:tcPr>
            <w:tcW w:w="0" w:type="dxa"/>
            <w:vAlign w:val="bottom"/>
          </w:tcPr>
          <w:p>
            <w:pPr>
              <w:spacing w:after="0"/>
              <w:rPr>
                <w:sz w:val="1"/>
                <w:szCs w:val="1"/>
                <w:color w:val="auto"/>
              </w:rPr>
            </w:pPr>
          </w:p>
        </w:tc>
      </w:tr>
    </w:tbl>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5"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7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ind w:right="8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340"/>
          </w:cols>
          <w:pgMar w:left="240" w:top="477" w:right="319" w:bottom="1440" w:gutter="0" w:footer="0" w:header="0"/>
        </w:sectPr>
      </w:pPr>
    </w:p>
    <w:bookmarkStart w:id="1" w:name="page2"/>
    <w:bookmarkEnd w:id="1"/>
    <w:p>
      <w:pPr>
        <w:spacing w:after="0" w:line="287"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w:t>
      </w:r>
    </w:p>
    <w:p>
      <w:pPr>
        <w:spacing w:after="0" w:line="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7"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5" w:lineRule="exact"/>
        <w:rPr>
          <w:sz w:val="20"/>
          <w:szCs w:val="20"/>
          <w:color w:val="auto"/>
        </w:rPr>
      </w:pPr>
    </w:p>
    <w:p>
      <w:pPr>
        <w:ind w:left="540"/>
        <w:spacing w:after="0" w:line="184" w:lineRule="exact"/>
        <w:tabs>
          <w:tab w:leader="none" w:pos="3520" w:val="left"/>
          <w:tab w:leader="none" w:pos="6020" w:val="left"/>
          <w:tab w:leader="none" w:pos="890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(Do not check if a smaller reporting company)</w:t>
      </w:r>
    </w:p>
    <w:p>
      <w:pPr>
        <w:spacing w:after="0" w:line="2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0"/>
          <w:szCs w:val="20"/>
          <w:color w:val="auto"/>
        </w:rPr>
      </w:pPr>
    </w:p>
    <w:p>
      <w:pPr>
        <w:ind w:right="460"/>
        <w:spacing w:after="0" w:line="275" w:lineRule="auto"/>
        <w:rPr>
          <w:sz w:val="20"/>
          <w:szCs w:val="20"/>
          <w:color w:val="auto"/>
        </w:rPr>
      </w:pPr>
      <w:r>
        <w:rPr>
          <w:rFonts w:ascii="Arial" w:cs="Arial" w:eastAsia="Arial" w:hAnsi="Arial"/>
          <w:sz w:val="16"/>
          <w:szCs w:val="16"/>
          <w:color w:val="auto"/>
        </w:rPr>
        <w:t>As of June 28, 2013, the aggregate market value of the voting and non-voting common equity held by non-affiliates of the registrant was approximately $1.5 billion. The aggregate market value was determined based on the closing price of the Common Stock on June 28, 2013.</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26, 2014, the registrant had 50,697,277 shares of Common Stock outstanding.</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25"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Portions of the registrant's Proxy Statement for its 2014 Annual Meeting of Stockholders, which will be filed with the Securities and Exchange Commission no later than 120 days after December 31, 2013,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287655</wp:posOffset>
            </wp:positionV>
            <wp:extent cx="72034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201295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520" w:type="dxa"/>
            <w:vAlign w:val="bottom"/>
            <w:gridSpan w:val="7"/>
          </w:tcPr>
          <w:p>
            <w:pPr>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40" w:type="dxa"/>
            <w:vAlign w:val="bottom"/>
          </w:tcPr>
          <w:p>
            <w:pPr>
              <w:spacing w:after="0"/>
              <w:rPr>
                <w:sz w:val="24"/>
                <w:szCs w:val="24"/>
                <w:color w:val="auto"/>
              </w:rPr>
            </w:pPr>
          </w:p>
        </w:tc>
        <w:tc>
          <w:tcPr>
            <w:tcW w:w="9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0"/>
              </w:rPr>
              <w:t>Item Number</w:t>
            </w:r>
          </w:p>
        </w:tc>
        <w:tc>
          <w:tcPr>
            <w:tcW w:w="520" w:type="dxa"/>
            <w:vAlign w:val="bottom"/>
          </w:tcPr>
          <w:p>
            <w:pPr>
              <w:spacing w:after="0"/>
              <w:rPr>
                <w:sz w:val="24"/>
                <w:szCs w:val="24"/>
                <w:color w:val="auto"/>
              </w:rPr>
            </w:pPr>
          </w:p>
        </w:tc>
        <w:tc>
          <w:tcPr>
            <w:tcW w:w="12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2"/>
              </w:rPr>
              <w:t>Item Description</w:t>
            </w:r>
          </w:p>
        </w:tc>
        <w:tc>
          <w:tcPr>
            <w:tcW w:w="7580" w:type="dxa"/>
            <w:vAlign w:val="bottom"/>
            <w:gridSpan w:val="15"/>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0"/>
              </w:rPr>
              <w:t>Page</w:t>
            </w:r>
          </w:p>
        </w:tc>
      </w:tr>
      <w:tr>
        <w:trPr>
          <w:trHeight w:val="480"/>
        </w:trPr>
        <w:tc>
          <w:tcPr>
            <w:tcW w:w="40" w:type="dxa"/>
            <w:vAlign w:val="bottom"/>
          </w:tcPr>
          <w:p>
            <w:pPr>
              <w:spacing w:after="0"/>
              <w:rPr>
                <w:sz w:val="24"/>
                <w:szCs w:val="24"/>
                <w:color w:val="auto"/>
              </w:rPr>
            </w:pPr>
          </w:p>
        </w:tc>
        <w:tc>
          <w:tcPr>
            <w:tcW w:w="400" w:type="dxa"/>
            <w:vAlign w:val="bottom"/>
            <w:tcBorders>
              <w:bottom w:val="single" w:sz="8" w:color="0000EE"/>
            </w:tcBorders>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Part I</w:t>
              </w:r>
            </w:hyperlink>
          </w:p>
        </w:tc>
        <w:tc>
          <w:tcPr>
            <w:tcW w:w="108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w:t>
            </w:r>
          </w:p>
        </w:tc>
        <w:tc>
          <w:tcPr>
            <w:tcW w:w="88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080" w:type="dxa"/>
            <w:vAlign w:val="bottom"/>
            <w:gridSpan w:val="5"/>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IA.</w:t>
            </w:r>
          </w:p>
        </w:tc>
        <w:tc>
          <w:tcPr>
            <w:tcW w:w="880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1080" w:type="dxa"/>
            <w:vAlign w:val="bottom"/>
            <w:gridSpan w:val="5"/>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1B.</w:t>
            </w:r>
          </w:p>
        </w:tc>
        <w:tc>
          <w:tcPr>
            <w:tcW w:w="880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1080" w:type="dxa"/>
            <w:vAlign w:val="bottom"/>
            <w:gridSpan w:val="5"/>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Properties</w:t>
              </w:r>
            </w:hyperlink>
          </w:p>
        </w:tc>
        <w:tc>
          <w:tcPr>
            <w:tcW w:w="1300" w:type="dxa"/>
            <w:vAlign w:val="bottom"/>
            <w:gridSpan w:val="6"/>
          </w:tcPr>
          <w:p>
            <w:pPr>
              <w:spacing w:after="0"/>
              <w:rPr>
                <w:sz w:val="21"/>
                <w:szCs w:val="21"/>
                <w:color w:val="auto"/>
              </w:rPr>
            </w:pPr>
          </w:p>
        </w:tc>
        <w:tc>
          <w:tcPr>
            <w:tcW w:w="6760" w:type="dxa"/>
            <w:vAlign w:val="bottom"/>
            <w:gridSpan w:val="11"/>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3.</w:t>
            </w:r>
          </w:p>
        </w:tc>
        <w:tc>
          <w:tcPr>
            <w:tcW w:w="1340" w:type="dxa"/>
            <w:vAlign w:val="bottom"/>
            <w:gridSpan w:val="5"/>
          </w:tcPr>
          <w:p>
            <w:pPr>
              <w:spacing w:after="0"/>
              <w:rPr>
                <w:rFonts w:ascii="Arial" w:cs="Arial" w:eastAsia="Arial" w:hAnsi="Arial"/>
                <w:sz w:val="18"/>
                <w:szCs w:val="18"/>
                <w:color w:val="0000FF"/>
                <w:w w:val="87"/>
              </w:rPr>
            </w:pPr>
            <w:r>
              <w:rPr>
                <w:rFonts w:ascii="Arial" w:cs="Arial" w:eastAsia="Arial" w:hAnsi="Arial"/>
                <w:sz w:val="18"/>
                <w:szCs w:val="18"/>
                <w:color w:val="0000FF"/>
                <w:w w:val="87"/>
              </w:rPr>
              <w:t xml:space="preserve">Legal </w:t>
            </w:r>
            <w:hyperlink w:anchor="page35">
              <w:r>
                <w:rPr>
                  <w:rFonts w:ascii="Arial" w:cs="Arial" w:eastAsia="Arial" w:hAnsi="Arial"/>
                  <w:sz w:val="18"/>
                  <w:szCs w:val="18"/>
                  <w:color w:val="0000FF"/>
                  <w:w w:val="87"/>
                </w:rPr>
                <w:t>Proceedings</w:t>
              </w:r>
            </w:hyperlink>
          </w:p>
        </w:tc>
        <w:tc>
          <w:tcPr>
            <w:tcW w:w="7460" w:type="dxa"/>
            <w:vAlign w:val="bottom"/>
            <w:gridSpan w:val="14"/>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4</w:t>
            </w:r>
          </w:p>
        </w:tc>
        <w:tc>
          <w:tcPr>
            <w:tcW w:w="1720" w:type="dxa"/>
            <w:vAlign w:val="bottom"/>
            <w:gridSpan w:val="6"/>
          </w:tcPr>
          <w:p>
            <w:pPr>
              <w:spacing w:after="0"/>
              <w:rPr>
                <w:rFonts w:ascii="Arial" w:cs="Arial" w:eastAsia="Arial" w:hAnsi="Arial"/>
                <w:sz w:val="18"/>
                <w:szCs w:val="18"/>
                <w:color w:val="0000EE"/>
                <w:w w:val="86"/>
              </w:rPr>
            </w:pPr>
            <w:hyperlink w:anchor="page35">
              <w:r>
                <w:rPr>
                  <w:rFonts w:ascii="Arial" w:cs="Arial" w:eastAsia="Arial" w:hAnsi="Arial"/>
                  <w:sz w:val="18"/>
                  <w:szCs w:val="18"/>
                  <w:color w:val="0000EE"/>
                  <w:w w:val="86"/>
                </w:rPr>
                <w:t>Mine Safety Disclosures</w:t>
              </w:r>
            </w:hyperlink>
          </w:p>
        </w:tc>
        <w:tc>
          <w:tcPr>
            <w:tcW w:w="7080" w:type="dxa"/>
            <w:vAlign w:val="bottom"/>
            <w:gridSpan w:val="13"/>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32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38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60"/>
        </w:trPr>
        <w:tc>
          <w:tcPr>
            <w:tcW w:w="40" w:type="dxa"/>
            <w:vAlign w:val="bottom"/>
          </w:tcPr>
          <w:p>
            <w:pPr>
              <w:spacing w:after="0"/>
              <w:rPr>
                <w:sz w:val="24"/>
                <w:szCs w:val="24"/>
                <w:color w:val="auto"/>
              </w:rPr>
            </w:pPr>
          </w:p>
        </w:tc>
        <w:tc>
          <w:tcPr>
            <w:tcW w:w="1480" w:type="dxa"/>
            <w:vAlign w:val="bottom"/>
            <w:gridSpan w:val="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Part II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36</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18"/>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Market for Registrant’s Common Equity, Related Stockholder Matters and Issuer Purchases of Equity Securities</w:t>
              </w:r>
            </w:hyperlink>
          </w:p>
        </w:tc>
        <w:tc>
          <w:tcPr>
            <w:tcW w:w="720" w:type="dxa"/>
            <w:vAlign w:val="bottom"/>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6.</w:t>
            </w:r>
          </w:p>
        </w:tc>
        <w:tc>
          <w:tcPr>
            <w:tcW w:w="1720" w:type="dxa"/>
            <w:vAlign w:val="bottom"/>
            <w:gridSpan w:val="6"/>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Selected Financial Data</w:t>
              </w:r>
            </w:hyperlink>
          </w:p>
        </w:tc>
        <w:tc>
          <w:tcPr>
            <w:tcW w:w="6360" w:type="dxa"/>
            <w:vAlign w:val="bottom"/>
            <w:gridSpan w:val="12"/>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39</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5"/>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Management’s Discussion and Analysis of Financial Condition and Results of Operations</w:t>
              </w:r>
            </w:hyperlink>
          </w:p>
        </w:tc>
        <w:tc>
          <w:tcPr>
            <w:tcW w:w="2340" w:type="dxa"/>
            <w:vAlign w:val="bottom"/>
            <w:gridSpan w:val="4"/>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40</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3"/>
          </w:tcPr>
          <w:p>
            <w:pPr>
              <w:spacing w:after="0"/>
              <w:rPr>
                <w:rFonts w:ascii="Arial" w:cs="Arial" w:eastAsia="Arial" w:hAnsi="Arial"/>
                <w:sz w:val="18"/>
                <w:szCs w:val="18"/>
                <w:color w:val="0000EE"/>
                <w:w w:val="92"/>
              </w:rPr>
            </w:pPr>
            <w:hyperlink w:anchor="page66">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1"/>
                <w:szCs w:val="21"/>
                <w:color w:val="auto"/>
              </w:rPr>
            </w:pPr>
          </w:p>
        </w:tc>
        <w:tc>
          <w:tcPr>
            <w:tcW w:w="2340" w:type="dxa"/>
            <w:vAlign w:val="bottom"/>
            <w:gridSpan w:val="4"/>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66">
              <w:r>
                <w:rPr>
                  <w:rFonts w:ascii="Arial" w:cs="Arial" w:eastAsia="Arial" w:hAnsi="Arial"/>
                  <w:sz w:val="18"/>
                  <w:szCs w:val="18"/>
                  <w:color w:val="0000FF"/>
                </w:rPr>
                <w:t>66</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Financial Statements and Supplementary Data</w:t>
              </w:r>
            </w:hyperlink>
          </w:p>
        </w:tc>
        <w:tc>
          <w:tcPr>
            <w:tcW w:w="4440" w:type="dxa"/>
            <w:vAlign w:val="bottom"/>
            <w:gridSpan w:val="6"/>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09">
              <w:r>
                <w:rPr>
                  <w:rFonts w:ascii="Arial" w:cs="Arial" w:eastAsia="Arial" w:hAnsi="Arial"/>
                  <w:sz w:val="18"/>
                  <w:szCs w:val="18"/>
                  <w:color w:val="0000EE"/>
                  <w:w w:val="90"/>
                </w:rPr>
                <w:t>Changes in and Disagreements With Accountants on Accounting and Financial Disclosure</w:t>
              </w:r>
            </w:hyperlink>
          </w:p>
        </w:tc>
        <w:tc>
          <w:tcPr>
            <w:tcW w:w="2280" w:type="dxa"/>
            <w:vAlign w:val="bottom"/>
            <w:gridSpan w:val="3"/>
          </w:tcPr>
          <w:p>
            <w:pPr>
              <w:spacing w:after="0"/>
              <w:rPr>
                <w:sz w:val="21"/>
                <w:szCs w:val="21"/>
                <w:color w:val="auto"/>
              </w:rPr>
            </w:pPr>
          </w:p>
        </w:tc>
        <w:tc>
          <w:tcPr>
            <w:tcW w:w="800" w:type="dxa"/>
            <w:vAlign w:val="bottom"/>
            <w:gridSpan w:val="2"/>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9">
              <w:r>
                <w:rPr>
                  <w:rFonts w:ascii="Arial" w:cs="Arial" w:eastAsia="Arial" w:hAnsi="Arial"/>
                  <w:sz w:val="18"/>
                  <w:szCs w:val="18"/>
                  <w:color w:val="0000FF"/>
                  <w:w w:val="86"/>
                </w:rPr>
                <w:t>107</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9A.</w:t>
            </w:r>
          </w:p>
        </w:tc>
        <w:tc>
          <w:tcPr>
            <w:tcW w:w="1720" w:type="dxa"/>
            <w:vAlign w:val="bottom"/>
            <w:tcBorders>
              <w:bottom w:val="single" w:sz="8" w:color="0000EE"/>
            </w:tcBorders>
            <w:gridSpan w:val="6"/>
          </w:tcPr>
          <w:p>
            <w:pPr>
              <w:spacing w:after="0"/>
              <w:rPr>
                <w:rFonts w:ascii="Arial" w:cs="Arial" w:eastAsia="Arial" w:hAnsi="Arial"/>
                <w:sz w:val="18"/>
                <w:szCs w:val="18"/>
                <w:color w:val="0000EE"/>
                <w:w w:val="84"/>
              </w:rPr>
            </w:pPr>
            <w:hyperlink w:anchor="page110">
              <w:r>
                <w:rPr>
                  <w:rFonts w:ascii="Arial" w:cs="Arial" w:eastAsia="Arial" w:hAnsi="Arial"/>
                  <w:sz w:val="18"/>
                  <w:szCs w:val="18"/>
                  <w:color w:val="0000EE"/>
                  <w:w w:val="84"/>
                </w:rPr>
                <w:t>Controls and Procedures</w:t>
              </w:r>
            </w:hyperlink>
          </w:p>
        </w:tc>
        <w:tc>
          <w:tcPr>
            <w:tcW w:w="7080" w:type="dxa"/>
            <w:vAlign w:val="bottom"/>
            <w:gridSpan w:val="13"/>
          </w:tcPr>
          <w:p>
            <w:pPr>
              <w:spacing w:after="0"/>
              <w:rPr>
                <w:sz w:val="21"/>
                <w:szCs w:val="21"/>
                <w:color w:val="auto"/>
              </w:rPr>
            </w:pPr>
          </w:p>
        </w:tc>
        <w:tc>
          <w:tcPr>
            <w:tcW w:w="800" w:type="dxa"/>
            <w:vAlign w:val="bottom"/>
            <w:gridSpan w:val="2"/>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10">
              <w:r>
                <w:rPr>
                  <w:rFonts w:ascii="Arial" w:cs="Arial" w:eastAsia="Arial" w:hAnsi="Arial"/>
                  <w:sz w:val="18"/>
                  <w:szCs w:val="18"/>
                  <w:color w:val="0000FF"/>
                  <w:w w:val="86"/>
                </w:rPr>
                <w:t>107</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9B.</w:t>
            </w:r>
          </w:p>
        </w:tc>
        <w:tc>
          <w:tcPr>
            <w:tcW w:w="13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10">
              <w:r>
                <w:rPr>
                  <w:rFonts w:ascii="Arial" w:cs="Arial" w:eastAsia="Arial" w:hAnsi="Arial"/>
                  <w:sz w:val="18"/>
                  <w:szCs w:val="18"/>
                  <w:color w:val="0000EE"/>
                  <w:w w:val="92"/>
                </w:rPr>
                <w:t>Other Information</w:t>
              </w:r>
            </w:hyperlink>
          </w:p>
        </w:tc>
        <w:tc>
          <w:tcPr>
            <w:tcW w:w="7460" w:type="dxa"/>
            <w:vAlign w:val="bottom"/>
            <w:gridSpan w:val="14"/>
          </w:tcPr>
          <w:p>
            <w:pPr>
              <w:spacing w:after="0"/>
              <w:rPr>
                <w:sz w:val="21"/>
                <w:szCs w:val="21"/>
                <w:color w:val="auto"/>
              </w:rPr>
            </w:pPr>
          </w:p>
        </w:tc>
        <w:tc>
          <w:tcPr>
            <w:tcW w:w="800" w:type="dxa"/>
            <w:vAlign w:val="bottom"/>
            <w:gridSpan w:val="2"/>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10">
              <w:r>
                <w:rPr>
                  <w:rFonts w:ascii="Arial" w:cs="Arial" w:eastAsia="Arial" w:hAnsi="Arial"/>
                  <w:sz w:val="18"/>
                  <w:szCs w:val="18"/>
                  <w:color w:val="0000FF"/>
                  <w:w w:val="86"/>
                </w:rPr>
                <w:t>108</w:t>
              </w:r>
            </w:hyperlink>
          </w:p>
        </w:tc>
      </w:tr>
      <w:tr>
        <w:trPr>
          <w:trHeight w:val="480"/>
        </w:trPr>
        <w:tc>
          <w:tcPr>
            <w:tcW w:w="40" w:type="dxa"/>
            <w:vAlign w:val="bottom"/>
          </w:tcPr>
          <w:p>
            <w:pPr>
              <w:spacing w:after="0"/>
              <w:rPr>
                <w:sz w:val="24"/>
                <w:szCs w:val="24"/>
                <w:color w:val="auto"/>
              </w:rPr>
            </w:pPr>
          </w:p>
        </w:tc>
        <w:tc>
          <w:tcPr>
            <w:tcW w:w="1480" w:type="dxa"/>
            <w:vAlign w:val="bottom"/>
            <w:gridSpan w:val="6"/>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Part III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111">
              <w:r>
                <w:rPr>
                  <w:rFonts w:ascii="Arial" w:cs="Arial" w:eastAsia="Arial" w:hAnsi="Arial"/>
                  <w:sz w:val="18"/>
                  <w:szCs w:val="18"/>
                  <w:color w:val="0000FF"/>
                </w:rPr>
                <w:t>108</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11">
              <w:r>
                <w:rPr>
                  <w:rFonts w:ascii="Arial" w:cs="Arial" w:eastAsia="Arial" w:hAnsi="Arial"/>
                  <w:sz w:val="18"/>
                  <w:szCs w:val="18"/>
                  <w:color w:val="0000EE"/>
                  <w:w w:val="90"/>
                </w:rPr>
                <w:t>Directors, Executive Officers and Corporate Governance</w:t>
              </w:r>
            </w:hyperlink>
          </w:p>
        </w:tc>
        <w:tc>
          <w:tcPr>
            <w:tcW w:w="4700" w:type="dxa"/>
            <w:vAlign w:val="bottom"/>
            <w:gridSpan w:val="7"/>
          </w:tcPr>
          <w:p>
            <w:pPr>
              <w:spacing w:after="0"/>
              <w:rPr>
                <w:sz w:val="21"/>
                <w:szCs w:val="21"/>
                <w:color w:val="auto"/>
              </w:rPr>
            </w:pPr>
          </w:p>
        </w:tc>
        <w:tc>
          <w:tcPr>
            <w:tcW w:w="800" w:type="dxa"/>
            <w:vAlign w:val="bottom"/>
            <w:gridSpan w:val="2"/>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11">
              <w:r>
                <w:rPr>
                  <w:rFonts w:ascii="Arial" w:cs="Arial" w:eastAsia="Arial" w:hAnsi="Arial"/>
                  <w:sz w:val="18"/>
                  <w:szCs w:val="18"/>
                  <w:color w:val="0000FF"/>
                  <w:w w:val="86"/>
                </w:rPr>
                <w:t>108</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11.</w:t>
            </w:r>
          </w:p>
        </w:tc>
        <w:tc>
          <w:tcPr>
            <w:tcW w:w="8800" w:type="dxa"/>
            <w:vAlign w:val="bottom"/>
            <w:gridSpan w:val="19"/>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Executive Compensation</w:t>
              </w:r>
            </w:hyperlink>
          </w:p>
        </w:tc>
        <w:tc>
          <w:tcPr>
            <w:tcW w:w="1080" w:type="dxa"/>
            <w:vAlign w:val="bottom"/>
            <w:gridSpan w:val="5"/>
          </w:tcPr>
          <w:p>
            <w:pPr>
              <w:jc w:val="right"/>
              <w:spacing w:after="0"/>
              <w:rPr>
                <w:rFonts w:ascii="Arial" w:cs="Arial" w:eastAsia="Arial" w:hAnsi="Arial"/>
                <w:sz w:val="18"/>
                <w:szCs w:val="18"/>
                <w:color w:val="0000FF"/>
              </w:rPr>
            </w:pPr>
            <w:hyperlink w:anchor="page111">
              <w:r>
                <w:rPr>
                  <w:rFonts w:ascii="Arial" w:cs="Arial" w:eastAsia="Arial" w:hAnsi="Arial"/>
                  <w:sz w:val="18"/>
                  <w:szCs w:val="18"/>
                  <w:color w:val="0000FF"/>
                </w:rPr>
                <w:t>108</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11">
              <w:r>
                <w:rPr>
                  <w:rFonts w:ascii="Arial" w:cs="Arial" w:eastAsia="Arial" w:hAnsi="Arial"/>
                  <w:sz w:val="18"/>
                  <w:szCs w:val="18"/>
                  <w:color w:val="0000EE"/>
                  <w:w w:val="90"/>
                </w:rPr>
                <w:t>Security Ownership of Certain Beneficial Owners and Management and Related Stockholder Matters</w:t>
              </w:r>
            </w:hyperlink>
          </w:p>
        </w:tc>
        <w:tc>
          <w:tcPr>
            <w:tcW w:w="1500" w:type="dxa"/>
            <w:vAlign w:val="bottom"/>
            <w:gridSpan w:val="2"/>
          </w:tcPr>
          <w:p>
            <w:pPr>
              <w:spacing w:after="0"/>
              <w:rPr>
                <w:sz w:val="21"/>
                <w:szCs w:val="21"/>
                <w:color w:val="auto"/>
              </w:rPr>
            </w:pPr>
          </w:p>
        </w:tc>
        <w:tc>
          <w:tcPr>
            <w:tcW w:w="800" w:type="dxa"/>
            <w:vAlign w:val="bottom"/>
            <w:gridSpan w:val="2"/>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11">
              <w:r>
                <w:rPr>
                  <w:rFonts w:ascii="Arial" w:cs="Arial" w:eastAsia="Arial" w:hAnsi="Arial"/>
                  <w:sz w:val="18"/>
                  <w:szCs w:val="18"/>
                  <w:color w:val="0000FF"/>
                  <w:w w:val="86"/>
                </w:rPr>
                <w:t>108</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11">
              <w:r>
                <w:rPr>
                  <w:rFonts w:ascii="Arial" w:cs="Arial" w:eastAsia="Arial" w:hAnsi="Arial"/>
                  <w:sz w:val="18"/>
                  <w:szCs w:val="18"/>
                  <w:color w:val="0000EE"/>
                  <w:w w:val="89"/>
                </w:rPr>
                <w:t>Certain Relationships and Related Transactions, and Director Independence</w:t>
              </w:r>
            </w:hyperlink>
          </w:p>
        </w:tc>
        <w:tc>
          <w:tcPr>
            <w:tcW w:w="3340" w:type="dxa"/>
            <w:vAlign w:val="bottom"/>
            <w:gridSpan w:val="5"/>
          </w:tcPr>
          <w:p>
            <w:pPr>
              <w:spacing w:after="0"/>
              <w:rPr>
                <w:sz w:val="21"/>
                <w:szCs w:val="21"/>
                <w:color w:val="auto"/>
              </w:rPr>
            </w:pPr>
          </w:p>
        </w:tc>
        <w:tc>
          <w:tcPr>
            <w:tcW w:w="800" w:type="dxa"/>
            <w:vAlign w:val="bottom"/>
            <w:gridSpan w:val="2"/>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11">
              <w:r>
                <w:rPr>
                  <w:rFonts w:ascii="Arial" w:cs="Arial" w:eastAsia="Arial" w:hAnsi="Arial"/>
                  <w:sz w:val="18"/>
                  <w:szCs w:val="18"/>
                  <w:color w:val="0000FF"/>
                  <w:w w:val="86"/>
                </w:rPr>
                <w:t>108</w:t>
              </w:r>
            </w:hyperlink>
          </w:p>
        </w:tc>
      </w:tr>
      <w:tr>
        <w:trPr>
          <w:trHeight w:val="270"/>
        </w:trPr>
        <w:tc>
          <w:tcPr>
            <w:tcW w:w="40" w:type="dxa"/>
            <w:vAlign w:val="bottom"/>
          </w:tcPr>
          <w:p>
            <w:pPr>
              <w:spacing w:after="0"/>
              <w:rPr>
                <w:sz w:val="23"/>
                <w:szCs w:val="23"/>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14.</w:t>
            </w:r>
          </w:p>
        </w:tc>
        <w:tc>
          <w:tcPr>
            <w:tcW w:w="8800" w:type="dxa"/>
            <w:vAlign w:val="bottom"/>
            <w:gridSpan w:val="19"/>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Principal Accounting Fees and Services</w:t>
              </w:r>
            </w:hyperlink>
          </w:p>
        </w:tc>
        <w:tc>
          <w:tcPr>
            <w:tcW w:w="1080" w:type="dxa"/>
            <w:vAlign w:val="bottom"/>
            <w:gridSpan w:val="5"/>
          </w:tcPr>
          <w:p>
            <w:pPr>
              <w:jc w:val="right"/>
              <w:spacing w:after="0"/>
              <w:rPr>
                <w:rFonts w:ascii="Arial" w:cs="Arial" w:eastAsia="Arial" w:hAnsi="Arial"/>
                <w:sz w:val="18"/>
                <w:szCs w:val="18"/>
                <w:color w:val="0000FF"/>
              </w:rPr>
            </w:pPr>
            <w:hyperlink w:anchor="page111">
              <w:r>
                <w:rPr>
                  <w:rFonts w:ascii="Arial" w:cs="Arial" w:eastAsia="Arial" w:hAnsi="Arial"/>
                  <w:sz w:val="18"/>
                  <w:szCs w:val="18"/>
                  <w:color w:val="0000FF"/>
                </w:rPr>
                <w:t>108</w:t>
              </w:r>
            </w:hyperlink>
          </w:p>
        </w:tc>
      </w:tr>
      <w:tr>
        <w:trPr>
          <w:trHeight w:val="460"/>
        </w:trPr>
        <w:tc>
          <w:tcPr>
            <w:tcW w:w="40" w:type="dxa"/>
            <w:vAlign w:val="bottom"/>
          </w:tcPr>
          <w:p>
            <w:pPr>
              <w:spacing w:after="0"/>
              <w:rPr>
                <w:sz w:val="24"/>
                <w:szCs w:val="24"/>
                <w:color w:val="auto"/>
              </w:rPr>
            </w:pPr>
          </w:p>
        </w:tc>
        <w:tc>
          <w:tcPr>
            <w:tcW w:w="5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11">
              <w:r>
                <w:rPr>
                  <w:rFonts w:ascii="Arial" w:cs="Arial" w:eastAsia="Arial" w:hAnsi="Arial"/>
                  <w:sz w:val="18"/>
                  <w:szCs w:val="18"/>
                  <w:color w:val="0000EE"/>
                  <w:w w:val="90"/>
                </w:rPr>
                <w:t>Part IV</w:t>
              </w:r>
            </w:hyperlink>
          </w:p>
        </w:tc>
        <w:tc>
          <w:tcPr>
            <w:tcW w:w="9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gridSpan w:val="2"/>
          </w:tcPr>
          <w:p>
            <w:pPr>
              <w:spacing w:after="0"/>
              <w:rPr>
                <w:sz w:val="24"/>
                <w:szCs w:val="24"/>
                <w:color w:val="auto"/>
              </w:rPr>
            </w:pPr>
          </w:p>
        </w:tc>
        <w:tc>
          <w:tcPr>
            <w:tcW w:w="28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86"/>
              </w:rPr>
            </w:pPr>
            <w:hyperlink w:anchor="page111">
              <w:r>
                <w:rPr>
                  <w:rFonts w:ascii="Arial" w:cs="Arial" w:eastAsia="Arial" w:hAnsi="Arial"/>
                  <w:sz w:val="18"/>
                  <w:szCs w:val="18"/>
                  <w:color w:val="0000FF"/>
                  <w:w w:val="86"/>
                </w:rPr>
                <w:t>109</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12">
              <w:r>
                <w:rPr>
                  <w:rFonts w:ascii="Arial" w:cs="Arial" w:eastAsia="Arial" w:hAnsi="Arial"/>
                  <w:sz w:val="18"/>
                  <w:szCs w:val="18"/>
                  <w:color w:val="0000EE"/>
                  <w:w w:val="89"/>
                </w:rPr>
                <w:t>Exhibits and Financial Statement Schedules</w:t>
              </w:r>
            </w:hyperlink>
          </w:p>
        </w:tc>
        <w:tc>
          <w:tcPr>
            <w:tcW w:w="5640" w:type="dxa"/>
            <w:vAlign w:val="bottom"/>
            <w:gridSpan w:val="9"/>
          </w:tcPr>
          <w:p>
            <w:pPr>
              <w:spacing w:after="0"/>
              <w:rPr>
                <w:sz w:val="21"/>
                <w:szCs w:val="21"/>
                <w:color w:val="auto"/>
              </w:rPr>
            </w:pPr>
          </w:p>
        </w:tc>
        <w:tc>
          <w:tcPr>
            <w:tcW w:w="800" w:type="dxa"/>
            <w:vAlign w:val="bottom"/>
            <w:gridSpan w:val="2"/>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12">
              <w:r>
                <w:rPr>
                  <w:rFonts w:ascii="Arial" w:cs="Arial" w:eastAsia="Arial" w:hAnsi="Arial"/>
                  <w:sz w:val="18"/>
                  <w:szCs w:val="18"/>
                  <w:color w:val="0000FF"/>
                  <w:w w:val="86"/>
                </w:rPr>
                <w:t>109</w:t>
              </w:r>
            </w:hyperlink>
          </w:p>
        </w:tc>
      </w:tr>
      <w:tr>
        <w:trPr>
          <w:trHeight w:val="480"/>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0" w:type="dxa"/>
            <w:vAlign w:val="bottom"/>
            <w:gridSpan w:val="19"/>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Signatures</w:t>
              </w:r>
            </w:hyperlink>
          </w:p>
        </w:tc>
        <w:tc>
          <w:tcPr>
            <w:tcW w:w="1080" w:type="dxa"/>
            <w:vAlign w:val="bottom"/>
            <w:gridSpan w:val="5"/>
          </w:tcPr>
          <w:p>
            <w:pPr>
              <w:jc w:val="right"/>
              <w:spacing w:after="0"/>
              <w:rPr>
                <w:rFonts w:ascii="Arial" w:cs="Arial" w:eastAsia="Arial" w:hAnsi="Arial"/>
                <w:sz w:val="18"/>
                <w:szCs w:val="18"/>
                <w:color w:val="0000EE"/>
              </w:rPr>
            </w:pPr>
            <w:hyperlink w:anchor="page115">
              <w:r>
                <w:rPr>
                  <w:rFonts w:ascii="Arial" w:cs="Arial" w:eastAsia="Arial" w:hAnsi="Arial"/>
                  <w:sz w:val="18"/>
                  <w:szCs w:val="18"/>
                  <w:color w:val="0000EE"/>
                </w:rPr>
                <w:t>113</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364"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References in this report to </w:t>
      </w:r>
      <w:r>
        <w:rPr>
          <w:rFonts w:ascii="Arial" w:cs="Arial" w:eastAsia="Arial" w:hAnsi="Arial"/>
          <w:sz w:val="18"/>
          <w:szCs w:val="18"/>
          <w:color w:val="auto"/>
        </w:rPr>
        <w:t>“we,” “our,” “us,” the “Company”</w:t>
      </w:r>
      <w:r>
        <w:rPr>
          <w:rFonts w:ascii="Arial" w:cs="Arial" w:eastAsia="Arial" w:hAnsi="Arial"/>
          <w:sz w:val="18"/>
          <w:szCs w:val="18"/>
          <w:i w:val="1"/>
          <w:iCs w:val="1"/>
          <w:color w:val="auto"/>
        </w:rPr>
        <w:t xml:space="preserve"> and </w:t>
      </w:r>
      <w:r>
        <w:rPr>
          <w:rFonts w:ascii="Arial" w:cs="Arial" w:eastAsia="Arial" w:hAnsi="Arial"/>
          <w:sz w:val="18"/>
          <w:szCs w:val="18"/>
          <w:color w:val="auto"/>
        </w:rPr>
        <w:t>“Euronet”</w:t>
      </w:r>
      <w:r>
        <w:rPr>
          <w:rFonts w:ascii="Arial" w:cs="Arial" w:eastAsia="Arial" w:hAnsi="Arial"/>
          <w:sz w:val="18"/>
          <w:szCs w:val="18"/>
          <w:i w:val="1"/>
          <w:iCs w:val="1"/>
          <w:color w:val="auto"/>
        </w:rPr>
        <w:t xml:space="preserve"> refer to Euronet Worldwide, Inc. and its subsidiaries unless the context requires otherwise.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Overview</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electronic distribution of prepaid mobile airtime and other electronic payment products; and global consumer money transfer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Business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operate in the following three segments as of December 31, 2013:</w:t>
      </w:r>
    </w:p>
    <w:p>
      <w:pPr>
        <w:spacing w:after="0" w:line="225" w:lineRule="exact"/>
        <w:rPr>
          <w:sz w:val="20"/>
          <w:szCs w:val="20"/>
          <w:color w:val="auto"/>
        </w:rPr>
      </w:pPr>
    </w:p>
    <w:p>
      <w:pPr>
        <w:ind w:left="180" w:right="120"/>
        <w:spacing w:after="0" w:line="272" w:lineRule="auto"/>
        <w:rPr>
          <w:sz w:val="20"/>
          <w:szCs w:val="20"/>
          <w:color w:val="auto"/>
        </w:rPr>
      </w:pPr>
      <w:r>
        <w:rPr>
          <w:rFonts w:ascii="Arial" w:cs="Arial" w:eastAsia="Arial" w:hAnsi="Arial"/>
          <w:sz w:val="17"/>
          <w:szCs w:val="17"/>
          <w:color w:val="auto"/>
        </w:rPr>
        <w:t>The EFT Processing Segment processes transactions for a network of 18,311 ATMs and approximately 68,000 POS terminals across Europe, the Middle East and Asia Pacific. We provide comprehensive electronic payment solutions consisting of ATM cash withdrawal services; ATM network participation, outsourced ATM and POS management solutions, credit and debit card outsourcing, and card issuing and merchant acquiring services. In addition to our core business, we offer a variety of value added services, including dynamic currency conversion, advertising, customer relationship management (“CRM”), mobile top-up, bill payment, fraud management and foreign remittance payout. Through this segment, we also offer a suite of integrated electronic financial transaction (“EFT”) software solutions for electronic payment and transaction delivery systems. In 2013, the EFT Processing Segment accounted for approximately 21% of Euronet's consolidated revenues.</w:t>
      </w:r>
    </w:p>
    <w:p>
      <w:pPr>
        <w:spacing w:after="0" w:line="178" w:lineRule="exact"/>
        <w:rPr>
          <w:sz w:val="20"/>
          <w:szCs w:val="20"/>
          <w:color w:val="auto"/>
        </w:rPr>
      </w:pPr>
    </w:p>
    <w:p>
      <w:pPr>
        <w:ind w:left="180" w:right="100"/>
        <w:spacing w:after="0" w:line="273" w:lineRule="auto"/>
        <w:rPr>
          <w:sz w:val="20"/>
          <w:szCs w:val="20"/>
          <w:color w:val="auto"/>
        </w:rPr>
      </w:pPr>
      <w:r>
        <w:rPr>
          <w:rFonts w:ascii="Arial" w:cs="Arial" w:eastAsia="Arial" w:hAnsi="Arial"/>
          <w:sz w:val="17"/>
          <w:szCs w:val="17"/>
          <w:color w:val="auto"/>
        </w:rPr>
        <w:t>The epay Segment provides electronic distribution and processing of prepaid mobile airtime and other electronic payment products and collection services for various payment products, cards and services. We operate a network that includes approximately 665,000 POS terminals that enable electronic processing of prepaid mobile airtime “top-up” services and other non-mobile content in Europe, the Middle East, Asia Pacific, North America and South America. We also provide vouchers and physical gift fulfillment services in Europe and gift card distribution and processing services in most of our markets. Through this segment, we believe we are the world's leading international network for distribution of prepaid mobile airtime. In 2013, the epay Segment accounted for approximately 53% of Euronet's consolidated revenues.</w:t>
      </w:r>
    </w:p>
    <w:p>
      <w:pPr>
        <w:spacing w:after="0" w:line="178" w:lineRule="exact"/>
        <w:rPr>
          <w:sz w:val="20"/>
          <w:szCs w:val="20"/>
          <w:color w:val="auto"/>
        </w:rPr>
      </w:pPr>
    </w:p>
    <w:p>
      <w:pPr>
        <w:ind w:left="180" w:right="20"/>
        <w:spacing w:after="0" w:line="272" w:lineRule="auto"/>
        <w:rPr>
          <w:sz w:val="20"/>
          <w:szCs w:val="20"/>
          <w:color w:val="auto"/>
        </w:rPr>
      </w:pPr>
      <w:r>
        <w:rPr>
          <w:rFonts w:ascii="Arial" w:cs="Arial" w:eastAsia="Arial" w:hAnsi="Arial"/>
          <w:sz w:val="17"/>
          <w:szCs w:val="17"/>
          <w:color w:val="auto"/>
        </w:rPr>
        <w:t>The Money Transfer Segment provides global consumer-to-consumer money transfer services, mostly under the brand names Ria and AFEX. We offer this service through a network of sending agents and Company-owned stores (mostly in North America and Europe) and via Internet enabled devices at riamoneytransfer.com, disbursing money transfers through a worldwide correspondent network that includes approximately 216,000 locations. In addition to money transfers, we also offer customers bill payment services (mostly in the U.S.), mobile top-up, payment alternatives such as money orders and prepaid debit cards, comprehensive check cashing services for a wide variety of issued checks, and competitive foreign currency exchange services. We are one of the largest global money transfer companies in terms of revenues and transaction volumes. In 2013, the Money Transfer Segment accounted for approximately 26% of Euronet's consolidated revenues.</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Euronet conducts business globally, serving customers in approximately 155 countries. We have nine transaction processing centers, including four in Europe, three in Asia Pacific and two in North America. We also maintain 52 business offices that are located in 38 countries. Our corporate offices are located in Leawood, Kansas, USA.</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Perspective</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Euronet was established in 1994 as Euronet Bank Access Kft., a Hungarian limited liability company. Operations began in 1995 when we established a processing center in Budapest, Hungary and installed our first ATMs in Hungary, followed by Poland and Germany in 1996. Euronet was reorganized in March 1997, in connection with its initial public offering, and at that time, our operating entities became wholly owned subsidiaries of Euronet Services, Inc., a Delaware corporation. We changed our name from Euronet Services, Inc. to Euronet Worldwide, Inc. in August 2001.</w:t>
      </w:r>
    </w:p>
    <w:p>
      <w:pPr>
        <w:spacing w:after="0" w:line="17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Initially, most of Euronet's resources were devoted to establishing and expanding the ATM network and ATM management services business in Europe. In December 1998, we acquired Arkansas Systems, Inc. (now known as "Euronet USA"), a U.S.-based company that produces electronic payment and transaction delivery systems software for retail banks internationally, which resulted in significant ongoing savings in third-party licensing, services and maintenance costs. By the end of 1998, we were doing business in Hungary, Poland, Germany, the Czech Republic, and Croatia.</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2005, we expanded the product offerings of the EFT Processing Segment through the acquisition of Instreamline S.A., a Greek company that provides credit card and POS outsourcing services in addition to debit card and transaction gateway switching services in Greece and the Balkan region. In 2007, we combined our EFT and Software segments as both businesses are strategically aligned due to the fact that our software segment primarily supports our EFT service offerings and processing centers. Expansion continued, and by 2010, Euronet's network of ATMs had expanded to include Greece, Slovakia, Romania, Bulgaria, Serbia, Ukraine, the Middle East, India and China.</w:t>
      </w:r>
    </w:p>
    <w:p>
      <w:pPr>
        <w:spacing w:after="0" w:line="188"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In 2003, Euronet added a complementary business line through the acquisition of epay Limited (“epay”), which had offices in the U.K. and Australia. Through subsequent acquisitions between 2003 and 2010, the epay Segment continued to expand in Europe (Germany, Romania, Spain and the U.K.), the U.S., the Middle East, Asia and Brazil, and established new offices in New Zealand, Poland, India, and Italy. We believe the epay Segment is the world's leading international network for distribution and processing of prepaid mobile airtime (top-up) as well as other electronic payment products and services.</w:t>
      </w:r>
    </w:p>
    <w:p>
      <w:pPr>
        <w:spacing w:after="0" w:line="15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2007, we established the Money Transfer Segment after completing the acquisition of Los Angeles-based Ria, one of the largest global money transfer companies in terms of revenues and transaction volumes. Established in 1987, Ria originates and terminates transactions through a network of sending agents and Company-owned stores located around the world. In November 2009, Ria obtained a payment services license from the U.K. Financial Services Authority, which allowed Ria to operate under one license and one regulator for all European Economic Area Member States. The license also facilitated expansion into new markets through the sales of money transfers through agents in countries where the use of agents was not previously permitted. In addition to expanding the money transfer network, the segment expanded its product portfolio to offer complementary non-money transfer products such as bill payment and check cashing, and prepaid services in conjunction with the epay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Developments</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In January 2013, Euronet completed the acquisition of Pure Commerce Pty Limited ("Pure Commerce"), which offers industry leading currency conversion and multi-currency acquiring services to global, local and online merchant acquirers, banks and retailers. Pure Commerce is headquartered in Sydney, Australia, and operates in high foreign card volume locations, primarily in the Asia Pacific region, Europe and the United States.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Segment Overview</w:t>
      </w:r>
    </w:p>
    <w:p>
      <w:pPr>
        <w:spacing w:after="0" w:line="22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For a discussion of operating results by segment, please see Item 7 - Management's Discussion and Analysis of Financial Condition and Results of Operations, and Note 16, Business Segment Information,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EFT Processing Segment provides comprehensive electronic payment solutions consisting of ATM network participation, outsourced ATM and POS management solutions, credit and debit card outsourcing; card issuing and merchant acquiring services. In addition to our core business, we offer a variety of value added services, including dynamic currency conversion, advertising, CRM, prepaid mobile top-up, bill payment, fraud management and foreign remittance payout. We provide these services either through our Euronet-owned ATMs and POS terminals or through contracts under which we operate ATMs and POS terminals on behalf of our customers. Through this segment, we also offer a suite of integrated EFT software solutions for electronic payment and transaction delivery systems.</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major source of revenues generated by our ATM network is recurring monthly management fees, transaction-based fees and margins earned on dynamic currency conversion transactions. We receive fixed monthly fees under many of our outsourced management contracts. The EFT Processing Segment also generates revenues from POS operations and merchant management, card network management (for credit, debit, prepaid and loyalty cards), prepaid mobile airtime recharge on ATMs and ATM advertising. We primarily service financial institutions in the developing markets of Central, Eastern and Southern Europe (Hungary, Poland, the Czech Republic, Croatia, Romania, Slovakia, Serbia, Greece, Bulgaria and Ukraine), the Middle East and Asia Pacific (India, China and Pakistan), as well as certain developed countries of Western Europe. As of December 31, 2013, we operated 18,311 ATMs compared to 17,600 at December 31, 2012. The increase was largely due to growth in India and expansion of our Independent ATM Deployed ("IAD") networks in several Eastern European countries.</w:t>
      </w:r>
    </w:p>
    <w:p>
      <w:pPr>
        <w:spacing w:after="0" w:line="19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monitor the number of transactions made by cardholders on our network. These include cash withdrawals, balance inquiries, deposits, prepaid mobile airtime recharge purchases, dynamic currency conversion transactions and certain denied (unauthorized) transactions. We do not bill certain transactions on our network to financial institutions, and we have excluded these transactions for reporting purposes. The number of transactions processed over our networks has increased over the last five years at a compound annual growth rate (“CAGR”) of approximately 14% as indicated in the following table:</w:t>
      </w:r>
    </w:p>
    <w:p>
      <w:pPr>
        <w:spacing w:after="0" w:line="305"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9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3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2009</w:t>
            </w:r>
          </w:p>
        </w:tc>
        <w:tc>
          <w:tcPr>
            <w:tcW w:w="11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9"/>
              </w:rPr>
              <w:t>2010</w:t>
            </w:r>
          </w:p>
        </w:tc>
        <w:tc>
          <w:tcPr>
            <w:tcW w:w="6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2011</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3900" w:type="dxa"/>
            <w:vAlign w:val="bottom"/>
            <w:gridSpan w:val="2"/>
          </w:tcPr>
          <w:p>
            <w:pPr>
              <w:spacing w:after="0"/>
              <w:rPr>
                <w:sz w:val="20"/>
                <w:szCs w:val="20"/>
                <w:color w:val="auto"/>
              </w:rPr>
            </w:pPr>
            <w:r>
              <w:rPr>
                <w:rFonts w:ascii="Arial" w:cs="Arial" w:eastAsia="Arial" w:hAnsi="Arial"/>
                <w:sz w:val="18"/>
                <w:szCs w:val="18"/>
                <w:color w:val="auto"/>
              </w:rPr>
              <w:t>EFT Processing transactions per year</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703</w:t>
            </w:r>
          </w:p>
        </w:tc>
        <w:tc>
          <w:tcPr>
            <w:tcW w:w="8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794</w:t>
            </w:r>
          </w:p>
        </w:tc>
        <w:tc>
          <w:tcPr>
            <w:tcW w:w="8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943</w:t>
            </w:r>
          </w:p>
        </w:tc>
        <w:tc>
          <w:tcPr>
            <w:tcW w:w="400" w:type="dxa"/>
            <w:vAlign w:val="bottom"/>
          </w:tcPr>
          <w:p>
            <w:pPr>
              <w:spacing w:after="0"/>
              <w:rPr>
                <w:sz w:val="22"/>
                <w:szCs w:val="22"/>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1,164</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1,188</w:t>
            </w:r>
          </w:p>
        </w:tc>
      </w:tr>
    </w:tbl>
    <w:p>
      <w:pPr>
        <w:spacing w:after="0" w:line="229"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Our processing centers for the EFT Processing Segment are located in Budapest, Hungary; Mumbai, India; Beijing, China; and Karachi, Pakistan. They operate 24 hours a day, seven days a week and consist of production IBM iSeries computers, which run the Euronet Integrated Transaction Management (“ITM”) software package.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Outsourced Management Solutions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Euronet offers outsourced management services to financial institutions, merchants, mobile phone operators and other organizations using our processing centers' electronic financial transaction processing software. Our outsourced management services include management of existing ATM networks, development of new ATM networks, management of POS networks, management of automated deposit terminals, management of credit and debit card databases and other financial processing services. These services include 24-hour monitoring of each ATM's status and cash condition, managing the cash levels in each ATM, coordinating the cash delivery and providing automatic dispatches for necessary service calls. We also provide real-time transaction authorization, advanced monitoring, network gateway access, network switching, 24-hour customer service, maintenance, cash settlement and reconciliation, forecasting and reporting. Since our infrastructure can support a significant increase in transactions, any new outsourced management services agreements should provide additional revenue with lower incremental cost.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Our outsourced management services agreements generally provide for fixed monthly management fees and, in most cases, fees payable for each transaction.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fees under these agreements are generally lower than those under card acceptance agreements.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Euronet-Branded ATM Transaction Processing</w:t>
      </w:r>
    </w:p>
    <w:p>
      <w:pPr>
        <w:spacing w:after="0" w:line="225"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Our Euronet-branded ATM networks, also known as IAD networks, are primarily managed by a processing center that uses our internally developed ITM core software solution. The ATMs in our IAD networks are able to process transactions for holders of credit and debit cards issued by or bearing the logos of financial institutions and international card organizations such as American Express</w:t>
      </w:r>
      <w:r>
        <w:rPr>
          <w:rFonts w:ascii="Arial" w:cs="Arial" w:eastAsia="Arial" w:hAnsi="Arial"/>
          <w:sz w:val="24"/>
          <w:szCs w:val="24"/>
          <w:color w:val="auto"/>
          <w:vertAlign w:val="superscript"/>
        </w:rPr>
        <w:t>®</w:t>
      </w:r>
      <w:r>
        <w:rPr>
          <w:rFonts w:ascii="Arial" w:cs="Arial" w:eastAsia="Arial" w:hAnsi="Arial"/>
          <w:sz w:val="17"/>
          <w:szCs w:val="17"/>
          <w:color w:val="auto"/>
        </w:rPr>
        <w:t>, Visa</w:t>
      </w:r>
      <w:r>
        <w:rPr>
          <w:rFonts w:ascii="Arial" w:cs="Arial" w:eastAsia="Arial" w:hAnsi="Arial"/>
          <w:sz w:val="24"/>
          <w:szCs w:val="24"/>
          <w:color w:val="auto"/>
          <w:vertAlign w:val="superscript"/>
        </w:rPr>
        <w:t>®</w:t>
      </w:r>
      <w:r>
        <w:rPr>
          <w:rFonts w:ascii="Arial" w:cs="Arial" w:eastAsia="Arial" w:hAnsi="Arial"/>
          <w:sz w:val="17"/>
          <w:szCs w:val="17"/>
          <w:color w:val="auto"/>
        </w:rPr>
        <w:t>, MasterCard</w:t>
      </w:r>
      <w:r>
        <w:rPr>
          <w:rFonts w:ascii="Arial" w:cs="Arial" w:eastAsia="Arial" w:hAnsi="Arial"/>
          <w:sz w:val="24"/>
          <w:szCs w:val="24"/>
          <w:color w:val="auto"/>
          <w:vertAlign w:val="superscript"/>
        </w:rPr>
        <w:t>®</w:t>
      </w:r>
      <w:r>
        <w:rPr>
          <w:rFonts w:ascii="Arial" w:cs="Arial" w:eastAsia="Arial" w:hAnsi="Arial"/>
          <w:sz w:val="17"/>
          <w:szCs w:val="17"/>
          <w:color w:val="auto"/>
        </w:rPr>
        <w:t>, Diners Club International</w:t>
      </w:r>
      <w:r>
        <w:rPr>
          <w:rFonts w:ascii="Arial" w:cs="Arial" w:eastAsia="Arial" w:hAnsi="Arial"/>
          <w:sz w:val="24"/>
          <w:szCs w:val="24"/>
          <w:color w:val="auto"/>
          <w:vertAlign w:val="superscript"/>
        </w:rPr>
        <w:t>®</w:t>
      </w:r>
      <w:r>
        <w:rPr>
          <w:rFonts w:ascii="Arial" w:cs="Arial" w:eastAsia="Arial" w:hAnsi="Arial"/>
          <w:sz w:val="17"/>
          <w:szCs w:val="17"/>
          <w:color w:val="auto"/>
        </w:rPr>
        <w:t>, Discover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China Union Pay, as well as international ATM networks such as PULSE</w:t>
      </w:r>
      <w:r>
        <w:rPr>
          <w:rFonts w:ascii="Arial" w:cs="Arial" w:eastAsia="Arial" w:hAnsi="Arial"/>
          <w:sz w:val="24"/>
          <w:szCs w:val="24"/>
          <w:color w:val="auto"/>
          <w:vertAlign w:val="superscript"/>
        </w:rPr>
        <w:t>®</w:t>
      </w:r>
      <w:r>
        <w:rPr>
          <w:rFonts w:ascii="Arial" w:cs="Arial" w:eastAsia="Arial" w:hAnsi="Arial"/>
          <w:sz w:val="17"/>
          <w:szCs w:val="17"/>
          <w:color w:val="auto"/>
        </w:rPr>
        <w:t>. This ability is accomplished through our agreements and relationships with these institutions, international credit and debit card issuers and international card associations.</w:t>
      </w:r>
    </w:p>
    <w:p>
      <w:pPr>
        <w:spacing w:after="0" w:line="20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When a bank cardholder conducts a transaction on a Euronet-owned ATM, we receive a fee from the cardholder's bank for that transaction. The bank pays us this fee either directly or indirectly through a central switching and settlement network. When paid indirectly, this fee is referred to as the “interchange fee.” All of the banks in a shared ATM and POS switching system establish the amount of the interchange fee by agreement. We receive transaction-processing fees for successful transactions and, in certain circumstances, for transactions that are not completed because they fail to receive authorization. The fees paid to us by the card issuers are independent of any fees charged by the card issuers to cardholders in connection with the ATM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generally receive fees or earn margin from our customers for five types of ATM transactions:</w:t>
      </w:r>
    </w:p>
    <w:p>
      <w:pPr>
        <w:spacing w:after="0" w:line="225" w:lineRule="exact"/>
        <w:rPr>
          <w:sz w:val="20"/>
          <w:szCs w:val="20"/>
          <w:color w:val="auto"/>
        </w:rPr>
      </w:pPr>
    </w:p>
    <w:p>
      <w:pPr>
        <w:ind w:left="380" w:hanging="196"/>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withdrawals,</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Balance inquiries,</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Transactions not completed because the relevant card issuer does not give authorization,</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Dynamic currency conversion, and</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Prepaid telecommunication recharges.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 Acceptance or Sponsorship Agreements</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agreements with financial institutions and international card organizations generally provide that all credit and debit cards issued by the customer financial institution or organization may be used at all ATMs that we operate in a given market. In most markets, we have agreements with a financial institution under which we are designated as a service provider (which we refer to as “sponsorship agreements”) for the acceptance of cards bearing international logos, such as Visa and MasterCard. These card acceptance or sponsorship agreements allow us to receive transaction authorization directly from the card issuing institution or international card organization. Our agreements generally provide for a term of three to seven years and renew automatically unless either party provides notice of non-renewal prior to the termination date. In some cases, the agreements are terminable by either party upon six months' notice. We are generally able to connect a financial institution to our network within 30 to 90 days of signing a card acceptance agreement. Generally, the financial institution provides the cash needed to complete transactions on the ATM. Euronet is generally liable for the cash in the ATM networks.</w:t>
      </w:r>
    </w:p>
    <w:p>
      <w:pPr>
        <w:spacing w:after="0" w:line="19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Under our card acceptance agreements, the ATM transaction fees we charge vary depending on the type of transaction and the number of transactions attributable to a particular card issuer. Our agreements generally provide for payment in local currency. Transaction fees are sometimes denominated in euros or U.S. dollars. Transaction fees are billed to financial institutions and card organizations with payment terms typically no longer than one month.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Currency Conversion</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offer dynamic currency conversion (“DCC”) over our IAD networks, ATM networks that we operate on an outsourced basis for banks, and over banks' ATM networks or POS devices as a stand-alone service. DCC is a feature of the underlying ATM or POS transaction that is offered to customers completing transactions using a foreign debit or credit card in another country. The customer is offered a choice between two alternatives for the foreign exchange conversion of the funds delivered at ATM or transactions completed through the POS terminal by the transaction acquirer, which result in a pre-defined amount of the customer's local currency being charged to their card, or they may have the transaction converted in the ordinary way, in which the amount of foreign currency is communicated to the card issuing bank and the card issuing bank makes the conversion. In this latter case, the customer generally is not informed of the exchange rate used by the card issuing bank until settlement of the transaction.</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125" w:right="3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When a customer chooses DCC at an ATM or POS device and Euronet acts as the acquirer or processor, we receive all or a portion of the foreign exchange margin on the conversion of the transaction. On our IAD ATMs, Euronet receives the entire exchange margin. On ATMs or POS devices that are operated for banks, or where we offer DCC as a stand-alone service to banks or merchants, we share the foreign exchange margin. The foreign exchange margin on a DCC transaction can substantially increase the amount Euronet earns from the underlying ATM or POS transaction and increase the profitability of those ATMs on which DCC is offered.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network of owned or operated ATMs allows for the sale of financial and other products or services at a low incremental cost. We have developed value added services in addition to basic cash withdrawal and balance inquiry transactions. These value added services include dynamic currency conversion, mobile top-up, fraud management, bill payment, CRM, foreign remittance payout, and advertising. We are committed to the ongoing development of innovative new products and services to offer our EFT processing customers.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Euronet offers multinational merchants a Single European Payments Area (“SEPA”) compliant cross-border transaction processing solution. SEPA is an area in which all electronic payments can be made and received in euros, whether between or within national boundaries, under the same basic conditions, rights and obligations, regardless of their location. This single, centralized acquiring platform enables merchants to benefit from cost savings and faster, more efficient payments transfer. Although many European countries are not members of the Eurozone, the platform can serve the merchants in these countries as well, through its multi-currency functionality.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Solutions</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also offer a suite of integrated software solutions for electronic payments and transaction delivery systems. We generate revenues for our software products from licensing, professional services and maintenance fees for software and sales of related hardware, primarily to financial institutions around the world. We have been able to enter into agreements under which we contribute the right to use our ITM software in lieu of cash as our initial capital contributions to new transaction processing joint ventures. Such contributions permit us to enter new markets without significant cash outlays.</w:t>
      </w:r>
    </w:p>
    <w:p>
      <w:pPr>
        <w:spacing w:after="0" w:line="154"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Additionally, our software products are an integral part of the EFT Processing Segment product lines, and our investment in research, development, delivery and customer support reflects our ongoing commitment to an expanded customer base both internally and externally. Our ITM software is used by processing centers in our EFT Processing Segment, resulting in cost savings and added value compared to third-party license and maintenance options.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 Strategy</w:t>
      </w:r>
    </w:p>
    <w:p>
      <w:pPr>
        <w:spacing w:after="0" w:line="22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EFT Processing Segment maintains a strategy to expand the network of ATMs and POS terminals into developed and developing markets that have the greatest potential for growth. In addition, we follow a supporting strategy to increase the penetration of value added (or complementary) services across our existing customer base, including dynamic currency conversion, advertising, fraud management, bill payment, prepaid top-up, CRM and foreign remittance payout.</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Growth opportunities are driven through financial institutions that are receptive to outsourcing the operation of their ATM, POS and card networks. The operation of these devices requires expensive hardware and software and specialized personnel. These resources are available to us, and we offer them to our customers under outsourcing contracts. The expansion and enhancement of our outsourced management solutions in new and existing markets will remain an important business opportunity for Euronet. Increasing the number of non-owned ATMs and POS terminals that we operate under management services agreements and continued development of our credit and debit card outsourcing business should provide continued growth while minimizing our capital investment.</w:t>
      </w:r>
    </w:p>
    <w:p>
      <w:pPr>
        <w:spacing w:after="0" w:line="19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continually strive to make our own ATM networks more efficient by eliminating underperforming ATMs and installing ATMs in more desirable locations. We will make selective additions to our own ATM network if we see market demand and profit opportunities. In recent years, the need for “all-in” services has increased. Banks, particularly smaller banks, are increasingly looking for integrated ATM, POS and card issuing processing and management services. Euronet is well positioned for this opportunity as it can offer a full end-to-end solution to the potential partners.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Complementary services offered by our epay Segment, where we provide prepaid top-up services through POS terminals, strengthens the EFT Processing Segment's line of services. We will continue to expand our technology and business methods into other markets where we operate and further leverage our relationships with mobile phone operators and financial institutions to facilitate that expansion.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Our EFT Processing business is significantly impacted by seasonality during the fourth quarter and first quarter of each year due to higher transaction levels during the holiday season and lower levels after the holiday season and in the second quarter of the year. Additionally, mostly in Europe, we usually experience our heaviest demand for dynamic currency conversion, during the third quarter of the fiscal year, coinciding with the tourism season.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No individual customer of the EFT Processing Segment makes up greater than 10% of consolidated total revenues. In India, we have contracts with government-owned banks to provide certain ATM services, including mobile airtime recharge services. Additionally, certain government-owned banks are members of our shared ATM network in India. In Croatia, we lease land and other property for certain ATM sites from companies that are majority-owned by the government. In Pakistan, we have a contract with a government-owned bank to provide software support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principal EFT Processing competitors include ATM networks owned by financial institutions and national switches consisting of consortiums of local banks that provide outsourcing and transaction services to financial institutions and independent ATM deployers in a particular country. Additionally, large, well-financed companies that operate ATMs offer ATM network and outsourcing services, and those that provide card outsourcing, POS processing and merchant acquiring services also compete with us in various markets. Small local operators have also recently begun offering their services, particularly in the independent ATM deployment market. None of these competitors has a dominant market share in any of our markets. Competitive factors in our EFT Processing Segment include breadth of service offering, network availability and response time, price to both the financial institution and to its customers, ATM location and access to other networks.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currently offer prepaid mobile airtime top-up services and other prepaid and payment products on a network of approximately 665,000 POS terminals across approximately 294,000 retailer locations in Europe, the Middle East, Asia Pacific, the United States and South America. We believe we are the world's leading international network for distribution of prepaid mobile airtime (top-up). Our processing centers for the epay Segment are located in Basildon, U.K.; Martinsried, Germany; Milan, Italy; and Kansas City, Missouri, USA.</w:t>
      </w:r>
    </w:p>
    <w:p>
      <w:pPr>
        <w:spacing w:after="0" w:line="18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Since 2003, we have continually expanded our prepaid business in new and existing markets by drawing upon our depth of experience to build and expand relationships with mobile phone operators, prepaid content providers and retailers. In addition to prepaid mobile airtime, we offer a wide range of products across our retail networks, including prepaid debit cards, gift cards, prepaid vouchers, transport payments, lottery payments, prepaid digital content such as music, games and software, prepaid long distance and bill payment.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epay Segment generates commissions or processing fees from telecommunications service providers for the sale and distribution of prepaid mobile airtime and from the distribution of electronic payment products referenced in the preceding paragraph.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Customers using mobile phones generally pay for their usage in two ways:</w:t>
      </w:r>
    </w:p>
    <w:p>
      <w:pPr>
        <w:spacing w:after="0" w:line="225" w:lineRule="exact"/>
        <w:rPr>
          <w:sz w:val="20"/>
          <w:szCs w:val="20"/>
          <w:color w:val="auto"/>
        </w:rPr>
      </w:pPr>
    </w:p>
    <w:p>
      <w:pPr>
        <w:ind w:left="380" w:hanging="196"/>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“postpaid” accounts, where usage is billed at the end of each billing period; and</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“prepaid” accounts, where customers pay in advance by crediting their accounts prior to usage.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Although mobile phone operators in the U.S. and certain European countries have provided service principally through postpaid accounts, the norm in many other countries in Europe and the rest of the world is to offer wireless service on a prepaid basis. Prior to 2004, scratch cards were the predominant method of crediting mobile phone accounts in most developed markets.</w:t>
      </w:r>
    </w:p>
    <w:p>
      <w:pPr>
        <w:spacing w:after="0" w:line="18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Prepaid mobile phone credits are generally distributed using personal identification numbers or "PINs." We distribute PINs in two ways. First, we purchase PINs from the mobile operator which are electronically sent to our processing platform. We establish an electronic connection with the POS terminals in retailer locations and our processing platform provides the terminal with a PIN when the mobile top-up is purchased. We maintain systems that monitor transaction levels at each terminal. As sales of prepaid mobile airtime to customers are completed, the inventory on the platform is reduced by the PIN purchased. The customer pays the retailer and the retailer becomes obligated to make settlement to us of the principal amount of the mobile airtime sold. We maintain systems that know the amount of mobile top-up sold by the retailer which allows us in turn to bill that retailer for the mobile top-up sold.</w:t>
      </w:r>
    </w:p>
    <w:p>
      <w:pPr>
        <w:spacing w:after="0" w:line="16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Second, we establish an electronic connection to the mobile operator and the retailer. When the sale to a customer is initiated, the terminal requests the PIN from the mobile operator via our transaction processing platform. These transactions obtain the PIN directly from the mobile operator and, therefore, Euronet does not carry PIN inventory. The customer payment and settlement with the retailer are the same as described above.</w:t>
      </w:r>
    </w:p>
    <w:p>
      <w:pPr>
        <w:spacing w:after="0" w:line="16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expand our distribution networks through the signing of new contracts with retailers, and in some markets, through the acquisition of existing networks. We are continuing to focus on our growing network of distributors, generally referred to as Independent Sales Organizations that contract with retailers in their network to distribute prepaid mobile airtime or other content from their POS terminals. We continue to increase our focus on direct relationships with chains of supermarkets, convenience stores, petrol stations, and other larger scale retailers, where we can negotiate agreements with the retailer on a multi-year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Mobile Airtime Transaction Processing</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process prepaid mobile airtime top-up transactions on our POS network across Europe, the Middle East, Asia Pacific, North America and South America for two types of clients: distributors and retailers. Both types of client transactions start with a consumer in a retail store. The retailer uses a specially programmed POS terminal in the store, the retailer's electronic cash register (ECR) system, or web-based POS device that is connected to our network to buy prepaid mobile airtime. The customer will select a predefined amount of mobile airtime from the carrier of choice, and the retailer enters the selection into the POS terminal. The consumer will pay that amount to the retailer (in cash or other payment methods accepted by the retailer). The POS device then transmits the selected transaction to our processing center. Using the electronic connection we maintain with the mobile phone operator or drawing from our inventory of PINs, the purchased amount of mobile airtime will be either credited to the consumer's account or delivered via a PIN printed by the terminal and given to the consumer. In the case of PINs printed by the terminal, the consumer must then call the mobile phone operator's toll-free number to activate the purchased airtime to the consumer's mobile account.</w:t>
      </w:r>
    </w:p>
    <w:p>
      <w:pPr>
        <w:spacing w:after="0" w:line="18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One difference in our relationships with various retailers and distributors is the way in which we charge for our services. For distributors and certain very large retailers, we charge a processing fee. However, the majority of our transactions occur with smaller retailers. With these clients, we receive a commission on each transaction that is withheld from the payments made to the mobile phone operator, and we share that commission with the retailers.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Non-Mobile Products and Services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POS network can be used for the distribution of other products and services. Although prepaid mobile airtime is the primary product distributed through our epay Segment, additional products include long distance calling card plans, prepaid Internet plans, debit cards, gift cards, prepaid vouchers, transport payments, lottery payments, bill payment and digital content such as music, games and software. Through our cadooz subsidiary, we also distribute vouchers and physical gifts. In certain locations, the terminals used for prepaid services can also be used for electronic funds transfer to process credit and debit card payments for retail merchandise. In 2013, revenues and gross profit from products other than prepaid mobile airtime were approximately 36% and 35%, respectively, of the total for the epay Segment.</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Retailer and Distributor Contracts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provide our prepaid services through POS terminals or web-based POS devices installed in retail outlets or, in the case of major retailers, through direct connections between their ECR systems and our processing centers. In markets where we operate proprietary technology (the U.K., Germany, Australia, Poland, Ireland, New Zealand, Spain, Greece, India, Italy, Brazil and the U.S.), we generally own and maintain the POS terminals. In certain countries in Europe, the terminals are sold to the retailers or to distributors who service the retailer. Our agreements with major retailers for the POS services typically have one to three-year terms. These agreements include terms regarding the connection of our networks to the respective retailer's registers or payment terminals or the maintenance of POS terminals, and obligations concerning settlement and liability for transactions processed. Generally, our agreements with individual or small retailers have shorter terms and provide that either party can terminate the agreement upon three to six months' notice.</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Germany, distributors are key intermediaries in the sale of mobile top-up. As a result, our business in Germany is substantially concentrated in, and dependent upon, relationships with our major distributors. The termination of any of our agreements with major distributors could materially and adversely affect our prepaid business in Germany. However, we have been establishing agreements with independent German retailers in order to diversify our exposure to such distributors.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number of transactions processed on our entire POS network has increased over the last five years at a CAGR of approximately 9% as indicated in the following table:</w:t>
      </w:r>
    </w:p>
    <w:p>
      <w:pPr>
        <w:spacing w:after="0" w:line="321"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9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36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2009</w:t>
            </w:r>
          </w:p>
        </w:tc>
        <w:tc>
          <w:tcPr>
            <w:tcW w:w="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2010</w:t>
            </w:r>
          </w:p>
        </w:tc>
        <w:tc>
          <w:tcPr>
            <w:tcW w:w="11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2011</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3920" w:type="dxa"/>
            <w:vAlign w:val="bottom"/>
            <w:gridSpan w:val="2"/>
          </w:tcPr>
          <w:p>
            <w:pPr>
              <w:spacing w:after="0"/>
              <w:rPr>
                <w:sz w:val="20"/>
                <w:szCs w:val="20"/>
                <w:color w:val="auto"/>
              </w:rPr>
            </w:pPr>
            <w:r>
              <w:rPr>
                <w:rFonts w:ascii="Arial" w:cs="Arial" w:eastAsia="Arial" w:hAnsi="Arial"/>
                <w:sz w:val="18"/>
                <w:szCs w:val="18"/>
                <w:color w:val="auto"/>
              </w:rPr>
              <w:t>epay processing transactions per year</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777</w:t>
            </w:r>
          </w:p>
        </w:tc>
        <w:tc>
          <w:tcPr>
            <w:tcW w:w="8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891</w:t>
            </w:r>
          </w:p>
        </w:tc>
        <w:tc>
          <w:tcPr>
            <w:tcW w:w="400" w:type="dxa"/>
            <w:vAlign w:val="bottom"/>
          </w:tcPr>
          <w:p>
            <w:pPr>
              <w:spacing w:after="0"/>
              <w:rPr>
                <w:sz w:val="22"/>
                <w:szCs w:val="22"/>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1,064</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1,113</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1,115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 Strategy</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global strategy for the epay Segment is to grow market share by defending mature markets, focusing expansion activity in growth markets and adding positive operating income in all other developing markets.</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addition to maintaining and growing market share in prepaid mobile airtime top-up, our growth strategy is achieved through the introduction of new products and content. New product initiatives focus on products outside of prepaid mobile airtime top-up and processing, including gift card malls, prepaid debit cards, transport and digital content, including music, software and games. Strategic execution behind new products includes the development of relationships with global consumer product brands. This strategy leverages the global scale of the epay business allowing global brands to be sold in many or all of the countries in which we have a presence. Examples of global brands we distribute include iTunes, Google Play and Microsoft products.</w:t>
      </w:r>
    </w:p>
    <w:p>
      <w:pPr>
        <w:spacing w:after="0" w:line="15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Telecommunications companies and other content providers have a substantial opportunity to increase revenues by diversifying the products and services currently offered to their retailers. epay is deploying additional content through its POS network to retailers and distributors all over the world. The reach, capabilities and quality of the epay network are appealing as a global distribution channel. We are one of the largest worldwide multi-country operators, and have a distinct competitive advantage from the existing relationships that we maintain with prepaid content providers and retailers.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epay business is significantly impacted by seasonality during the fourth quarter and first quarter of each year due to the higher transaction levels during the holiday season and lower levels following the holiday season.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No individual customer of our epay Segment makes up greater than 10% of consolidated total revenues. epay has a contract for the technology and distribution infrastructure for six state-owned lotteries in Germany. In addition, epay has contracts with the state of Florida's (USA) Turnpike partners and Queensland Motorways in Australia. In New Zealand, we have a contract with Glo Bug prepaid power to allow customers to purchase prepaid power through various retail locations. Through Glo Bug, we have a contract with Mercury Energy, the power provider, which is a subsidiary of the government-owned enterprise, Mighty River Power. In Germany, cadooz has a contract with Deutsche Bahn, which is majority owned by the German state. We also have a contract for the distribution of mobile airtime with a Saudi company, which is majority owned by the Saudi government. There are no other government contracts in the epay Segment.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face competition in the prepaid business in all of our markets. We compete with a few multinational companies that operate in several of our markets. In other markets, our competition is from smaller, local companies. The mobile operators in all of our markets have retail distribution networks, and in some markets, on-line distribution of their own through which they offer top-up services for their own products.</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believe our size and market share are competitive advantages in many markets. In addition, our platforms are a competitive advantage. We have extremely flexible technical platforms that enable us to tailor POS solutions to individual retailers and mobile operator requirements where appropriate. Our platforms are also able to provide value added services other than processing which makes us a more valuable partner to the mobile operators and retailers. We have begun to introduce new digital products into the marketplace. Many of these products are not offered by our competitors and in many countries, these are new products. We are capitalizing on being the first to market and only distributor of these products.</w:t>
      </w:r>
    </w:p>
    <w:p>
      <w:pPr>
        <w:spacing w:after="0" w:line="17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principal competitive factors in the epay Segment include price (that is, the level of commission paid to retailers for each transaction), breadth of products and up-time offered on the system. Major retailers with high volumes are in a position to demand a larger share of the commission, which increases the amount of competition among service providers. We are seeing signs that some mobile operators are expanding their distribution networks to provide top-up services on-line or via mobile devices, which provides other alternatives for consumers to use.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provide consumer-to-consumer money transfer services through a global network of more than 216,000 locations and our website riamoneytransfer.com. Most of our money transfers are originated through sending agents in approximately 22 countries, with money transfer delivery completed in 135 countries. The initiation of a money transfer occurs through retail agents, Company-owned stores or online, while the delivery of money transfers can occur with bank correspondents, retailer agents or from certain ATMs. Additionally, our websites allow consumers to send funds online, generally using a credit or debit card, for pay-out directly to a bank account.</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monitor the number of transactions made through our money transfer networks. The number of transactions processed on our entire network has increased over the last five years at a CAGR of approximately 17% as indicated in the following table:</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color w:val="auto"/>
                <w:w w:val="98"/>
              </w:rPr>
              <w:t>(in millions)</w:t>
            </w:r>
          </w:p>
        </w:tc>
        <w:tc>
          <w:tcPr>
            <w:tcW w:w="364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2010</w:t>
            </w:r>
          </w:p>
        </w:tc>
        <w:tc>
          <w:tcPr>
            <w:tcW w:w="1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2011</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360" w:type="dxa"/>
            <w:vAlign w:val="bottom"/>
            <w:gridSpan w:val="2"/>
          </w:tcPr>
          <w:p>
            <w:pPr>
              <w:spacing w:after="0"/>
              <w:rPr>
                <w:sz w:val="20"/>
                <w:szCs w:val="20"/>
                <w:color w:val="auto"/>
              </w:rPr>
            </w:pPr>
            <w:r>
              <w:rPr>
                <w:rFonts w:ascii="Arial" w:cs="Arial" w:eastAsia="Arial" w:hAnsi="Arial"/>
                <w:sz w:val="18"/>
                <w:szCs w:val="18"/>
                <w:color w:val="auto"/>
              </w:rPr>
              <w:t>Money transfer transactions per year</w:t>
            </w:r>
          </w:p>
        </w:tc>
        <w:tc>
          <w:tcPr>
            <w:tcW w:w="2460" w:type="dxa"/>
            <w:vAlign w:val="bottom"/>
            <w:gridSpan w:val="3"/>
          </w:tcPr>
          <w:p>
            <w:pPr>
              <w:jc w:val="right"/>
              <w:ind w:right="400"/>
              <w:spacing w:after="0"/>
              <w:rPr>
                <w:sz w:val="20"/>
                <w:szCs w:val="20"/>
                <w:color w:val="auto"/>
              </w:rPr>
            </w:pPr>
            <w:r>
              <w:rPr>
                <w:rFonts w:ascii="Arial" w:cs="Arial" w:eastAsia="Arial" w:hAnsi="Arial"/>
                <w:sz w:val="18"/>
                <w:szCs w:val="18"/>
                <w:color w:val="auto"/>
              </w:rPr>
              <w:t>19.1</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21.1</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24.3</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30.7</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35.2</w:t>
            </w:r>
          </w:p>
        </w:tc>
      </w:tr>
    </w:tbl>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sending agent network includes a variety of agents, including large/medium size regional retailers, convenience stores, bodegas, multi-service shops and phone centers, which are predominantly found in areas with a large immigrant population. Each money transfer transaction is processed using Euronet's proprietary software system and checked for security, completeness and compliance with federal regulations at every step of the process. Senders can track the progress of their transfers through Ria's customer service representatives, and funds are delivered quickly to their beneficiaries via our extensive payout network, which includes large banks and non-bank financial institutions, post offices and large retailers. Our processing center for the Money Transfer Segment is located in Buena Park, California, USA, and we operate call centers in Buena Park, California; Antiguo Cuscatlán, El Salvador; and Madrid, Spain and provide multi-lingual customer service for both our agents and consumers.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Products and Services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Money Transfer products and services are sold primarily through three channels at agent locations and Company-owned stores: Internet enabled devices at riamoneytransfer.com (“Ria Online”), by phone (“TeleRia”), and card-based over a POS terminal (“Rialink”).</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a Ria Online transaction, customers send funds, generally using a credit or debit card, for pay-out at most of our agent locations around the world or directly to a bank account.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Through our TeleRia service, customers connect to our call center from a telephone available at an agent location or Ria store and a representative collects the information over the telephone and enters it directly into our secure proprietary system. As soon as the data capture is complete, our central system automatically faxes a confirmation receipt to the agent location for the customer to review and sign and the customer pays the agent the money to be transferred, together with a fee. The agent then faxes the signed receipt back to Ria to complete the transaction.</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Transactions through Rialink are similar to on-line transactions, but are initiated over a POS terminal once the customer has completed a one-time enrollment over the phone with our customer service representative. Rialink has shown good results in high volume stores and agent locations due to the speed, efficiency and ease of use of the POS transfer method.</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addition to money transfers, we also offer customers bill payment services, mobile top-up services, payment alternatives such as money orders and prepaid debit cards, comprehensive check cashing services for a wide variety of issued checks, along with competitive foreign currency exchange services. These services are all offered through our Company-owned stores while select services are offered through our agents in certain markets.</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Ria money orders are widely recognized and exchanged throughout the United States, South America, and around the world. Our check cashing services cover payroll and personal checks, cashier checks, tax refund checks, government checks, insurance drafts and money orders. Our bill payment services offer timely posting of customer bills for over 100 companies, including electric and gas utilities and telephone/wireless companies. Bill payment services are offered primarily in the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Revenues in the Money Transfer Segment are primarily derived through the charging of a transaction fee, as well as a margin earned from purchasing foreign currency at wholesale exchange rates and selling the foreign currency to consumers at retail exchange rates. Sending agents and receiving agents each earn fees for cash collection and distribution services. Euronet recognizes these fees as direct operating costs at the time of sale.</w:t>
      </w:r>
    </w:p>
    <w:p>
      <w:pPr>
        <w:spacing w:after="0" w:line="16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We are one of the largest global money transfer companies in terms of revenues and transaction volumes. Our Money Transfer Segment processed approximately $9.2 billion in money transfers in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 Strategy</w:t>
      </w:r>
    </w:p>
    <w:p>
      <w:pPr>
        <w:spacing w:after="0" w:line="22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Money Transfer Segment's strategy is to increase the volume of money transfers processed by leveraging our existing banking and merchant/retailer relationships to expand our agent and correspondent networks in existing corridors. In addition, we pursue expansion into high-potential money transfer corridors from the U.S. and internationally beyond the traditional U.S. to Mexico corridor. Further, we expect to continue to take advantage of cross-selling opportunities with our epay and EFT Processing Segments by providing prepaid services through Ria's stores and agents, and offering our money transfer services at select prepaid retail locations and ATMs we operate in key markets. We will continue to make investments in our systems to support this growth.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money transfer business is significantly impacted by seasonality that varies by region. In most of our markets, we experience increased money transfer transaction levels during the month of May and in the fourth quarter of each year, coinciding with various holidays. Additionally, in the U.S. to Mexico corridor, we usually experience our heaviest volume during the May through October timeframe, coinciding with the increase in worker migration patterns and various holidays, and our lowest volumes during the first quarter.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 individual customer of our Money Transfer Segment makes up greater than 10% of consolidated total revenues. The Money Transfer Segment maintains correspondent relationships with a number of financial institutions whose ownership includes governments of the correspondents' countries of origin. Those countries include Armenia, Bangladesh, Benin, Brazil, Bosnia-Herzegovina, Burundi, Cape Verde, China, Costa Rica, Cote d'Ivoire, Croatia, Ecuador, Egypt, Eritrea, Ethiopia, Ghana, Guatemala, Guyana, Hungary, Indonesia, Mali, Mexico, Mongolia, Pakistan, Philippines, Poland, Portugal, Romania, Senegal, Serbia, Slovenia, Togo, Tunisia, Uganda, Ukraine and Vietnam.</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primary competitors in the money transfer and bill payment business include other independent processors and electronic money transmitters, as well as certain major national and regional banks, financial institutions and independent sales organizations. Our competitors include The Western Union Company, MoneyGram International Inc. and others, some of which are larger than us and have greater resources and access to capital for expansion than we do. This may allow them to offer better pricing terms to customers, agents or correspondents, which may result in a loss of our current or potential customers or could force us to lower our prices. In addition to traditional money payment services, new technologies are emerging that may effectively compete with traditional money payment services, such as stored-value cards, debit networks and Web-based services. Our continued growth also depends upon our ability to compete effectively with these alternative technologies.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Product Research, Development and Enhancement</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the EFT Processing Segment, development has historically focused on expanding the range of services offered to our bank customers from ATM and POS outsourcing to card processing and software services.</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are committed to the maintenance and improvement of our software products. We regularly engage in software product development and enhancement activities aimed at the development and delivery of new products, services and processes to our customers. Our research and development costs for software products to be sold, leased or otherwise marketed totaled $7.3 million, $5.8 million, and $3.7 million in 2013, 2012 and 2011, respectively. Development costs that were capitalized totaled $4.9 million, $3.9 million and $2.6 million in 2013, 2012 and 2011, respectively.</w:t>
      </w:r>
    </w:p>
    <w:p>
      <w:pPr>
        <w:spacing w:after="0" w:line="17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our epay Segment, development has focused on expanding the types of electronic payment products and services available to consumers over our network to include, for example, prepaid vouchers, transport payments, lottery payments, gift and debit cards, and bill payment capabilities. This is intended to make our offerings more attractive to retailers.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the Money Transfer Segment, development has focused on expanding our services to Internet enabled devices through our riamoneytransfer.com website.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is intended to expand our customer base in existing and new corridors.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Information by Geographic Area</w:t>
      </w:r>
    </w:p>
    <w:p>
      <w:pPr>
        <w:spacing w:after="0" w:line="229"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For information on results of operations, property and equipment, and total assets by geographic location, please see Note 16, Business Segment Information, to the Consolidated Financial Statements. Additionally, see Item 1A - Risk Factors, for risk factors related to foreign operations.</w:t>
      </w:r>
    </w:p>
    <w:p>
      <w:pPr>
        <w:jc w:val="center"/>
        <w:ind w:right="-19"/>
        <w:spacing w:after="0"/>
        <w:rPr>
          <w:sz w:val="20"/>
          <w:szCs w:val="20"/>
          <w:color w:val="auto"/>
        </w:rPr>
      </w:pPr>
      <w:r>
        <w:rPr>
          <w:rFonts w:ascii="Arial" w:cs="Arial" w:eastAsia="Arial" w:hAnsi="Arial"/>
          <w:sz w:val="18"/>
          <w:szCs w:val="18"/>
          <w:b w:val="1"/>
          <w:bCs w:val="1"/>
          <w:color w:val="auto"/>
        </w:rPr>
        <w:t>Employees</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had approximately 4,100, 3,900 and 3,800 employees as of December 31, 2013, 2012, and 2011, respectively. We believe our future success will depend in part on our ability to continue to recruit, retain and motivate qualified management, technical and administrative employees. Currently, no union represents any of our employees, except in our Spanish subsidiary. We experienced no work stoppages or strikes by our workforce in 2013 and we consider relations with our employees to be good.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discussed below, certain of our business activities are subject to regulation in some of our current markets. In the Money Transfer Segment, we are subject to a wide variety of laws and regulations of the U.S., individual U.S. states and foreign governments. These include international, federal and state anti-money laundering laws and regulations, money transfer and payment instrument licensing laws, escheat laws, laws covering consumer privacy, data protection and information security and consumer disclosure and consumer protection laws. Our operations have also been subject to increasingly strict requirements intended to help prevent and detect a variety of illegal financial activity, including money laundering, terrorist financing, unauthorized access to personal customer data and other illegal activities. The more significant of these laws and regulations are discussed below. Noncompliance with these laws and requirements could result in the loss or suspension of licenses or registrations required to provide money transfer services by either Ria or its agents. For more discussion, see Item 1A - Risk Factors.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Any expansion of our activity into areas that are qualified as “financial activity” under local legislation may subject us to licensing and we may be required to comply with various conditions to obtain such licenses. Moreover, the interpretations of bank regulatory authorities as to the activity we currently conduct might change in the future. We monitor our business for compliance with applicable laws or regulations regarding financial activities.</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Certain of our European product offerings, including in particular, our money transfer services, merchant acquiring and bill payment products are subject to the Payment Services Directive (“PSD”) as implemented in each European country. The PSD initiative requires a license to be obtained to perform certain defined "payment services" in a European country and such license may be extended throughout the European Economic Area Member States ("Member States") through passporting. Conditions for obtaining the license include minimum capital requirements, establishment of procedures for safeguarding of funds, and certain governance and reporting requirements. In addition, certain obligations relating to internal controls and the conduct of business, in particular, consumer disclosure requirements and certain rules regarding the timing and settlement of payments, must be met. We have obtained authorization as a payment institution in the U.K., France, Germany, and Spain and are complying with these requirements. To date, we have passported our U.K. authorization to thirteen host member states operating under the PSD. Additionally, in the U.K., we have obtained an e-money license. The e-money license allows Euronet to issue e-money and provide the same services as a PSD licensee. The e-money license imposes certain requirements similar to those of the payment services license, including minimum capital requirements, consumer disclosure and internal controls and can be passported to Member States. Our e-money license is currently operating in nine Member States.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and Payment Instrument Licensing</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Licensing requirements in the U.S. are generally driven by the various state banking departments regulating the businesses of money transfers and issuances of payment instruments. Typical requirements include the meeting of minimum net worth requirements, maintaining permissible investments (e.g., cash, agent receivables, and government-backed securities) at levels commensurate with outstanding payment obligations and the filing of a security instrument (typically in the form of a surety bond) to offset the risk of default of trustee obligations by the license holder. We are required by many regulators to file interim reports of licensed activity, most often on a quarterly basis, that address changes to agent and branch locations, operating and financial performance, permissible investments and outstanding transmission liabilities. These periodic reports are utilized by the regulator to monitor ongoing compliance with state licensing laws. A number of major state regulators also conduct periodic examinations of license holders and their authorized delegates, generally with a frequency of every one to two years. Examinations are most often comprehensive in nature, addressing both the safety and soundness and overall compliance by the license holder with regard to state and federal regulations. Such examinations are typically performed on-site at the license holder's headquarters or operations center; however, a number of states will choose to perform examinations off-site.</w:t>
      </w:r>
    </w:p>
    <w:p>
      <w:pPr>
        <w:spacing w:after="0" w:line="16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Money transmitters, issuers of payment instruments and their agents are required to comply with U.S. federal, state and/or foreign anti-money laundering laws and regulations. In summary, our Money Transfer Segment, as well as our agent network, is subject to regulations issued by the different state and foreign national regulators who license us, Office of Foreign Assets Control (“OFAC”), the Bank Secrecy Act as amended by the USA PATRIOT ACT (“BSA”), the Financial Crimes Enforcement Network (“FINCEN”), as well as any existing or future regulations that impact any aspect of our money transfer business.</w:t>
      </w:r>
    </w:p>
    <w:p>
      <w:pPr>
        <w:spacing w:after="0" w:line="15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 similar set of regulations applies to our money transfer businesses in most of the foreign countries in which we originate transactions. These laws and regulations include monetary limits for money transfers into or out of a country, rules regarding the foreign currency exchange rates offered, as well as other limitations or rules for which we must maintain compliance.</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Regulatory bodies in the U.S. and abroad may impose additional rules on the conduct of our Money Transfer Segment that could have a significant impact on our operations and our agent network. In this regard, the U.S. federal government has proposed new U.S. federal regulations for electronic money transfers. Prior to the passage of the Dodd-Frank Wall Street Reform and Consumer Protection Act on July 21, 2010 (“Dodd-Frank Act”), international money transfers were generally not addressed by existing federal consumer protection regulations. The Dodd-Frank Act expanded the scope of the Electronic Fund Transfer Act to provide protections for senders of remittance transfers. On January 20, 2012, the Consumer Financial Protection Bureau, established under the Dodd-Frank Act on July 21, 2011 with authority to implement the new consumer protective measures, adopted a new rule designed to increase protections for consumers sending money to foreign countries. This rule provides new protections, including disclosures and error resolution and cancellation rights, to consumers who send remittance transfers abroad.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Escheat Regulations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Money Transfer Segment is subject to the unclaimed or abandoned property (i.e., “escheat”) regulations of the United States and certain foreign countries in which we operate. These laws require us to turn over property held by Euronet on behalf of others remaining unclaimed after specified periods of time (i.e., “dormancy” or “escheat” periods). Such abandoned property is generally attributable to the failure of beneficiary parties to claim money transfers or the failure to negotiate money orders, a form of payment instrument. We have policies and programs in place to help us monitor the required information relating to each money transfer or payment instrument for possible eventual reporting to the jurisdiction from which the order was originally received. In the U.S., reporting of unclaimed property by money service companies is performed annually, generally with a due date of on or before November 1. State banking department regulators will typically include a review of Euronet escheat procedures and related filings as part of their examination protocol.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Information Security Regulations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Money Transfer Segment operations involve the collection and storage of certain types of personal customer data that are subject to privacy and security laws in the U.S. and abroad. In the United States, we are subject to the Gramm-Leach-Bliley Act (“GLBA”), which requires that financial institutions have in place policies regarding the collection, processing, storage and disclosure of information considered nonpublic personal information. Laws in other countries include those adopted by the member states of the European Union under Directive 95/46 EC of the European Parliament and of the Council of 24 October 1995 (the “Directive”), as well as the laws of other countries. The Directive prohibits the transfer of personal data to non-European Union member nations that do not provide adequate protection for personal data. In some cases, the privacy laws of an EU member state may be more restrictive than the Directive and may impose additional requirements that we must comply with to operate in the respective country. Generally, these laws restrict the collection, processing, storage, use and disclosure of personal information and require that we safeguard personal customer data to prevent unauthorized access.</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comply with the GLBA and state privacy provisions. In addition, we comply with the Directive using the safe harbor permitted by the Directive by filing with the U.S. Department of Commerce, publicly declaring our privacy policy for information collected outside of the U.S., posting our privacy policy on our Website and requiring our agents in the European Union to notify customers of the privacy policy.</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Recently, as identity theft has been on the rise, there has been increased public attention to concerns about information security and consumer privacy, accompanied by laws and regulations addressing the issue. We believe we are compliant with these laws and regulations; however, this is a rapidly evolving area and there can be no assurance that we will continue to meet the existing and new regulations, which could have a material, adverse impact on our Money Transfer Segment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Anti-corruption and Bribery</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are subject to the Foreign Corrupt Practices Act ("FCPA"), which prohibits U.S. and other business entities from making improper payments to foreign government officials, political parties or political party officials. We are also subject to the applicable anti-corruption laws in the jurisdictions in which we operate, such as the U.K. Bribery Act, thus potentially exposing us to liability and potential penalties in multiple jurisdictions. The anti-corruption provisions of the FCPA are enforced by the United States Department of Justice. In addition, the Securities and Exchange Commission requires strict compliance with certain accounting and internal control standards set forth under the FCPA. Because our services are offered in many countries throughout the world, we face a higher risk associated with FCPA, the U.K. Bribery Act and other similar laws than many other companies and we have policies and procedures in place to address compliance with the FCPA, the U.K. Bribery Act and other similar laws. Any determination that we have violated these laws could have an adverse effect on our business, financial position and results of operations. Failure to comply with our policies and procedures and the FCPA and other laws can expose Euronet and/or individual employees to potentially severe criminal and civil penalties. Such penalties could have a material adverse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Compliance Policies and Programs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developed risk-based policies and programs to comply with the existing, new or changed laws, regulations and other requirements outlined above, including having dedicated compliance personnel, training programs, automated monitoring systems and support functions for our offices and agents. To assist in managing and monitoring our money laundering and terrorist financing risks, we continue to have our compliance programs, in many countries, independently examined on an annual basis. In addition, we continue to enhance our anti-money laundering and counter-terrorist financing compliance policy, procedures and monitoring systems.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Each of our three operating segments utilizes intellectual property which is protected in varying degrees by a combination of trademark, patent and copyright laws, as well as trade secret protection, license and confidentiality agreements.</w:t>
      </w:r>
    </w:p>
    <w:p>
      <w:pPr>
        <w:spacing w:after="0" w:line="17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brand names of “Ria,” "Ria Financial Services" and “Ria Envia,” derivations of those brand names and certain other brand names are material to our Money Transfer Segment and are registered trademarks and/or service marks in most of the markets in which our Money Transfer Segment operates. Consumer perception of these brand names is important to the growth prospects of our money transfer business. We also hold a U.S. patent on a card-based money transfer and bill payment system that allows transactions to be initiated primarily through POS terminals and integrated cash register systems.</w:t>
      </w:r>
    </w:p>
    <w:p>
      <w:pPr>
        <w:spacing w:after="0" w:line="15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With respect to our EFT Processing Segment, we have registered or applied for registration of our trademarks, including the names “Euronet” and “Bankomat” and/or the blue diamond logo, as well as other trade names in most markets in which these trademarks are used. Certain trademark authorities have notified us that they consider these trademarks to be generic and, therefore, not protected by trademark laws. This determination does not affect our ability to use the Euronet trademark in those markets, but it would prevent us from stopping other parties from using it in competition with Euronet. We have registered the “Euronet” trademark in the class of ATM machines in Germany, the U.K. and certain other Western European countries. We have filed pending patent applications for a number of our new software products and our new processing technology, including our recharge services.</w:t>
      </w:r>
    </w:p>
    <w:p>
      <w:pPr>
        <w:spacing w:after="0" w:line="16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With respect to our epay Segment, we have filed trademark applications for the “epay” brand in the U.S., U.K., the European Union (“E.U.”) through a Community Trademark application, Brazil, India, Australia and New Zealand. The epay trademark has issued to registration in the U.S., U.K., the E.U., Australia and New Zealand. The trademark applications in the other jurisdictions are still pending. We cannot be certain that we are entitled to use the epay trademark in any markets other than those in which we have registered the trademark. We have filed patent applications for some of our POS recharge and certain other products in support of epay technology. Certain patents have been granted while others have been refused or are still pending. We also hold a patent license covering certain of epay's operations in the U.S.</w:t>
      </w:r>
    </w:p>
    <w:p>
      <w:pPr>
        <w:spacing w:after="0" w:line="19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Technology in the areas in which we operate is developing very rapidly, and we are aware that many other companies have filed patent applications for products, processes and services similar to those we provide. The procedures of the U.S. patent office make it impossible for us to predict whether our patent applications will be approved or will be granted priority dates that are earlier than other patents that have been filed for similar products or services. Moreover, many “process patents” have been filed in the U.S. over recent years covering processes that are in wide use in the money transfer, EFT and prepaid processing industries. If any of these patents are considered to cover technology that has been incorporated into our systems, we may be required to obtain additional licenses and pay royalties to the holders of such patents to continue to use the affected technology or be prohibited from continuing the offering of such services if licenses are not obtained. This could materially and adversely affect our business.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age, period of service and position held by each of our Executive Officers as of February 27, 2014 are as follows:</w:t>
      </w:r>
    </w:p>
    <w:p>
      <w:pPr>
        <w:spacing w:after="0" w:line="379"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20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Name</w:t>
            </w:r>
          </w:p>
        </w:tc>
        <w:tc>
          <w:tcPr>
            <w:tcW w:w="940" w:type="dxa"/>
            <w:vAlign w:val="bottom"/>
            <w:tcBorders>
              <w:bottom w:val="single" w:sz="8" w:color="auto"/>
            </w:tcBorders>
          </w:tcPr>
          <w:p>
            <w:pPr>
              <w:jc w:val="center"/>
              <w:ind w:left="252"/>
              <w:spacing w:after="0"/>
              <w:rPr>
                <w:sz w:val="20"/>
                <w:szCs w:val="20"/>
                <w:color w:val="auto"/>
              </w:rPr>
            </w:pPr>
            <w:r>
              <w:rPr>
                <w:rFonts w:ascii="Arial" w:cs="Arial" w:eastAsia="Arial" w:hAnsi="Arial"/>
                <w:sz w:val="14"/>
                <w:szCs w:val="14"/>
                <w:b w:val="1"/>
                <w:bCs w:val="1"/>
                <w:color w:val="auto"/>
                <w:w w:val="90"/>
              </w:rPr>
              <w:t>Age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Served Since</w:t>
            </w:r>
          </w:p>
        </w:tc>
        <w:tc>
          <w:tcPr>
            <w:tcW w:w="5960" w:type="dxa"/>
            <w:vAlign w:val="bottom"/>
            <w:tcBorders>
              <w:bottom w:val="single" w:sz="8" w:color="auto"/>
            </w:tcBorders>
          </w:tcPr>
          <w:p>
            <w:pPr>
              <w:ind w:left="2620"/>
              <w:spacing w:after="0"/>
              <w:rPr>
                <w:sz w:val="20"/>
                <w:szCs w:val="20"/>
                <w:color w:val="auto"/>
              </w:rPr>
            </w:pPr>
            <w:r>
              <w:rPr>
                <w:rFonts w:ascii="Arial" w:cs="Arial" w:eastAsia="Arial" w:hAnsi="Arial"/>
                <w:sz w:val="14"/>
                <w:szCs w:val="14"/>
                <w:b w:val="1"/>
                <w:bCs w:val="1"/>
                <w:color w:val="auto"/>
              </w:rPr>
              <w:t>Position Held</w:t>
            </w: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Michael J. Brown</w:t>
            </w:r>
          </w:p>
        </w:tc>
        <w:tc>
          <w:tcPr>
            <w:tcW w:w="940" w:type="dxa"/>
            <w:vAlign w:val="bottom"/>
            <w:tcBorders>
              <w:bottom w:val="single" w:sz="8" w:color="CCEEFF"/>
            </w:tcBorders>
            <w:shd w:val="clear" w:color="auto" w:fill="CCEEFF"/>
          </w:tcPr>
          <w:p>
            <w:pPr>
              <w:jc w:val="center"/>
              <w:ind w:left="232"/>
              <w:spacing w:after="0"/>
              <w:rPr>
                <w:sz w:val="20"/>
                <w:szCs w:val="20"/>
                <w:color w:val="auto"/>
              </w:rPr>
            </w:pPr>
            <w:r>
              <w:rPr>
                <w:rFonts w:ascii="Arial" w:cs="Arial" w:eastAsia="Arial" w:hAnsi="Arial"/>
                <w:sz w:val="18"/>
                <w:szCs w:val="18"/>
                <w:color w:val="auto"/>
                <w:w w:val="89"/>
              </w:rPr>
              <w:t>57</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1994</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Chairman and Chief Executive Officer</w:t>
            </w: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Kevin J. Caponecchi</w:t>
            </w:r>
          </w:p>
        </w:tc>
        <w:tc>
          <w:tcPr>
            <w:tcW w:w="940" w:type="dxa"/>
            <w:vAlign w:val="bottom"/>
          </w:tcPr>
          <w:p>
            <w:pPr>
              <w:jc w:val="center"/>
              <w:ind w:left="232"/>
              <w:spacing w:after="0"/>
              <w:rPr>
                <w:sz w:val="20"/>
                <w:szCs w:val="20"/>
                <w:color w:val="auto"/>
              </w:rPr>
            </w:pPr>
            <w:r>
              <w:rPr>
                <w:rFonts w:ascii="Arial" w:cs="Arial" w:eastAsia="Arial" w:hAnsi="Arial"/>
                <w:sz w:val="18"/>
                <w:szCs w:val="18"/>
                <w:color w:val="auto"/>
                <w:w w:val="89"/>
              </w:rPr>
              <w:t>47</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July 2007</w:t>
            </w:r>
          </w:p>
        </w:tc>
        <w:tc>
          <w:tcPr>
            <w:tcW w:w="5960" w:type="dxa"/>
            <w:vAlign w:val="bottom"/>
          </w:tcPr>
          <w:p>
            <w:pPr>
              <w:ind w:left="140"/>
              <w:spacing w:after="0"/>
              <w:rPr>
                <w:sz w:val="20"/>
                <w:szCs w:val="20"/>
                <w:color w:val="auto"/>
              </w:rPr>
            </w:pPr>
            <w:r>
              <w:rPr>
                <w:rFonts w:ascii="Arial" w:cs="Arial" w:eastAsia="Arial" w:hAnsi="Arial"/>
                <w:sz w:val="18"/>
                <w:szCs w:val="18"/>
                <w:color w:val="auto"/>
              </w:rPr>
              <w:t>President</w:t>
            </w:r>
          </w:p>
        </w:tc>
      </w:tr>
      <w:tr>
        <w:trPr>
          <w:trHeight w:val="27"/>
        </w:trPr>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Rick L. Weller</w:t>
            </w:r>
          </w:p>
        </w:tc>
        <w:tc>
          <w:tcPr>
            <w:tcW w:w="940" w:type="dxa"/>
            <w:vAlign w:val="bottom"/>
            <w:tcBorders>
              <w:bottom w:val="single" w:sz="8" w:color="CCEEFF"/>
            </w:tcBorders>
            <w:shd w:val="clear" w:color="auto" w:fill="CCEEFF"/>
          </w:tcPr>
          <w:p>
            <w:pPr>
              <w:jc w:val="center"/>
              <w:ind w:left="232"/>
              <w:spacing w:after="0"/>
              <w:rPr>
                <w:sz w:val="20"/>
                <w:szCs w:val="20"/>
                <w:color w:val="auto"/>
              </w:rPr>
            </w:pPr>
            <w:r>
              <w:rPr>
                <w:rFonts w:ascii="Arial" w:cs="Arial" w:eastAsia="Arial" w:hAnsi="Arial"/>
                <w:sz w:val="18"/>
                <w:szCs w:val="18"/>
                <w:color w:val="auto"/>
                <w:w w:val="89"/>
              </w:rPr>
              <w:t>56</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November 2002</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Executive Vice President - Chief Financial Officer</w:t>
            </w: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Jeffrey B. Newman</w:t>
            </w:r>
          </w:p>
        </w:tc>
        <w:tc>
          <w:tcPr>
            <w:tcW w:w="940" w:type="dxa"/>
            <w:vAlign w:val="bottom"/>
          </w:tcPr>
          <w:p>
            <w:pPr>
              <w:jc w:val="center"/>
              <w:ind w:left="232"/>
              <w:spacing w:after="0"/>
              <w:rPr>
                <w:sz w:val="20"/>
                <w:szCs w:val="20"/>
                <w:color w:val="auto"/>
              </w:rPr>
            </w:pPr>
            <w:r>
              <w:rPr>
                <w:rFonts w:ascii="Arial" w:cs="Arial" w:eastAsia="Arial" w:hAnsi="Arial"/>
                <w:sz w:val="18"/>
                <w:szCs w:val="18"/>
                <w:color w:val="auto"/>
                <w:w w:val="89"/>
              </w:rPr>
              <w:t>59</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December 1996</w:t>
            </w:r>
          </w:p>
        </w:tc>
        <w:tc>
          <w:tcPr>
            <w:tcW w:w="5960" w:type="dxa"/>
            <w:vAlign w:val="bottom"/>
          </w:tcPr>
          <w:p>
            <w:pPr>
              <w:ind w:left="140"/>
              <w:spacing w:after="0"/>
              <w:rPr>
                <w:sz w:val="20"/>
                <w:szCs w:val="20"/>
                <w:color w:val="auto"/>
              </w:rPr>
            </w:pPr>
            <w:r>
              <w:rPr>
                <w:rFonts w:ascii="Arial" w:cs="Arial" w:eastAsia="Arial" w:hAnsi="Arial"/>
                <w:sz w:val="18"/>
                <w:szCs w:val="18"/>
                <w:color w:val="auto"/>
              </w:rPr>
              <w:t>Executive Vice President - General Counsel</w:t>
            </w:r>
          </w:p>
        </w:tc>
      </w:tr>
      <w:tr>
        <w:trPr>
          <w:trHeight w:val="27"/>
        </w:trPr>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Juan C. Bianchi</w:t>
            </w:r>
          </w:p>
        </w:tc>
        <w:tc>
          <w:tcPr>
            <w:tcW w:w="940" w:type="dxa"/>
            <w:vAlign w:val="bottom"/>
            <w:tcBorders>
              <w:bottom w:val="single" w:sz="8" w:color="CCEEFF"/>
            </w:tcBorders>
            <w:shd w:val="clear" w:color="auto" w:fill="CCEEFF"/>
          </w:tcPr>
          <w:p>
            <w:pPr>
              <w:jc w:val="center"/>
              <w:ind w:left="232"/>
              <w:spacing w:after="0"/>
              <w:rPr>
                <w:sz w:val="20"/>
                <w:szCs w:val="20"/>
                <w:color w:val="auto"/>
              </w:rPr>
            </w:pPr>
            <w:r>
              <w:rPr>
                <w:rFonts w:ascii="Arial" w:cs="Arial" w:eastAsia="Arial" w:hAnsi="Arial"/>
                <w:sz w:val="18"/>
                <w:szCs w:val="18"/>
                <w:color w:val="auto"/>
                <w:w w:val="89"/>
              </w:rPr>
              <w:t>43</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April 2007</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Executive Vice President - Managing Director, Money Transfer Segment</w:t>
            </w: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Nikos Fountas</w:t>
            </w:r>
          </w:p>
        </w:tc>
        <w:tc>
          <w:tcPr>
            <w:tcW w:w="940" w:type="dxa"/>
            <w:vAlign w:val="bottom"/>
          </w:tcPr>
          <w:p>
            <w:pPr>
              <w:jc w:val="center"/>
              <w:ind w:left="232"/>
              <w:spacing w:after="0"/>
              <w:rPr>
                <w:sz w:val="20"/>
                <w:szCs w:val="20"/>
                <w:color w:val="auto"/>
              </w:rPr>
            </w:pPr>
            <w:r>
              <w:rPr>
                <w:rFonts w:ascii="Arial" w:cs="Arial" w:eastAsia="Arial" w:hAnsi="Arial"/>
                <w:sz w:val="18"/>
                <w:szCs w:val="18"/>
                <w:color w:val="auto"/>
                <w:w w:val="89"/>
              </w:rPr>
              <w:t>50</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2009</w:t>
            </w:r>
          </w:p>
        </w:tc>
        <w:tc>
          <w:tcPr>
            <w:tcW w:w="5960" w:type="dxa"/>
            <w:vAlign w:val="bottom"/>
          </w:tcPr>
          <w:p>
            <w:pPr>
              <w:ind w:left="140"/>
              <w:spacing w:after="0"/>
              <w:rPr>
                <w:sz w:val="20"/>
                <w:szCs w:val="20"/>
                <w:color w:val="auto"/>
              </w:rPr>
            </w:pPr>
            <w:r>
              <w:rPr>
                <w:rFonts w:ascii="Arial" w:cs="Arial" w:eastAsia="Arial" w:hAnsi="Arial"/>
                <w:sz w:val="18"/>
                <w:szCs w:val="18"/>
                <w:color w:val="auto"/>
                <w:w w:val="90"/>
              </w:rPr>
              <w:t>Executive Vice President - Managing Director, Europe EFT Processing Segment</w:t>
            </w:r>
          </w:p>
        </w:tc>
      </w:tr>
      <w:tr>
        <w:trPr>
          <w:trHeight w:val="27"/>
        </w:trPr>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Martin L. Bruckner</w:t>
            </w:r>
          </w:p>
        </w:tc>
        <w:tc>
          <w:tcPr>
            <w:tcW w:w="940" w:type="dxa"/>
            <w:vAlign w:val="bottom"/>
            <w:tcBorders>
              <w:bottom w:val="single" w:sz="8" w:color="CCEEFF"/>
            </w:tcBorders>
            <w:shd w:val="clear" w:color="auto" w:fill="CCEEFF"/>
          </w:tcPr>
          <w:p>
            <w:pPr>
              <w:jc w:val="center"/>
              <w:ind w:left="232"/>
              <w:spacing w:after="0"/>
              <w:rPr>
                <w:sz w:val="20"/>
                <w:szCs w:val="20"/>
                <w:color w:val="auto"/>
              </w:rPr>
            </w:pPr>
            <w:r>
              <w:rPr>
                <w:rFonts w:ascii="Arial" w:cs="Arial" w:eastAsia="Arial" w:hAnsi="Arial"/>
                <w:sz w:val="18"/>
                <w:szCs w:val="18"/>
                <w:color w:val="auto"/>
                <w:w w:val="89"/>
              </w:rPr>
              <w:t>38</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2014</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Senior Vice President - Chief Technology Officer</w:t>
            </w:r>
          </w:p>
        </w:tc>
      </w:tr>
      <w:tr>
        <w:trPr>
          <w:trHeight w:val="675"/>
        </w:trPr>
        <w:tc>
          <w:tcPr>
            <w:tcW w:w="2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960" w:type="dxa"/>
            <w:vAlign w:val="bottom"/>
          </w:tcPr>
          <w:p>
            <w:pPr>
              <w:ind w:left="64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340"/>
          </w:cols>
          <w:pgMar w:left="240" w:top="125" w:right="3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MICHAEL J. BROWN, Chairman and Chief Executive Officer. Mr. Brown is one of the founders of Euronet and has served as our Chairman of the Board and Chief Executive Officer since 1996. He also co-founded our predecessor company in 1994. Mr. Brown has been a Director of Euronet since our incorporation in December 1996 and previously served on the boards of Euronet's predecessor companies. In 1979, Mr. Brown founded Innovative Software, Inc., a computer software company that was merged in 1988 with Informix. Mr. Brown served as President and Chief Operating Officer of Informix from February 1988 to January 1989. He served as President of the Workstation Products Division of Informix from January 1989 until April 1990. In 1993, Mr. Brown was a founding investor of Visual Tools, Inc. Visual Tools, Inc. was acquired by Sybase Software in 1996. Mr. Brown received a B.S. in Electrical Engineering from the University of Missouri - Columbia in 1979 and a M.S. in Molecular and Cellular Biology at the University of Missouri - Kansas City in 1997.</w:t>
      </w:r>
    </w:p>
    <w:p>
      <w:pPr>
        <w:spacing w:after="0" w:line="192"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KEVIN J. CAPONECCHI, President. Mr. Caponecchi joined Euronet as President in July 2007. Prior to joining Euronet, Mr. Caponecchi served in various capacities with subsidiaries of General Electric Company for 17 years. From 2003 until June 2007, Mr. Caponecchi served as President of GE Global Signaling, a provider of products and services to freight, passenger and mass transit systems. From 1998 through 2002, Mr. Caponecchi served as General Manager - Technology for GE Consumer &amp; Industrial, a provider of consumer appliances, lighting products and electrical products. Mr. Caponecchi holds degrees in physics from Franklin and Marshall College and industrial engineering from Columbia University.</w:t>
      </w:r>
    </w:p>
    <w:p>
      <w:pPr>
        <w:spacing w:after="0" w:line="17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RICK L. WELLER, Executive Vice President, Chief Financial Officer. Mr. Weller has been Executive Vice President and Chief Financial Officer of Euronet since he joined Euronet in November 2002. From January 2002 to October 2002, he was the sole proprietor of Pivotal Associates, a business development firm. From November 1999 to December 2001, Mr. Weller held the position of Chief Operating Officer of ionex telecommunications, inc., a local exchange company. He is a certified public accountant and received his B.S. in Accounting from the University of Central Missouri.</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JEFFREY B. NEWMAN, Executive Vice President, General Counsel. Mr. Newman has been Executive Vice President and General Counsel of Euronet since January 2000. He joined Euronet in December 1996 as Vice President and General Counsel. Prior to this, he practiced law with the Washington, D.C. based law firm of Arent Fox Kintner Plotkin &amp; Kahn and the Paris based law firm of Salans Hertzfeld &amp; Heilbronn. He is a member of the District of Columbia, California and Paris, France bars. He received a B.A. in Political Science and French from Ohio University in 1976 and law degrees from Ohio State University and the University of Paris.</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JUAN C. BIANCHI, Executive Vice President - Managing Director, Money Transfer Segment. Mr. Bianchi joined Euronet subsequent to the acquisition of Ria in 2007. Prior to the acquisition, Mr. Bianchi served as the Chief Executive Officer of Ria and has spent his entire career at either Ria or AFEX Money Express, a money transfer company purchased by Ria's founders. Mr. Bianchi began his career at AFEX in Chile in 1992, joined AFEX USA's operations in 1996, and became chief operating officer of AFEX-Ria in 2003. Mr. Bianchi studied business at the Universidad Andres Bello in Chile and completed the Executive Program in Management at UCLA's John E. Anderson School of Business.</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NIKOS FOUNTAS, Executive Vice President - Managing Director, Europe EFT Processing Segment. Mr. Fountas has been Executive Vice President of the Company's EFT Processing Segment in Europe since December 2012. Mr. Fountas joined Euronet subsequent to the Company's 2005 acquisition of Instreamline S.A. (now Euronet Card Services) in Greece. He served as managing director of the Company's Greece EFT subsidiary, responsible for Euronet's European card processing and cross-border acquiring operations until September 2009. In September 2009, Mr. Fountas took over responsibilities as managing director of Euronet's Europe EFT Processing Segment. Prior to joining Euronet, Mr. Fountas spent over 20 years working in management and executive-level positions in the IT field for several companies, including IBM for 12 years. He has a degree in computer science (Honors) from York University in Canada and post graduate studies in business administration from Henley Management School and IBM Business Professional Institute.</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MARTIN L. BRUCKNER, Senior Vice President - Chief Technology Officer. Mr. Bruckner has been Senior Vice President and Chief Technology Officer of Euronet since January 2014. Mr. Bruckner joined Euronet in 2007 as head of software development and IT operations for Transact GmbH. In 2009, he was promoted to Chief Technology Officer of Euronet's epay segment. Prior to joining Euronet, Mr. Bruckner established his own IT company called MLB Development GmbH, where he developed software systems for various European companies. Mr. Bruckner has more than 20 years of software development experience and published his first software product (BBS systems) at the age of 15. He received a Doctorate of Law from the University of Rostock and a law degree from the University of Bielefeld.</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Availability of Reports, Certain Committee Charters and Other Information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Website addresses are www.euronetworldwide.com and www.eeft.com. We make available all Securities and Exchange Commission (“SEC”) public filings, including our annual reports on Form 10-K, quarterly reports on Form 10-Q, current reports on Form 8-K, and all amendments to those reports filed or furnished pursuant to Sections 13(a) or 15(d) of the Securities Exchange Act of 1934, as amended ("Exchange Act") on our Websites free of charge as soon as reasonably practicable after these documents are electronically filed with, or furnished to, the SEC. The information on our Websites is not, and shall not be deemed to be, a part of this report or incorporated into any other filings we make with the SEC. In addition, our SEC filings are made available via the SEC's EDGAR filing system accessible at www.sec.gov.</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charters for our Audit, Compensation, and Corporate Governance and Nominating Committees, as well as the Code of Business Conduct &amp; Ethics for our employees, including our Chief Executive Officer and Chief Financial Officer, are available on our Website at www.euronetworldwide.com in the “Investor Relations” section.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Our operations are subject to a number of risks and uncertainties, including those described below. You should carefully consider the risks described below before making an investment decision. The risks and uncertainties described below are not necessarily organized in order of priority or probability.</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any of the following risks actually occurs, our business, financial condition or results of operations could be materially adversely affected. In that case, the trading price of our Common Stock could decline substantially.</w:t>
      </w:r>
    </w:p>
    <w:p>
      <w:pPr>
        <w:spacing w:after="0" w:line="17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i w:val="1"/>
          <w:iCs w:val="1"/>
          <w:color w:val="auto"/>
        </w:rPr>
        <w:t>This Annual Report also contains forward-looking statements that involve risks and uncertainties. Our actual results could differ materially from those anticipated in the forward-looking statements as a result of a number of factors, including the risks described below and elsewhere in this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suffer from risks related to acquisitions and potential future acquisitions.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 substantial portion of our growth has been due to acquisitions, and we continue to evaluate and engage in discussions concerning potential acquisition opportunities, some of which could be material. We cannot assure you that we will be able to successfully integrate, or otherwise realize anticipated benefits from, our recent acquisitions or any future acquisitions. Failure to successfully integrate or otherwise realize the anticipated benefits of these acquisitions could adversely impact our long-term competitiveness and profitability. The integration of any future acquisitions will involve a number of risks that could harm our financial condition, results of operations and competitive position. In particular:</w:t>
      </w:r>
    </w:p>
    <w:p>
      <w:pPr>
        <w:spacing w:after="0" w:line="188" w:lineRule="exact"/>
        <w:rPr>
          <w:sz w:val="20"/>
          <w:szCs w:val="20"/>
          <w:color w:val="auto"/>
        </w:rPr>
      </w:pPr>
    </w:p>
    <w:p>
      <w:pPr>
        <w:ind w:left="500" w:right="40" w:hanging="316"/>
        <w:spacing w:after="0" w:line="259"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integration plans for our acquisitions are based on benefits that involve assumptions as to future events, including leveraging our existing relationships with mobile phone operators and retailers, as well as general business and industry conditions, many of which are beyond our control and may not materialize. Unforeseen factors may offset components of our integration plans in whole or in part. As a result, our actual results may vary considerably, or be considerably delayed, compared to our estimates;</w:t>
      </w:r>
    </w:p>
    <w:p>
      <w:pPr>
        <w:spacing w:after="0" w:line="186" w:lineRule="exact"/>
        <w:rPr>
          <w:rFonts w:ascii="Arial" w:cs="Arial" w:eastAsia="Arial" w:hAnsi="Arial"/>
          <w:sz w:val="18"/>
          <w:szCs w:val="18"/>
          <w:color w:val="auto"/>
        </w:rPr>
      </w:pPr>
    </w:p>
    <w:p>
      <w:pPr>
        <w:ind w:left="500" w:right="200" w:hanging="316"/>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integration process could disrupt the activities of the businesses that are being combined. The combination of companies requires, among other things, coordination of administrative and other functions. In addition, the loss of key employees, customers or vendors of acquired businesses could materially and adversely impact the integration of the acquired businesses;</w:t>
      </w:r>
    </w:p>
    <w:p>
      <w:pPr>
        <w:spacing w:after="0" w:line="181"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execution of our integration plans may divert the attention of our management from other key responsibilities;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assume unanticipated liabilities and contingencies; or</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acquisition targets could fail to perform in accordance with our expectations at the time of purchase.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Future acquisitions may be affected through the issuance of our Common Stock or securities convertible into our Common Stock, which could substantially dilute the ownership percentage of our current stockholders. In addition, shares issued in connection with future acquisitions could be publicly tradable, which could result in a material decrease in the market price of our Common Stock.</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A lack of business opportunities or financial or other resources may impede our ability to continue to expand at desired levels, and our failure to expand operations could have an adverse impact on our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Our expansion plans and opportunities are focused on four separate areas: (i) our network of owned and operated ATMs and POS devices; (ii) outsourced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ATM management contracts; (iii) our prepaid mobile airtime and other electronic payment services; and (iv) our money transfer and bill payment services.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continued expansion and development of our ATM business will depend on various factors including the following:</w:t>
      </w:r>
    </w:p>
    <w:p>
      <w:pPr>
        <w:spacing w:after="0" w:line="211" w:lineRule="exact"/>
        <w:rPr>
          <w:sz w:val="20"/>
          <w:szCs w:val="20"/>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demand for our ATM services in our current target markets;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include value added services on new and existing ATMs;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locate appropriate ATM sites and obtain necessary approvals for the installation of ATMs;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install ATMs in an efficient and timely manner;</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expansion of our business into new countries as currently planned;</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entering into additional card acceptance and ATM outsourcing agreements with banks;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renew existing agreements with customers;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obtain sufficient numbers of ATMs on a timely basis; and</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financing for the expansion.</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cannot predict the increase or decrease in the number of ATMs we manage under outsourcing agreements because this depends largely on the willingness of banks to enter into or maintain outsourcing contracts with us. Banks are very deliberate in negotiating these agreements, and the process of negotiating and signing outsourcing agreements typically takes several months. Banks evaluate a wide range of matters when deciding to choose an outsource vendor and generally this decision is subject to extensive management analysis and approvals. The process is also affected by the legal and regulatory considerations of local countries, as well as local language complexities. These agreements tend to cover large numbers of ATMs, so significant increases and decreases in our pool of managed ATMs could result from entry into or termination of these management contracts. In this regard, the timing of both current and new contract revenues is uncertain and unpredictable. Increasing consolidation in the banking industry could make this process less predictable.</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currently offer prepaid mobile airtime top-up and other electronic payment services in Europe, the Middle East, Asia Pacific, North America and South America. We plan to expand in these and other markets by taking advantage of our existing relationships with mobile phone operators, banks and retailers and by offering additional electronic payment products. This expansion will depend on various factors, including the following:</w:t>
      </w:r>
    </w:p>
    <w:p>
      <w:pPr>
        <w:spacing w:after="0" w:line="166" w:lineRule="exact"/>
        <w:rPr>
          <w:sz w:val="20"/>
          <w:szCs w:val="20"/>
          <w:color w:val="auto"/>
        </w:rPr>
      </w:pPr>
    </w:p>
    <w:p>
      <w:pPr>
        <w:ind w:left="500" w:hanging="316"/>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ability to negotiate new agreements, and renew existing agreements, in these markets with mobile phone operators, banks and retailers;</w:t>
      </w:r>
    </w:p>
    <w:p>
      <w:pPr>
        <w:spacing w:after="0" w:line="236" w:lineRule="exact"/>
        <w:rPr>
          <w:rFonts w:ascii="Arial" w:cs="Arial" w:eastAsia="Arial" w:hAnsi="Arial"/>
          <w:sz w:val="17"/>
          <w:szCs w:val="17"/>
          <w:color w:val="auto"/>
        </w:rPr>
      </w:pPr>
    </w:p>
    <w:p>
      <w:pPr>
        <w:ind w:left="500" w:right="280" w:hanging="316"/>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acceptance and popularity of additional electronic payment products such as prepaid gift and debit cards, prepaid vouchers, transport payments, lottery payments, bill payments and digital content such as music, games, and software;</w:t>
      </w:r>
    </w:p>
    <w:p>
      <w:pPr>
        <w:spacing w:after="0" w:line="170" w:lineRule="exact"/>
        <w:rPr>
          <w:rFonts w:ascii="Arial" w:cs="Arial" w:eastAsia="Arial" w:hAnsi="Arial"/>
          <w:sz w:val="18"/>
          <w:szCs w:val="18"/>
          <w:color w:val="auto"/>
        </w:rPr>
      </w:pPr>
    </w:p>
    <w:p>
      <w:pPr>
        <w:ind w:left="500" w:hanging="31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prepaid mobile airtime among mobile phone users;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among immigrant workers;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increase in the number of prepaid mobile phone users; and</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financing for the expansion.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our continued expansion may involve acquisitions that could divert our resources and management time and require integration of new assets with our existing networks and services and could require financing that we may not be able to obtain. Our ability to manage our rapid expansion effectively will require us eventually to expand our operating systems and employee base. An inability to do this could have a material adverse effect on our business, growth, financial condition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business cycles, seasonality and other outside factors that may negatively affect our business.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 recessionary economic environment in any of our markets or other outside factors could have a negative impact on mobile phone operators, content providers, retailers and our customers and could reduce the level of transactions, which would, in turn, negatively impact our financial results. If mobile phone operators, content providers and financial institutions experience decreased demand for their products and services, or if the locations where we provide services decrease in number, we will process fewer transactions, resulting in lower revenues. In addition, a recessionary economic environment could reduce the level of transactions taking place on our networks, which will have a negative impact on our business.</w:t>
      </w:r>
    </w:p>
    <w:p>
      <w:pPr>
        <w:spacing w:after="0" w:line="17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experience is that the level of transactions on our networks is also subject to substantial seasonal variation. Transaction levels have consistently been much higher in the fourth quarter of the fiscal year due to increased use of ATMs, prepaid products and money transfer services during the holiday season. Generally, the level of transactions drops in the first quarter, during which transaction levels are generally the lowest we experience during the year, which reduces the level of revenues that we record. Further, in the EFT Processing Segment, mostly in Europe, we usually experience our heaviest demand for value added services, including dynamic currency conversion, during the third quarter of the fiscal year; coinciding with the tourism season. As a result, revenues earned in the third quarter of the year will usually be greater than other quarters of the fiscal year for our EFT Processing Segment. In the Money Transfer Segment, we experience increased transaction levels during the May through October timeframe coinciding with the increase in worker migration patterns. As a result of these seasonal variations, our quarterly operating results may fluctuate materially and could lead to volatility in the price of our shares.</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Additionally, economic or political instability, civil unrest, terrorism and natural disasters may make money transfers to, from or within a particular country more difficult. The inability to timely complete money transfers could adversely affect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prolonged economic slowdown or lengthy or severe recession in the U.S. or elsewhere could harm our operations.</w:t>
      </w:r>
    </w:p>
    <w:p>
      <w:pPr>
        <w:spacing w:after="0" w:line="229"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Concerns over the slow economic recovery, level of U.S. national debt and structural deficits, European sovereign debt crisis, the U.S. mortgage market, inflation levels, energy costs and geopolitical issues have contributed to increased volatility and diminished expectations for the economy and the markets going forward. These factors, combined with volatile oil prices, reduced business and consumer confidence and continued high unemployment, have negatively impacted the world economy. A prolonged economic downturn or recession could materially impact our results from operations. A recessionary economic environment could have a negative impact on mobile phone operators, content providers, retailers and our other customers and could reduce the level of transactions processed on our networks, which would, in turn, negatively impact our financial results. If mobile phone operators and financial institutions experience decreased demand for their products and services, or if the locations where we provide services decrease in number, we will process fewer transactions, resulting in lower revenues.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indirect exposure to the European sovereign debt crisis.</w:t>
      </w:r>
    </w:p>
    <w:p>
      <w:pPr>
        <w:spacing w:after="0" w:line="229"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Although Euronet has no direct investments in European sovereign debt, we are indirectly exposed to its risks. Many of the customers of our EFT Segment are banks who may hold investments in European sovereign debt. To the extent those customers are negatively impacted by those investments, they may be less able to pay amounts owed to us or renew service agreements with us. Such developments could negatively affect our business. Further, to the extent that sovereign debt concerns depress economic activity, it may negatively impact the number of transactions processed on our epay and money transfer networks, resulting in lower revenue.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Retaining the founder and key executives of our company, and of companies that we acquire, and finding and retaining qualified personnel is important to our continued success.</w:t>
      </w:r>
    </w:p>
    <w:p>
      <w:pPr>
        <w:spacing w:after="0" w:line="16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development and implementation of our strategy has depended in large part on the co-founder of our company, Michael J. Brown. The retention of Mr. Brown is important to our continued success. In addition, the success of the expansion of businesses that we acquire may depend in large part upon the retention of the founders of those businesses. Our success also depends in part on our ability to hire and retain highly skilled and qualified management, operating, marketing, financial and technical personnel. The competition for qualified personnel in the markets where we conduct our business is intense and, accordingly, we cannot assure you that we will be able to continue to hire or retain the required personnel.</w:t>
      </w:r>
    </w:p>
    <w:p>
      <w:pPr>
        <w:spacing w:after="0" w:line="1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officers and some of our key personnel have entered into service or employment agreements containing non-competition, non-disclosure and non-solicitation covenants, which grant incentive stock options and/or restricted stock with long-term vesting requirements. However, most of these contracts do not guarantee that these individuals will continue their employment with us. The loss of our key personnel could have a material adverse effect on our business, growth, financial condition or results of operations.</w:t>
      </w:r>
    </w:p>
    <w:p>
      <w:pPr>
        <w:spacing w:after="0" w:line="183" w:lineRule="exact"/>
        <w:rPr>
          <w:sz w:val="20"/>
          <w:szCs w:val="20"/>
          <w:color w:val="auto"/>
        </w:rPr>
      </w:pPr>
    </w:p>
    <w:p>
      <w:pPr>
        <w:jc w:val="both"/>
        <w:ind w:right="420"/>
        <w:spacing w:after="0" w:line="266" w:lineRule="auto"/>
        <w:rPr>
          <w:sz w:val="20"/>
          <w:szCs w:val="20"/>
          <w:color w:val="auto"/>
        </w:rPr>
      </w:pPr>
      <w:r>
        <w:rPr>
          <w:rFonts w:ascii="Arial" w:cs="Arial" w:eastAsia="Arial" w:hAnsi="Arial"/>
          <w:sz w:val="18"/>
          <w:szCs w:val="18"/>
          <w:b w:val="1"/>
          <w:bCs w:val="1"/>
          <w:color w:val="auto"/>
        </w:rPr>
        <w:t>We have a substantial amount of debt and other contractual commitments, and the cost of servicing those obligations could adversely affect our business, and such risk could increase if we incur more debt. We may be required to prepay our obligations under the secured syndicated credit facility.</w:t>
      </w:r>
    </w:p>
    <w:p>
      <w:pPr>
        <w:spacing w:after="0" w:line="18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a substantial amount of indebtedness. As of December 31, 2013, total liabilities were $959.7 million, of which $188.5 million represents long-term debt obligations, and total assets were $1,598.1 million. We may not have sufficient funds to satisfy all such obligations as a result of a variety of factors, some of which may be beyond our control. If the opportunity of a strategic acquisition arises or if we enter into new contracts that require the installation or servicing of infrastructure, such as processing centers, ATM machines or POS terminals on a faster pace than anticipated, we may be required to incur additional debt for these purposes and to fund our working capital needs, which we may not be able to obtain. The level of our indebtedness could have important consequences to investors, including the following:</w:t>
      </w:r>
    </w:p>
    <w:p>
      <w:pPr>
        <w:spacing w:after="0" w:line="193" w:lineRule="exact"/>
        <w:rPr>
          <w:sz w:val="20"/>
          <w:szCs w:val="20"/>
          <w:color w:val="auto"/>
        </w:rPr>
      </w:pPr>
    </w:p>
    <w:p>
      <w:pPr>
        <w:ind w:left="500" w:right="20" w:hanging="316"/>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any necessary financing in the future for working capital, capital expenditures, debt service requirements or other purposes may be limited or financing may be unavailable;</w:t>
      </w:r>
    </w:p>
    <w:p>
      <w:pPr>
        <w:spacing w:after="0" w:line="170" w:lineRule="exact"/>
        <w:rPr>
          <w:rFonts w:ascii="Arial" w:cs="Arial" w:eastAsia="Arial" w:hAnsi="Arial"/>
          <w:sz w:val="18"/>
          <w:szCs w:val="18"/>
          <w:color w:val="auto"/>
        </w:rPr>
      </w:pPr>
    </w:p>
    <w:p>
      <w:pPr>
        <w:ind w:left="500" w:right="260" w:hanging="316"/>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substantial portion of our cash flows must be dedicated to the payment of principal and interest on our indebtedness and other obligations and will not be available for use in our business;</w:t>
      </w:r>
    </w:p>
    <w:p>
      <w:pPr>
        <w:spacing w:after="0" w:line="170" w:lineRule="exact"/>
        <w:rPr>
          <w:rFonts w:ascii="Arial" w:cs="Arial" w:eastAsia="Arial" w:hAnsi="Arial"/>
          <w:sz w:val="18"/>
          <w:szCs w:val="18"/>
          <w:color w:val="auto"/>
        </w:rPr>
      </w:pPr>
    </w:p>
    <w:p>
      <w:pPr>
        <w:ind w:left="500" w:hanging="31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level of indebtedness could limit our flexibility in planning for, or reacting to, changes in our business and the markets in which we operate;</w:t>
      </w:r>
    </w:p>
    <w:p>
      <w:pPr>
        <w:spacing w:after="0" w:line="236" w:lineRule="exact"/>
        <w:rPr>
          <w:rFonts w:ascii="Arial" w:cs="Arial" w:eastAsia="Arial" w:hAnsi="Arial"/>
          <w:sz w:val="17"/>
          <w:szCs w:val="17"/>
          <w:color w:val="auto"/>
        </w:rPr>
      </w:pPr>
    </w:p>
    <w:p>
      <w:pPr>
        <w:ind w:left="500" w:right="560" w:hanging="316"/>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degree of indebtedness will make us more vulnerable to changes in general economic conditions and/or a downturn in our business, thereby making it more difficult for us to satisfy our obligations; and</w:t>
      </w:r>
    </w:p>
    <w:p>
      <w:pPr>
        <w:spacing w:after="0" w:line="170" w:lineRule="exact"/>
        <w:rPr>
          <w:rFonts w:ascii="Arial" w:cs="Arial" w:eastAsia="Arial" w:hAnsi="Arial"/>
          <w:sz w:val="18"/>
          <w:szCs w:val="18"/>
          <w:color w:val="auto"/>
        </w:rPr>
      </w:pPr>
    </w:p>
    <w:p>
      <w:pPr>
        <w:ind w:left="500" w:right="620" w:hanging="316"/>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because a portion of our debt bears interest at a variable rate of interest, our actual debt service obligations could increase as a result of adverse changes in interest rates.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we fail to make required debt payments, or if we fail to comply with other covenants in our debt service agreements, we would be in default under the terms of these agreements. This default would permit the holders of the indebtedness to accelerate repayment of this debt and could cause defaults under other indebtedness that we have.</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Restrictive covenants in our credit facilities may adversely affect us. Our credit facility contains three financial covenants that we must meet as defined in the agreement: (1) Consolidated Total Leverage Ratio, (2) Consolidated Senior Secured Leverage Ratio and (3) Consolidated Fixed Charge Coverage Ratio. To remain in compliance with our debt covenants, we may be required to increase EBITDA, repay debt, or both. We cannot assure you that we will have sufficient assets, liquidity or EBITDA to meet or avoid these obligations, which could have an adverse impact on our financial condition.</w:t>
      </w:r>
    </w:p>
    <w:p>
      <w:pPr>
        <w:spacing w:after="0" w:line="15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ability to secure additional financing for growth or to refinance any of our existing debt is also dependent upon the availability of credit in the marketplace, which has experienced severe disruptions in the recent past. If we are unable to secure additional financing or such financing is not available at acceptable terms, we may be unable to secure financing for growth or refinance our debt obligations, if necessary.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In the event that we need debt financing in the future, uncertainty in the credit markets could affect our ability to obtain debt financing on reasonable terms.</w:t>
      </w:r>
    </w:p>
    <w:p>
      <w:pPr>
        <w:spacing w:after="0" w:line="16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the event we were to require additional debt financing in the future, the ongoing uncertainty in the credit markets, including the European sovereign debt crisis, could materially impact our ability to obtain debt financing on reasonable terms. The inability to access debt financing on reasonable terms could materially impact our ability to make acquisitions, refinance existing debt or materially expand our business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interest rates will adversely impact our results of operations.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All of our existing indebtedness has variable interest rates. As a result, increases in variable interest rates will increase the amount of interest expense that we pay for our borrowings and have a negative impact on our results of operations.</w:t>
      </w:r>
    </w:p>
    <w:p>
      <w:pPr>
        <w:spacing w:after="0" w:line="166" w:lineRule="exact"/>
        <w:rPr>
          <w:sz w:val="20"/>
          <w:szCs w:val="20"/>
          <w:color w:val="auto"/>
        </w:rPr>
      </w:pPr>
    </w:p>
    <w:p>
      <w:pPr>
        <w:ind w:right="860"/>
        <w:spacing w:after="0" w:line="282" w:lineRule="auto"/>
        <w:rPr>
          <w:sz w:val="20"/>
          <w:szCs w:val="20"/>
          <w:color w:val="auto"/>
        </w:rPr>
      </w:pPr>
      <w:r>
        <w:rPr>
          <w:rFonts w:ascii="Arial" w:cs="Arial" w:eastAsia="Arial" w:hAnsi="Arial"/>
          <w:sz w:val="18"/>
          <w:szCs w:val="18"/>
          <w:b w:val="1"/>
          <w:bCs w:val="1"/>
          <w:color w:val="auto"/>
        </w:rPr>
        <w:t>We may be required to recognize additional impairment charges related to long-lived assets and goodwill recorded in connection with our acquisitions, which would adversely impact our results of operations.</w:t>
      </w:r>
    </w:p>
    <w:p>
      <w:pPr>
        <w:spacing w:after="0" w:line="16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total assets include approximately $591.5 million, or 37% of total assets, in goodwill and acquired intangible assets recorded as a result of acquisitions. We assess our goodwill, intangible assets and other long-lived assets as and when required by accounting principles generally accepted in the U.S. to determine whether they are impaired. In 2012, we determined that certain goodwill and acquired intangible assets of our epay business in Brazil were impaired and we recorded $28.7 million of non-cash impairment charges. In 2013, we determined that certain goodwill assets of our epay businesses in Australia and Spain were impaired and we recorded $18.4 million of non-cash impairment charges. If operating results in any of our key markets, including Australia, Germany, Greece, the U.S., the U.K., Poland and Romania, deteriorate or our plans do not progress as expected when we acquired these entities or if capital markets depress our value or that of similar companies, we may be required to record additional impairment write-downs of goodwill, intangible assets or other long-lived assets. This could have a material adverse effect on our results of operations and financial condition.</w:t>
      </w:r>
    </w:p>
    <w:p>
      <w:pPr>
        <w:spacing w:after="0" w:line="16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 processes and systems we employ may be subject to patent protection by other parties, and any claims could adversely affect our business and results of operations.</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certain countries, including the U.S., patent protection legislation permits the protection of processes and systems. We employ processes and systems in various markets that have been used in the industry by other parties for many years, and which we or other companies that use the same or similar processes and systems consider to be in the public domain. However, we are aware that certain parties believe they hold patents that cover some of the processes and systems employed in the prepaid processing industry in the U.S. and elsewhere. We believe the processes and systems we use have been in the public domain prior to the patents we are aware of. The question of whether a process or system is in the public domain is a legal determination, and if this issue is litigated we cannot be certain of the outcome of any such litigation. If a person were to assert that it holds a patent covering any of the processes or systems we use, we would be required to defend ourselves against such claim. If unsuccessful, we may be required to pay damages for past infringement, which could be trebled if the infringement was found to be willful. We may also be required to seek a license to continue to use the processes or systems. Such a license may require either a single payment or an ongoing license fee. No assurance can be given that we will be able to obtain a license which is reasonable in fee and scope. If a patent owner is unwilling to grant such a license, or we decide not to obtain such a license, we may be required to modify our processes and systems to avoid future infringement. Any such occurrences could materially and adversely affect our prepaid processing business in any affected markets and could result in our reconsidering the rate of expansion of this business in those markets.</w:t>
      </w:r>
    </w:p>
    <w:p>
      <w:pPr>
        <w:spacing w:after="0" w:line="16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We conduct a significant portion of our business in Central and Eastern European countries, and we have subsidiaries in the Middle East, Asia Pacific and South America, where the risk of continued political, economic and regulatory change that could impact our operating results is greater than in the U.S. or Western Europe.</w:t>
      </w:r>
    </w:p>
    <w:p>
      <w:pPr>
        <w:spacing w:after="0" w:line="18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We have subsidiaries in Central and Eastern Europe, the Middle East, Asia Pacific and South America. We expect to continue to expand our operations to other countries in these regions. We sell software in many other markets in the developing world. Some of these countries have undergone significant political, economic and social change in recent years and the risk of new, unforeseen changes in these countries remains greater than in the U.S. or Western Europe. In particular, changes in laws or regulations or in the interpretation of existing laws or regulations, whether caused by a change in government or otherwise, could materially adversely affect our business, growth, financial condition or results of operations.</w:t>
      </w:r>
    </w:p>
    <w:p>
      <w:pPr>
        <w:spacing w:after="0" w:line="15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example, currently there are no limitations on the repatriation of profits from any of the countries in which we have subsidiaries, but foreign currency exchange control restrictions, taxes or limitations may be imposed or increased in the future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with regard to repatriation of earnings and investments from these countries. If exchange control restrictions, taxes or limitations are imposed, our ability to receive dividends or other payments from affected subsidiaries could be reduced, which may have a material adverse effect on us.</w:t>
      </w:r>
    </w:p>
    <w:p>
      <w:pPr>
        <w:spacing w:after="0" w:line="14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addition, corporate, contract, property, insolvency, competition, securities and other laws and regulations in many of the countries in which we operate have been, and continue to be, substantially revised.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w:t>
      </w:r>
    </w:p>
    <w:p>
      <w:pPr>
        <w:spacing w:after="0" w:line="15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Transmittal of data by electronic means and telecommunications is subject to specific regulation in most of the countries in which we operate. Although these regulations have not had a material impact on our business to date, changes in these regulations, including taxation or limitations on transfers of data across national borders, could have a material adverse effect on our business, growth, financial condition or results of operations.</w:t>
      </w:r>
    </w:p>
    <w:p>
      <w:pPr>
        <w:spacing w:after="0" w:line="162"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We conduct business in many international markets with complex and evolving tax rules, including value added tax rules, which subjects us to international tax compliance risks.</w:t>
      </w:r>
    </w:p>
    <w:p>
      <w:pPr>
        <w:spacing w:after="0" w:line="16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While we obtain advice from legal and tax advisors as necessary to help assure compliance with tax and regulatory matters, most tax jurisdictions that we operate in have complex and subjective rules regarding the valuation of intercompany services, cross-border payments between affiliated companies and the related effects on income tax, value added tax (“VAT”), transfer tax and share registration tax. Our foreign subsidiaries frequently undergo VAT reviews, and from time to time undergo comprehensive tax reviews and may be required to make additional tax payments should the review result in different interpretations, allocations or valuations of our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taxes could negatively impact our operating results.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result of recent economic downturns, tax receipts have decreased and/or government spending has increased in many of the countries in which we operate. Consequently, governments may increase tax rates or implement new taxes in order to compensate for gaps between tax revenues and expenditures. Additionally, governments may prohibit or restrict the use of certain legal structures designed to minimize taxes. Any such tax increases, whether borne by us or our customers, could negatively impact our operating results or the demand for our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violations of the U.S. Foreign Corrupt Practices Act.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in countries outside the United States are subject to anti-corruption laws and regulations, including restrictions imposed by the FCPA. The FCPA and similar anti-corruption laws in other jurisdictions, such as the U.K. Bribery Act, generally prohibit companies and their intermediaries from making improper payments to government officials for the purpose of obtaining or retaining business. We operate in many parts of the world that have experienced governmental corruption to some degree and, in certain circumstances, strict compliance with anti-corruption laws may conflict with local customs and practices.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employees and agents interact with government officials on our behalf, including interactions necessary to obtain licenses and other regulatory approvals necessary to operate our business, import or export equipment and resolve tax disputes. These interactions create a risk that actions may occur that could violate the FCPA or other similar laws.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have implemented policies and procedures designed to ensure compliance with local laws and regulations as well as U.S. laws and regulations, including the FCPA, there can be no assurance that all of our employees, consultants, contractors and agents will abide by our policies. If we are found to be liable for violations of the FCPA or similar anti-corruption laws in other jurisdictions, either due to our own acts or out of inadvertence, or due to the acts or inadvertence of others, we could suffer from criminal or civil penalties which could have a material and adverse effect on our results of operations, financial condition and cash flows.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Because we are a multinational company conducting a complex business in many markets worldwide, we are subject to legal and operational risks related to staffing and management, as well as a broad array of local legal and regulatory requirements.</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Operating outside of the U.S. creates difficulties associated with staffing and managing our international operations, as well as complying with local legal and regulatory requirements. Because we operate financial transaction processing networks that offer new products and services to customers, the laws and regulations in the markets in which we operate evolve and are subject to rapid change. Although we have local staff in countries in which we deem it appropriate, we cannot assure you that we will continue to be found to be operating in compliance with all applicable customs, currency exchange control regulations, data protection, transfer pricing regulations or any other laws or regulations to which we may be subject. We also cannot assure you that these laws will not be modified in ways that may adversely affect our business.</w:t>
      </w:r>
    </w:p>
    <w:p>
      <w:pPr>
        <w:spacing w:after="0" w:line="189"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Because we derive our revenues from a multitude of countries with different currencies, our business is affected by local inflation and foreign currency exchange rates and policies.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attempt to match any assets denominated in a currency with liabilities denominated in the same currency. However, a significant amount of our cash outflows, including the acquisition of ATMs, executive salaries, certain long-term contracts and a significant portion of our debt obligations, are made in U.S. dollars, while most of our revenues are denominated in other currencies. As exchange rates among the U.S. dollar, the euro, and other currencies fluctuate, the translation effect of these fluctuations may have a material adverse effect on our results of operations or financial condition as reported in U.S. dollars. Exchange rate policies have not always allowed for the free conversion of currencies at the market rate. Future fluctuations in the value of the U.S. dollar could have an adverse effect on our results.</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Money Transfer Segment is subject to foreign currency exchange risks because our customers deposit funds in one currency at our retail and agent locations worldwide and we typically deliver funds denominated in a different, destination country currency. Although we use foreign currency forward contracts to mitigate a portion of this risk, we cannot eliminate all of the exposure to the impact of changes in foreign currency exchange rates for the period between collection and disbursement of the money transfers.</w:t>
      </w:r>
    </w:p>
    <w:p>
      <w:pPr>
        <w:spacing w:after="0" w:line="18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have various mechanisms in place to discourage takeover attempts, which may reduce or eliminate our stockholders' ability to sell their shares for a premium in a change of control transaction.</w:t>
      </w:r>
    </w:p>
    <w:p>
      <w:pPr>
        <w:spacing w:after="0" w:line="166"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Various provisions of our certificate of incorporation and bylaws and of Delaware corporate law may discourage, delay or prevent a change in control or takeover attempt of our company by a third party to which our management and board of directors opposes. Public stockholders who might desire to participate in such a transaction may not have the opportunity to do so. These anti-takeover provisions could substantially impede the ability of public stockholders to benefit from a change of control or change in our management and board of directors. These provisions include:</w:t>
      </w:r>
    </w:p>
    <w:p>
      <w:pPr>
        <w:spacing w:after="0" w:line="154" w:lineRule="exact"/>
        <w:rPr>
          <w:sz w:val="20"/>
          <w:szCs w:val="20"/>
          <w:color w:val="auto"/>
        </w:rPr>
      </w:pPr>
    </w:p>
    <w:p>
      <w:pPr>
        <w:ind w:left="500" w:right="200" w:hanging="316"/>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preferred stock that could be issued by our board of directors to make it more difficult for a third party to acquire, or to discourage a third party from acquiring, a majority of our outstanding voting stock;</w:t>
      </w:r>
    </w:p>
    <w:p>
      <w:pPr>
        <w:spacing w:after="0" w:line="62"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classification of our directors into three classes with respect to the time for which they hold office;</w:t>
      </w:r>
    </w:p>
    <w:p>
      <w:pPr>
        <w:spacing w:after="0" w:line="117" w:lineRule="exact"/>
        <w:rPr>
          <w:rFonts w:ascii="Arial" w:cs="Arial" w:eastAsia="Arial" w:hAnsi="Arial"/>
          <w:sz w:val="18"/>
          <w:szCs w:val="18"/>
          <w:color w:val="auto"/>
        </w:rPr>
      </w:pPr>
    </w:p>
    <w:p>
      <w:pPr>
        <w:ind w:left="500" w:right="120" w:hanging="316"/>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supermajority voting requirements to amend the provision in our certificate of incorporation providing for the classification of our directors into three such classes;</w:t>
      </w:r>
    </w:p>
    <w:p>
      <w:pPr>
        <w:spacing w:after="0" w:line="62"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non-cumulative voting for directors;</w:t>
      </w:r>
    </w:p>
    <w:p>
      <w:pPr>
        <w:spacing w:after="0" w:line="117"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control by our board of directors of the size of our board of directors;</w:t>
      </w:r>
    </w:p>
    <w:p>
      <w:pPr>
        <w:spacing w:after="0" w:line="117"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the ability of stockholders to call special meetings of stockholders; and</w:t>
      </w:r>
    </w:p>
    <w:p>
      <w:pPr>
        <w:spacing w:after="0" w:line="117" w:lineRule="exact"/>
        <w:rPr>
          <w:rFonts w:ascii="Arial" w:cs="Arial" w:eastAsia="Arial" w:hAnsi="Arial"/>
          <w:sz w:val="18"/>
          <w:szCs w:val="18"/>
          <w:color w:val="auto"/>
        </w:rPr>
      </w:pPr>
    </w:p>
    <w:p>
      <w:pPr>
        <w:ind w:left="500" w:right="20" w:hanging="316"/>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notice requirements for nominations of candidates for election to our board of directors or for proposing matters that can be acted upon by our stockholders at stockholder meetings.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May 30, 2013, our stockholders ratified a three-year stockholders' rights agreement (the ''Rights Agreement'') entered into on March 26, 2013, between Euronet and Computershare Trust Company, N.A. as rights agent. The Rights Agreement replaces a previous rights agreement that expired on April 3, 2013. Pursuant to the Rights Agreement, holders of our Common Stock are entitled to purchase one one-hundredth (1/100) of a share (a ''Unit'') of Junior Preferred Stock at a price of $125.00 per Unit upon certain events (the "Right"). The purchase price is subject to appropriate adjustment for stock splits and other similar events. Generally, in the event a person or entity acquires, or initiates a tender offer to acquire, at least 20% of Euronet's then-outstanding Common Stock, the Rights will become exercisable for Common Stock having a value equal to two times the exercise price of the Right, or effectively at one-half of Euronet's then-current stock price. The existence of the Rights may discourage, delay or prevent a change of control or takeover attempt of our company by a third party that is opposed by our management and board of directors.</w:t>
      </w:r>
    </w:p>
    <w:p>
      <w:pPr>
        <w:spacing w:after="0" w:line="17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are authorized to issue up to a total of 90 million shares of Common Stock, potentially diluting equity ownership of current holders and the share price of our Common Stock.</w:t>
      </w:r>
    </w:p>
    <w:p>
      <w:pPr>
        <w:spacing w:after="0" w:line="16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believe that it is necessary to maintain a sufficient number of available authorized shares of our Common Stock in order to provide us with the flexibility to issue Common Stock for business purposes that may arise as deemed advisable by our Board. These purposes could include, among other things, (i) to declare future stock dividends or stock splits, which may increase the liquidity of our shares; (ii) the sale of stock to obtain additional capital or to acquire other companies or businesses, which could enhance our growth strategy or allow us to reduce debt if needed; (iii) for use in additional stock incentive programs and (iv) for other bona fide purposes. Our Board of Directors may issue the available authorized shares of Common Stock without notice to, or further action by, our stockholders, unless stockholder approval is required by law or the rules of the NASDAQ Global Select Market. The issuance of additional shares of Common Stock may significantly dilute the equity ownership of the current holders of our Common Stock. Further, over the course of time, all of the issued shares have the potential to be publicly traded, perhaps in large blocks. This may result in dilution of the market price of the Common Stock.</w:t>
      </w:r>
    </w:p>
    <w:p>
      <w:pPr>
        <w:spacing w:after="0" w:line="193" w:lineRule="exact"/>
        <w:rPr>
          <w:sz w:val="20"/>
          <w:szCs w:val="20"/>
          <w:color w:val="auto"/>
        </w:rPr>
      </w:pPr>
    </w:p>
    <w:p>
      <w:pPr>
        <w:ind w:right="360"/>
        <w:spacing w:after="0" w:line="314" w:lineRule="auto"/>
        <w:rPr>
          <w:sz w:val="20"/>
          <w:szCs w:val="20"/>
          <w:color w:val="auto"/>
        </w:rPr>
      </w:pPr>
      <w:r>
        <w:rPr>
          <w:rFonts w:ascii="Arial" w:cs="Arial" w:eastAsia="Arial" w:hAnsi="Arial"/>
          <w:sz w:val="16"/>
          <w:szCs w:val="16"/>
          <w:b w:val="1"/>
          <w:bCs w:val="1"/>
          <w:color w:val="auto"/>
        </w:rPr>
        <w:t>An additional 10.7 million shares of Common Stock, representing 21% of the shares outstanding as of December 31, 2013, could be added to our total Common Stock outstanding through the exercise of options or the issuance of additional shares of our Common Stock. Once issued, these shares of Common Stock could be traded into the market and result in a decrease in the market price of our Common Stock.</w:t>
      </w:r>
    </w:p>
    <w:p>
      <w:pPr>
        <w:spacing w:after="0" w:line="14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December 31, 2013, we had 4.1 million and 0.9 million of options and restricted stock awards outstanding, respectively, held by our directors, officers and employees, which entitle these holders to acquire an equal number of shares of our Common Stock. Of this amount, 1.8 million options are vested and exercisable as of December 31, 2013. Approximately 5.7 million of additional shares of our Common Stock may be issued in connection with our stock incentive and employee stock purchase plans.</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Accordingly, based on current trading prices of our Common Stock, approximately 2.8 million shares could potentially be added to our total current Common Stock outstanding through the exercise of options and the vesting of restricted stock, which could adversely impact the trading price for our stock.</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Of the 5.0 million total options and restricted stock awards outstanding, an aggregate of 3.1 million options and restricted shares are held by persons who may be deemed to be our affiliates and who would be subject to Rule 144. Thus, upon exercise of their options or sale of shares for which restrictions have lapsed, these affiliates' shares would be subject to the trading restrictions imposed by Rule 144. The remainder of the common shares issuable under option and restricted stock arrangements would be freely tradable in the public market. Over the course of time, all of the issued shares have the potential to be publicly traded, perhaps in large blocks.</w:t>
      </w:r>
    </w:p>
    <w:p>
      <w:pPr>
        <w:spacing w:after="0" w:line="184"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Our competition in the EFT Processing Segment, epay Segment and Money Transfer Segment includes large, well-financed companies and financial institutions larger than us with earlier entry into the market. As a result, we may lack the financial resources and access to capital needed to capture increased market share.</w:t>
      </w:r>
    </w:p>
    <w:p>
      <w:pPr>
        <w:spacing w:after="0" w:line="176"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color w:val="auto"/>
        </w:rPr>
        <w:t xml:space="preserve">EFT Processing Segment </w:t>
      </w:r>
      <w:r>
        <w:rPr>
          <w:rFonts w:ascii="Arial" w:cs="Arial" w:eastAsia="Arial" w:hAnsi="Arial"/>
          <w:sz w:val="17"/>
          <w:szCs w:val="17"/>
          <w:color w:val="auto"/>
        </w:rPr>
        <w:t>- Our principal EFT Processing competitors include ATM networks owned by banks and national switches consisting of</w:t>
      </w:r>
      <w:r>
        <w:rPr>
          <w:rFonts w:ascii="Arial" w:cs="Arial" w:eastAsia="Arial" w:hAnsi="Arial"/>
          <w:sz w:val="17"/>
          <w:szCs w:val="17"/>
          <w:b w:val="1"/>
          <w:bCs w:val="1"/>
          <w:color w:val="auto"/>
        </w:rPr>
        <w:t xml:space="preserve"> </w:t>
      </w:r>
      <w:r>
        <w:rPr>
          <w:rFonts w:ascii="Arial" w:cs="Arial" w:eastAsia="Arial" w:hAnsi="Arial"/>
          <w:sz w:val="17"/>
          <w:szCs w:val="17"/>
          <w:color w:val="auto"/>
        </w:rPr>
        <w:t>consortiums of local banks that provide outsourcing and transaction services only to banks and independent ATM deployers in that country. Large, well-financed companies offer ATM network and outsourcing services that compete with us in various markets. In some cases, these companies also sell a broader range of card and processing services than we, and are in some cases, willing to discount ATM services to obtain large contracts covering a broad range of services. Competitive factors in our EFT Processing Segment include network availability and response time, breadth of service offering, price to both the bank and to its customers, ATM location and access to other networks.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our ITM product line, we are a leading supplier of electronic financial transaction processing software for the IBM iSeries platform in a largely fragmented market, which is made up of competitors that offer a variety of solutions that compete with our products, ranging from single applications to fully integrated electronic financial processing software. Additionally, for ITM, other industry suppliers service the software requirements of large mainframe systems and UNIX-based platforms, and accordingly are not considered competitors. We have specifically targeted customers consisting of financial institutions that operate their back office systems with the IBM iSeries.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software solutions business has multiple types of competitors that compete across all EFT software components in the following areas: (i) ATM, network and POS software systems, (ii) Internet banking software systems, (iii) credit card software systems, (iv) mobile banking systems, (v) mobile operator solutions, (vi) telephone banking, and (vii) full EFT software. Competitive factors in the software solutions business include price, technology development and the ability of software systems to interact with other leading products.</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epay Segment </w:t>
      </w:r>
      <w:r>
        <w:rPr>
          <w:rFonts w:ascii="Arial" w:cs="Arial" w:eastAsia="Arial" w:hAnsi="Arial"/>
          <w:sz w:val="17"/>
          <w:szCs w:val="17"/>
          <w:color w:val="auto"/>
        </w:rPr>
        <w:t>- We face competition in the epay business in all of our markets. A few multinational companies operate in several of our markets, and we</w:t>
      </w:r>
      <w:r>
        <w:rPr>
          <w:rFonts w:ascii="Arial" w:cs="Arial" w:eastAsia="Arial" w:hAnsi="Arial"/>
          <w:sz w:val="17"/>
          <w:szCs w:val="17"/>
          <w:b w:val="1"/>
          <w:bCs w:val="1"/>
          <w:color w:val="auto"/>
        </w:rPr>
        <w:t xml:space="preserve"> </w:t>
      </w:r>
      <w:r>
        <w:rPr>
          <w:rFonts w:ascii="Arial" w:cs="Arial" w:eastAsia="Arial" w:hAnsi="Arial"/>
          <w:sz w:val="17"/>
          <w:szCs w:val="17"/>
          <w:color w:val="auto"/>
        </w:rPr>
        <w:t>therefore compete with them in a number of countries. In other markets, our competition is from smaller, local companies. Major retailers with high volumes are in a position to demand a larger share of commissions or to negotiate directly with the mobile phone operators, which may compress our margins. Additionally, certain of our content providers, including mobile phone operators have entered into direct contracts with retailers and/or have developed processing technology that diminishes or eliminates the need for intermediate processors and distributors.</w:t>
      </w:r>
    </w:p>
    <w:p>
      <w:pPr>
        <w:spacing w:after="0" w:line="16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 xml:space="preserve">Money Transfer Segment - </w:t>
      </w:r>
      <w:r>
        <w:rPr>
          <w:rFonts w:ascii="Arial" w:cs="Arial" w:eastAsia="Arial" w:hAnsi="Arial"/>
          <w:sz w:val="16"/>
          <w:szCs w:val="16"/>
          <w:color w:val="auto"/>
        </w:rPr>
        <w:t>Our primary competitors in the money transfer and bill payment business include other independent processors and electronic</w:t>
      </w:r>
      <w:r>
        <w:rPr>
          <w:rFonts w:ascii="Arial" w:cs="Arial" w:eastAsia="Arial" w:hAnsi="Arial"/>
          <w:sz w:val="16"/>
          <w:szCs w:val="16"/>
          <w:b w:val="1"/>
          <w:bCs w:val="1"/>
          <w:color w:val="auto"/>
        </w:rPr>
        <w:t xml:space="preserve"> </w:t>
      </w:r>
      <w:r>
        <w:rPr>
          <w:rFonts w:ascii="Arial" w:cs="Arial" w:eastAsia="Arial" w:hAnsi="Arial"/>
          <w:sz w:val="16"/>
          <w:szCs w:val="16"/>
          <w:color w:val="auto"/>
        </w:rPr>
        <w:t>money transmitters, as well as certain major national and regional banks, financial institutions and independent sales organizations. Our competitors include The Western Union Company, MoneyGram International Inc. and others, some of which are larger than we are and have greater resources and access to capital for expansion than we have. This may allow them to offer better pricing terms to customers, which may result in a loss of our current or potential customers or could force us to lower our prices. Either of these actions could have an adverse impact on our revenues. In addition, our competitors may have the ability to devote more financial and operational resources than we can to the development of new technologies that provide improved functionality and features to their product and service offerings. If successful, their development efforts could render our product and services offerings less desirable, resulting in the loss of customers or a reduction in the price we could demand for our services. In addition to traditional money payment services, new technologies are emerging that may effectively compete with traditional money payment services, such as stored-value cards, debit networks and web-based services. Our continued growth depends upon our ability to compete effectively with these alternative technologies.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processing fees and commissions in our epay business continue to decline, our financial results may be adversely affected.</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epay Segment derives revenues based on processing fees and commissions from mobile phone operators and other content providers. Growth in our prepaid mobile business in any given market is driven by a number of factors, including the overall pace of growth in the prepaid mobile phone market which is impacted by competing postpaid services, our market share of the retail distribution capacity, the level of commission that is paid to the various intermediaries in the prepaid mobile airtime distribution chain, and the value provided to the retailers through the types of products offered and the level of integration with their systems. Also, competition among prepaid mobile distributors results in retailer churn and the reduction of commissions paid by prepaid content providers, although a portion of such reductions can be passed along to retailers. In recent years, processing fees and commissions per transaction have declined in most markets, and we expect that trend to continue. We have generally been able to mitigate that trend due to substantial growth in the number of transactions, driven by acquisitions and organic growth. If we cannot continue to increase our transaction levels and per-transaction fees and commissions continue to decline, the combined impact of these factors could adversely impact our financial results.</w:t>
      </w:r>
    </w:p>
    <w:p>
      <w:pPr>
        <w:spacing w:after="0" w:line="16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Our epay and money transfer businesses may be susceptible to fraud and/or credit risks occurring at the retailer and/or consumer level, which could adversely affect our results of operations.</w:t>
      </w:r>
    </w:p>
    <w:p>
      <w:pPr>
        <w:spacing w:after="0" w:line="16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our epay Segment, we contract with retailers that accept payment on our behalf, which we then transfer to a trust or other operating account for payment to content providers. In the event a retailer does not transfer to us payments that it receives for prepaid content sales, whether as a result of fraud, insolvency, billing delays or otherwise, we are responsible to the content provider for the cost of the product sold. We can provide no assurance that retailer fraud or insolvency will not increase in the future or that any proceeds we receive under our credit enhancement insurance policies will be adequate to cover losses resulting from retailer fraud, which could have a material adverse effect on our business, financial condition and results of operations.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With respect to our money transfer business, we conduct the majority of our business through our agent network, which provides money transfer services directly to consumers at retail locations. Our agents collect funds directly from consumers and in turn, we collect from the agents the proceeds due to us resulting from the money transfer transactions. Therefore, we have credit exposure to our agents. Additionally, our Company-owned stores transact a significant amount of business in cash. Although we have safeguards in place, cash transactions have a higher exposure to fraud and theft than other types of transactions. The failure of agents owing us significant amounts to remit funds to us or to repay such amounts, or the loss of cash in our stores could have a material adverse effect our business, financial condition and results of operations.</w:t>
      </w:r>
    </w:p>
    <w:p>
      <w:pPr>
        <w:spacing w:after="0" w:line="17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Because we typically enter into short-term contracts with content providers and retailers, our epay business is subject to the risk of non-renewal of those contracts, or renewal under less favorable terms.</w:t>
      </w:r>
    </w:p>
    <w:p>
      <w:pPr>
        <w:spacing w:after="0" w:line="166"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Our contracts with content providers to distribute and process content, including prepaid mobile airtime recharge services, typically have terms of less than three years. Many of those contracts may be canceled by either party upon three months' notice. Our contracts with content providers are not exclusive, so these providers may enter into contracts with other service providers. In addition, our service contracts with major retailers typically have terms of one to three years, and our contracts with smaller retailers typically may be canceled by either party upon three to six months' notice. The cancellation or non-renewal of one or more of our significant content provider or retail contracts, or of a large enough group of our contracts with smaller retailers, could have a material adverse effect on our business, financial condition and results of operations. The renewal of contracts under less favorable payment terms, commission terms or other terms could have a material adverse impact on our working capital requirements and/or results from operations. In addition, our contracts generally permit operators to reduce our fees at any time. Commission revenue or fee reductions by any of the content providers could also have a material adverse effect on our business, financial condition or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growth and profitability of our epay business may be adversely affected by changes in state, federal or foreign laws, rules and regulations.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we continue to expand our electronic payment product offerings, certain of those products may become regulated by state, federal or foreign laws, rules and regulations. Certain new product offerings may be considered to be money transfer related products which would require licensure for entities distributing or processing such products. If such products become more highly regulated and ultimately require licensure, our epay business may be adversely affected. Further, if regulations regarding the expiration of gift vouchers change in the countries where we offer them, the revenue epay recognizes from unredeemed vouchers may be negatively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 our epay business may be contingent on product differentiation and our ability to offer new electronic payment products.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prepaid marketplace is currently experiencing high growth in the differentiation of product offerings. While our epay business is focused on expanding and differentiating its suite of prepaid product offerings on a global basis, there can be no assurance that we will be able to enter into relationships on favorable terms with additional content providers or renew or expand current relationships and contracts on favorable terms. Inability to continue to grow our suite of electronic payment product offerings could have a material adverse effect on our business, financial condition and results of operations.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260"/>
        <w:spacing w:after="0" w:line="347" w:lineRule="auto"/>
        <w:rPr>
          <w:sz w:val="20"/>
          <w:szCs w:val="20"/>
          <w:color w:val="auto"/>
        </w:rPr>
      </w:pPr>
      <w:r>
        <w:rPr>
          <w:rFonts w:ascii="Arial" w:cs="Arial" w:eastAsia="Arial" w:hAnsi="Arial"/>
          <w:sz w:val="16"/>
          <w:szCs w:val="16"/>
          <w:b w:val="1"/>
          <w:bCs w:val="1"/>
          <w:color w:val="auto"/>
        </w:rPr>
        <w:t>The stability and growth of our EFT Processing Segment depend on maintaining our current card acceptance and ATM management agreements with banks and international card organizations, and on securing new arrangements for card acceptance and ATM management.</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stability and future growth of our EFT Processing Segment depends in part on our ability to sign card acceptance and ATM management agreements with banks and international card organizations. Card acceptance agreements allow our ATMs to accept credit and debit cards issued by banks and international card organizations. ATM management agreements generate service income from our management of ATMs for banks. These agreements are the primary source of revenues in our ATM business.</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These agreements have expiration dates, and banks and international card organizations are generally not obligated to renew them. Our existing contacts generally have terms of five to seven years and a number of them will expire or be up for renewal each year for the next few years. In some cases, banks may terminate their contracts prior to the expiration of their terms. We cannot assure you that we will be able to continue to sign or maintain these agreements on terms and conditions acceptable to us or whether those international card organizations will continue to permit our ATMs to accept their credit and debit cards. The inability to continue to sign or maintain these agreements, or to continue to accept the credit and debit cards of local banks and international card organizations at our ATMs in the future, could have a material adverse effect on our business, growth, financial condition or results of operations.</w:t>
      </w:r>
    </w:p>
    <w:p>
      <w:pPr>
        <w:spacing w:after="0" w:line="161" w:lineRule="exact"/>
        <w:rPr>
          <w:sz w:val="20"/>
          <w:szCs w:val="20"/>
          <w:color w:val="auto"/>
        </w:rPr>
      </w:pPr>
    </w:p>
    <w:p>
      <w:pPr>
        <w:jc w:val="both"/>
        <w:ind w:right="420"/>
        <w:spacing w:after="0" w:line="266" w:lineRule="auto"/>
        <w:rPr>
          <w:sz w:val="20"/>
          <w:szCs w:val="20"/>
          <w:color w:val="auto"/>
        </w:rPr>
      </w:pPr>
      <w:r>
        <w:rPr>
          <w:rFonts w:ascii="Arial" w:cs="Arial" w:eastAsia="Arial" w:hAnsi="Arial"/>
          <w:sz w:val="18"/>
          <w:szCs w:val="18"/>
          <w:b w:val="1"/>
          <w:bCs w:val="1"/>
          <w:color w:val="auto"/>
        </w:rPr>
        <w:t>Our operating results depend, in part, on the volume of transactions on ATMs in our network and the fees we can collect from processing these transactions. We generally have little control over the ATM transaction fees established in the markets where we operate, and therefore, cannot control any potential reductions in these fees.</w:t>
      </w:r>
    </w:p>
    <w:p>
      <w:pPr>
        <w:spacing w:after="0" w:line="180"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Transaction fees from banks, customers and international card organizations for transactions processed on our ATMs have historically accounted for a substantial majority of our revenues. These fees are set by agreement among all banks in a particular market. The future operating results of our ATM business depend on the following factors:</w:t>
      </w:r>
    </w:p>
    <w:p>
      <w:pPr>
        <w:spacing w:after="0" w:line="181" w:lineRule="exact"/>
        <w:rPr>
          <w:sz w:val="20"/>
          <w:szCs w:val="20"/>
          <w:color w:val="auto"/>
        </w:rPr>
      </w:pPr>
    </w:p>
    <w:p>
      <w:pPr>
        <w:ind w:left="500" w:hanging="3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increased issuance of credit and debit cards;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increased acceptance of our ATM processing and management services in our target markets;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maintenance of the level of transaction fees we receive;</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installation of larger numbers of ATMs;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continued use of our ATMs by credit and debit cardholders;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generate revenues from interchange fees and from other value added services, including dynamic currency conversion; and</w:t>
      </w:r>
    </w:p>
    <w:p>
      <w:pPr>
        <w:spacing w:after="0" w:line="225" w:lineRule="exact"/>
        <w:rPr>
          <w:rFonts w:ascii="Arial" w:cs="Arial" w:eastAsia="Arial" w:hAnsi="Arial"/>
          <w:sz w:val="18"/>
          <w:szCs w:val="18"/>
          <w:color w:val="auto"/>
        </w:rPr>
      </w:pPr>
    </w:p>
    <w:p>
      <w:pPr>
        <w:ind w:left="500" w:right="360" w:hanging="316"/>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adjust to changes in the regulatory environment affecting our ATM business and the various value added services we provide via our ATM network.</w:t>
      </w:r>
    </w:p>
    <w:p>
      <w:pPr>
        <w:spacing w:after="0" w:line="17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amount of fees we receive per transaction is set in various ways in the markets in which we do business. We have card acceptance agreements or ATM management agreements with some banks under which fees are set. However, we derive the bulk of our revenues in most markets from interchange fees, surcharges or cash withdrawal related services that are set by the central ATM processing switch or various card organizations. The banks that participate in these switches or the card organizations that enable the services or transactions set the interchange fee and/or establish the rules regarding the services allowed, and we are not in a position in any market to greatly influence these fees or rules, which may change over time. A significant decrease in the interchange fee, or limitations placed on our ability to offer value added services via our ATM network, in any market could adversely affect our results in that market.</w:t>
      </w:r>
    </w:p>
    <w:p>
      <w:pPr>
        <w:spacing w:after="0" w:line="189"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Although we believe that the volume of transactions in developing countries may increase due to growth in the number of cards being issued by banks in these markets, we anticipate that transaction levels on any given ATM in developing markets will not increase significantly. We can attempt to improve the levels of transactions on our ATM network overall by acquiring good sites for our ATMs, eliminating poor locations, entering new, less-developed markets and adding new transactions, including new value added services, to the sets of transactions that are available on our ATMs. However, we may not be successful in materially increasing transaction levels through these measures. Per-transaction fees paid by international card organizations have declined in certain markets in recent years and competitive factors have required us to reduce the transaction fees we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charge customers. If we cannot continue to increase our transaction levels and per-transaction fees generally decline, our results would be adversely affected.</w:t>
      </w:r>
    </w:p>
    <w:p>
      <w:pPr>
        <w:spacing w:after="0" w:line="24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Additionally, the evolving regulatory environment may change the competitive landscape across various jurisdictions and adversely affect our financial results. If governments implement new laws or regulations, or organizations such as Visa and MasterCard issue new rules, that effectively limit our ability to provide certain value added services or set fees and/or foreign currency exchange spreads, then our business, financial condition and results of operations could be materially and adversely affected. In addition, changes in regulatory interpretations or practices could increase the risk of regulatory enforcement actions, fines and penalties and such changes may be replicated across multiple jurisdictions.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electronic financial transactions could materially reduce our transaction levels and revenues.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developments in the field of electronic financial transactions may reduce the need for ATMs, prepaid mobile phone POS terminals and money transfer agents. These developments may reduce the transaction levels that we experience on our networks in the markets where they occur. Financial institutions, retailers and agents could elect to increase fees to their customers for using our services, which may cause a decline in the use of our services and have an adverse effect on our revenues. If transaction levels over our existing network of ATMs, POS terminals, agents and other distribution methods do not increase, growth in our revenues will depend primarily on increased capital investment for new sites and developing new markets, which reduces the margin we realize from our revenues.</w:t>
      </w:r>
    </w:p>
    <w:p>
      <w:pPr>
        <w:spacing w:after="0" w:line="19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mobile phone industry is a rapidly evolving area, in which technological developments, in particular the development of new distribution methods or services, may affect the demand for other services in a dramatic way. The development of any new technology that reduces the need or demand for prepaid mobile airtime could materially and adversely affect our business.</w:t>
      </w:r>
    </w:p>
    <w:p>
      <w:pPr>
        <w:spacing w:after="0" w:line="177"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In some cases, we are dependent upon international card organizations and national transaction processing switches to provide assistance in obtaining settlement from card issuers of funds relating to transactions on our ATMs, and any failure by them to provide the required cooperation could result in our ability to obtain settlement of funds relating to transactions.</w:t>
      </w:r>
    </w:p>
    <w:p>
      <w:pPr>
        <w:spacing w:after="0" w:line="180"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Our ATMs dispense cash relating to transactions on credit and debit cards issued by banks. We have in place arrangements for the settlement to us of all of those transactions, but in some cases, we do not have a direct relationship with the card-issuing bank and rely for settlement on the application of rules that are administered by international card associations (such as Visa or MasterCard) or national transaction processing switching networks. If a bankcard association fails to settle transactions in accordance with those rules, we are dependent upon cooperation from such organizations or switching networks to enforce our right of settlement against such banks or card associations. Failure by such organizations or switches to provide the required cooperation could result in our inability to obtain settlement of funds relating to transactions and adversely affect our business. Moreover, international card associations and issuers of their cards (and, in the case of Visa, member banks) have the ability to change or apply their rules in ways that could negatively impact our business. As an example, DCC is not permitted on certain cards in certain geographic territories, and the scope of such restrictions could be extended. Any such change or application of the rules of international card association rules could materially and adversely affect our business.</w:t>
      </w:r>
    </w:p>
    <w:p>
      <w:pPr>
        <w:spacing w:after="0" w:line="163"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Because our business is highly dependent on the proper operation of our computer network and telecommunications connections, significant technical disruptions to these systems would adversely affect our revenues and financial results.</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business involves the operation and maintenance of a sophisticated computer network and telecommunications connections with financial institutions, mobile phone operators, retailers and agents. This, in turn, requires the maintenance of computer equipment and infrastructure, including telecommunications and electrical systems, and the integration and enhancement of complex software applications. Our ATM business also uses a satellite-based system that is susceptible to the risk of satellite failure. There are operational risks inherent in this type of business that can result in the temporary shutdown of part or all of our processing systems, such as failure of electrical supply, failure of computer hardware and software errors. Transactions in the EFT Processing Segment are processed through our Budapest, Beijing, Mumbai and Karachi processing centers. Transactions in the epay Segment are processed through our Basildon, Martinsried, Milan and Kansas City, Missouri processing centers. Transactions in our Money Transfer Segment are processed through our Buena Park, California processing center. Any operational problem in these centers may have a significant adverse impact on the operation of our networks. Even with disaster recovery procedures in place, these risks cannot be eliminated entirely, and any technical failure that prevents operation of our systems for a significant period of time will prevent us from processing transactions during that period of time and will directly and adversely affect our revenues and financial results.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are subject to the risks of liability for fraudulent bankcard and other card transactions involving a breach in our security systems, breaches of our information security policies or safeguards, as well as for ATM theft and vandalism.</w:t>
      </w:r>
    </w:p>
    <w:p>
      <w:pPr>
        <w:spacing w:after="0" w:line="16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We capture, transmit, handle and store sensitive information in conducting and managing electronic, financial and mobile transactions, such as card information and PIN numbers. These businesses involve certain inherent security risks, in particular: the risk of electronic interception and theft of the information for use in fraudulent or other card transactions by persons outside the Company or by our own employees; and the use of fraudulent cards on our network of owned or outsourced ATMs and POS devices. We incorporate industry-standard encryption technology and processing methodology into our systems and software, and maintain controls and procedures regarding access to our computer systems by employees and others, to maintain high levels of security. Although this technology and methodology decrease security risks, they cannot be eliminated entirely as criminal elements apply increasingly sophisticated technology to attempt to obtain unauthorized access to the information handled by ATM and electronic financial transaction networks. In addition, the cost and timeframes required for implementation of new technology may result in a time lag between availability of such technology and our adoption of it. Further, our controls, procedures and technology may not be able to detect when there is a breach, causing a delay in our ability to mitigate it. We have been the subject of a computer security breach and cannot exclude the possibility of additional breaches in the future.</w:t>
      </w:r>
    </w:p>
    <w:p>
      <w:pPr>
        <w:spacing w:after="0" w:line="16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Any breach in our security systems could result in the perpetration of fraudulent financial transactions for which we may bear the liability. We are insured against various risks, including theft and negligence, but such insurance coverage is subject to deductibles, exclusions and limitations that may leave us bearing some or all of any losses arising from security breaches.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collect, transfer and retain consumer data as part of our money transfer business. These activities are subject to certain consumer privacy laws and regulations in the U.S. and in other jurisdictions where our money transfer services are offered. We maintain technical and operational safeguards designed to comply with applicable legal requirements. Despite these safeguards, there remains a risk that these safeguards could be breached resulting in improper access to, and disclosure of, sensitive consumer information. Breaches of our security policies or applicable legal requirements resulting in a compromise of consumer data could expose us to regulatory enforcement action, subject us to litigation, limit our ability to provide money transfer services and/or cause harm to our reputation.</w:t>
      </w:r>
    </w:p>
    <w:p>
      <w:pPr>
        <w:spacing w:after="0" w:line="193"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addition to electronic fraud issues and breaches of our information security policies and safeguards, the possible theft and vandalism of ATMs present risks for our ATM business. We install ATMs at high-traffic sites and consequently our ATMs are exposed to theft and vandalism. Although we are insured against such risks, deductibles, exclusions or limitations in such insurance may leave us bearing some or all of any losses arising from theft or vandalism of ATMs. In addition, we have experienced increases in claims under our insurance, which has increased our insurance premiums.</w:t>
      </w:r>
    </w:p>
    <w:p>
      <w:pPr>
        <w:spacing w:after="0" w:line="16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Deliberate, malicious acts, including terrorism, could damage our facilities, disrupt our operations or injure employees, contractors, customers or the public and result in liability to us.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Intentional acts of destruction could hinder our sales. Our facilities could be damaged or destroyed, requiring us to repair or replace our facilities at substantial cost. Employees, contractors and the public could suffer substantial physical injury for which we could be liable. Governmental authorities may impose security or other requirements that could make our operations more difficult or costly. The consequences of any such actions could adversely affect our operating results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incur substantial losses if one of the third party depository institutions we use in our operations were to fail.</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part of our business operations, we maintain cash balances at third party depository institutions. We could incur substantial losses if a financial institution in which we have significant deposits fails.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We are required under certain national laws and the rules of financial transaction switching networks in all of our markets to have ''sponsors'' to operate ATMs and switch ATM transactions. Our failure to secure ''sponsor'' arrangements in any of our markets could prevent us from doing business in that market.</w:t>
      </w:r>
    </w:p>
    <w:p>
      <w:pPr>
        <w:spacing w:after="0" w:line="1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Under the laws of some countries, only a licensed financial institution may operate ATMs. Because we are not a licensed financial institution we are required to have a ''sponsor'' bank to conduct ATM operations in those countries. In addition, in all of our markets, our ATMs are connected to national financial transaction switching networks owned or operated by banks, and to other international financial transaction switching networks operated by organizations such as Citibank, Visa and MasterCard. The rules governing these switching networks require any company sending transactions through these switches to be a bank or a technical service processor that is approved and monitored by a bank. As a result, the operation of our ATM network in all of our markets depends on our ability to secure these ''sponsor'' arrangements with financial institutions.</w:t>
      </w:r>
    </w:p>
    <w:p>
      <w:pPr>
        <w:spacing w:after="0" w:line="178"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To date, we have been successful in reaching contractual arrangements that have permitted us to operate in all of our target markets. However, we cannot assure you that we will continue to be successful in reaching these arrangements, and it is possible that our current arrangements will not continue to be renewed. If we are unable to secure “sponsor” arrangements in any market, we could be prevented from doing business in that market.</w:t>
      </w:r>
    </w:p>
    <w:p>
      <w:pPr>
        <w:spacing w:after="0" w:line="143"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Competition in our EFT Processing Segment has increased over the last several years, increasing the risk that certain of our long-term bank outsourcing contracts may be terminated or not renewed upon expiration.</w:t>
      </w:r>
    </w:p>
    <w:p>
      <w:pPr>
        <w:spacing w:after="0" w:line="16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developing markets in which we have done business have matured over the years, resulting in increasing competition. In addition, as consolidation of financial institutions in Central and Eastern Europe continues, certain of our customers have established or are establishing internal ATM management and processing capabilities. As a result of these developments, negotiations regarding renewal of contracts have become increasingly challenging and in certain cases we have reduced fees to extend contracts beyond their original terms. In certain other cases, contracts have been, and in the future may be, terminated by financial institutions resulting in a substantial reduction in revenue. Contract termination payments, if any, may be inadequate to replace revenues and operating income associated with these contracts. Although we have historically considered the risk of non-renewal of major contracts to be relatively low because of complex interfaces and operational procedures established for those contracts, the risk of non-renewal or early termination is increasing.</w:t>
      </w:r>
    </w:p>
    <w:p>
      <w:pPr>
        <w:spacing w:after="0" w:line="163"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Our operating results in the money transfer business depend in part on continued worker immigration patterns, our ability to expand our share of the existing electronic market and to expand into new markets and our ability to continue complying with regulations issued by the Office of Foreign Assets Control (“OFAC”), Bank Secrecy Act (“BSA”), Financial Crimes Enforcement Network (“FINCEN”), PATRIOT Act regulations or any other existing or future regulations that impact any aspect of our money transfer business.</w:t>
      </w:r>
    </w:p>
    <w:p>
      <w:pPr>
        <w:spacing w:after="0" w:line="16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money transfer business primarily focuses on workers who migrate to foreign countries in search of employment and then send a portion of their earnings to family members in their home countries. Changes in U.S. and foreign government policies or enforcement toward immigration may have a negative effect on immigration in the U.S. and other countries, which could also have an adverse impact on our money transfer revenues.</w:t>
      </w:r>
    </w:p>
    <w:p>
      <w:pPr>
        <w:spacing w:after="0" w:line="16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Both U.S. and foreign regulators have become increasingly aggressive in the enforcement of the various regulatory regimes applicable to our businesses and the imposition of fines and penalties in the event of violations. Our ability to continue complying with the requirements of OFAC, BSA, FINCEN, the PATRIOT Act and other regulations (both U.S. and foreign) is important to our success in achieving growth and an inability to do this could have an adverse impact on our revenues and earnings. Anti-money laundering regulations require us to be responsible for the compliance by agents with such regulations. Although we have training and compliance programs in place, we cannot be certain our agents will comply with such regulations and we may be held responsible for their failure to comply, resulting in fines and penalties.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Future growth and profitability depend upon expansion within the markets in which we currently operate and the development of new markets for our money transfer services. Our expansion into new markets is dependent upon our ability to successfully apply our existing technology or to develop new applications to satisfy market demand. We may not have adequate financial and technological resources to expand our distribution channels and product applications to satisfy these demands, which may have an adverse impact on our ability to achieve expected growth in revenues and earnings.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Changes in state, federal or foreign laws, rules and regulations could impact the money transfer industry, making it more difficult for our customers to initiate money transfers.</w:t>
      </w:r>
    </w:p>
    <w:p>
      <w:pPr>
        <w:spacing w:after="0" w:line="16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money transfer services are subject to regulation by the U.S. states in which we operate, by the U.S. federal government and by the governments of the other countries in which we operate. Changes in the laws, rules and regulations of these governmental entities, and our ability to obtain or retain required licensure, could have a material adverse impact on our results of operations, financial condition and cash flow.</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banking industry regulation and practice could make it more difficult for us and our agents to maintain depository accounts with banks.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banking industry, in light of increased regulatory oversight, is continually examining its business relationships with companies who offer money transfer services and with retail agents who collect and remit cash collected from end consumers. Should banks decide to not offer depository services to companies engaged in processing money transfer transactions, or to retail agents who collect and remit cash from end customers, our ability to administer and collect fees from money transfer transactions could be adversely impacted.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maintain our money transfer agent and correspondent networks, our business may be adversely affected.</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money transfer based revenues are primarily generated through the use of our agent and correspondent networks. Transaction volumes at existing locations may increase over time and new agents provide us with additional revenues. If agents or correspondents decide to leave our network or if we are unable to sign new agents or correspondents, our revenue and profit growth rates may be adversely affected. Our agents and correspondents are also subject to a wide variety of laws and regulations that vary significantly, depending on the legal jurisdiction. Changes in these laws and regulations could adversely affect our ability to maintain the networks or the cost of providing money transfer services. In addition, agents may generate fewer transactions or less revenue due to various factors, including increased competition. Because our agents and correspondents are third parties that may sell products and provide services in addition to our money transfer services, they may encounter business difficulties unrelated to the provision of our services, which may cause the agents or correspondents to reduce their number of locations or hours of operation, or cease doing business altogether.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consumer confidence in our money transfer business or brands declines, our business may be adversely affected.</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Our money transfer business relies on consumer confidence in our brands and our ability to provide efficient and reliable money transfer services. A decline in consumer confidence in our business or brands, or in traditional money transfer providers as a means to transfer money, may adversely impact transaction volumes which would, in turn, be expected to adversely impact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money transfer service offerings are dependent on financial institutions to provide such offerings.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money transfer business involves transferring funds internationally and is dependent upon foreign and domestic financial institutions, including our competitors, to execute funds transfers and foreign currency transactions. Changes to existing regulations of financial institution operations, such as those designed to combat terrorism or money laundering, could require us to alter our operating procedures in a manner that increases our cost of doing business or to terminate certain product offerings. In addition, as a result of existing regulations and/or changes to those regulations, financial institutions could decide to cease providing the services on which we depend, requiring us to terminate certain product offerings.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Dodd-Frank Act could have an adverse effect on our ability to hedge risks associated with our business.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Dodd-Frank Act establishes federal oversight and regulation of the over-the-counter derivatives market and entities that participate in that market. The act requires the U.S Commodity Futures Trade Commission ("CFTC") to institute broad new position limits for futures and options traded on regulated exchanges. As the law favors exchange trading and clearing, the Dodd-Frank Act also may require us to move certain derivatives transactions to exchanges where no trade credit is provided and also comply with margin requirements in connection with our derivatives activities that are not exchange traded, although the application of those provisions to us is uncertain at this time. The Dodd-Frank Act also requires many counterparties to our derivatives instruments to spin off some of their derivatives activities to a separate entity, which may not be as creditworthy as the current counterparty, or cause the entity to comply with the capital requirements, which could result in increased costs to counterparties such as us. The Dodd-Frank Act and any new regulations could (i) significantly increase the cost of derivative contracts (including requirements to post collateral, which could adversely affect our available liquidity); (ii) reduce the availability of derivatives to protect against risks we encounter; and (iii) reduce the liquidity of foreign currency related derivatives.</w:t>
      </w:r>
    </w:p>
    <w:p>
      <w:pPr>
        <w:spacing w:after="0" w:line="19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If we reduce our use of derivatives as a result of the legislation and regulations, our results of operations may become more volatile and our cash flows may be less predictable, which could adversely affect our ability to plan for and fund capital expenditures. Increased volatility may make us less attractive to certain types of investors. Any of these consequences could have a material adverse effect on our financial condition and results of operations.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executive offices are located in Leawood, Kansas. As of December 31, 2013, we also have 30 principal offices in Europe, 10 in Asia Pacific, six in North America, three in the Middle East, two in South America and one in Africa. Our office leases generally provide for initial terms ranging from two to twelve years.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processing centers for the EFT Processing Segment are located in Budapest, Hungary; Beijing, China; Mumbai, India; and Karachi, Pakistan. Our processing centers for the epay Segment are located in Basildon, U.K.; Martinsried, Germany; Kansas City, Missouri; and Milan, Italy. Our processing center for the Money Transfer Segment is located in Buena Park, California.</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of our processing centers are leased and have off-site real time backup processing centers that are capable of providing full or partial processing services in the event of failure of the primary processing centers.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discussion regarding litigation in Part II, Item 8 - Financial Statements and Supplementary Data and Note 19, Litigation and Contingencies, to the Consolidated Financial Statements included elsewhere in this report is incorporated herein by reference.</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Currently, there are no other legal or regulatory proceedings that management believes, either individually or in the aggregate, would have a material adverse effect upon the consolidated financial statements of the Company.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Common Stock, $0.02 par value per share (“Common Stock”), is quoted on the NASDAQ Global Select Market under the symbol EEFT. The following table sets forth the high and low daily sales prices during the quarters indicated for our Common Stock:</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2013</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2012</w:t>
            </w:r>
          </w:p>
        </w:tc>
        <w:tc>
          <w:tcPr>
            <w:tcW w:w="68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 the quarters ended</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High</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Low</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18.46</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39.98</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31.91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18.87</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15.97</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15.91</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March 31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26.48</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21.03</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17.50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Since our inception, no dividends have been paid on our Common Stock or Preferred Stock. We do not intend to distribute dividends for the foreseeable future. Certain of our credit facilities contain restrictions on the payment of dividends without lender consent.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At December 31, 2013, we had 49 stockholders of record of our Common Stock, and none of our Preferred Stock was outstanding. This figure does not include an estimate of the indeterminate number of beneficial holders whose shares may be held of record by brokerage firms and clearing agencies.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 and Issuances of Equity</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2013, we did not issue any equity securities that were not registered under the Securities Act of 1933, which have not been previously reported in a Quarterly Report on Form 10-Q or a Current Report on Form 8-K.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Set forth below is a graph comparing the total cumulative return on our Common Stock from December 31, 2008 through December 31, 2013 with the Total Returns Index for U.S. companies traded on the NASDAQ Global Select Market (the “Market Group”) and an index group of peer companies, the Total Returns Index for U.S. NASDAQ Financial Stocks (the “Peer Group”). Returns are based on monthly changes in price and assume reinvested dividends. These calculations assume the value of an investment in the Common Stock, the Market Group and the Peer Group was $100 on December 31, 2008.</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performance graph and related text are being furnished to and not filed with the SEC, and will not be deemed to be “soliciting material” or subject to Regulation 14A or 14C under the Exchange Act or to the liabilities of Section 18 of the Exchange Act and will not be deemed to be incorporated by reference into any filing under the Securities Act of 1933 or the Exchange Act, except to the extent we specifically incorporate such information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694055</wp:posOffset>
            </wp:positionV>
            <wp:extent cx="5848985" cy="3464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346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NOTE: Derived from CRSP NASDAQ Stock Market (US Companies) and CRSP NASDAQ Financial Index, Center for Research in Security Prices (CRSP®), Graduate School of Business, The University of Chicago. Copyright 2014. Used with permission.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sets forth information with respect to shares of Common Stock that may be issued under our equity compensation plans as of December 31, 2013.</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449"/>
        </w:trPr>
        <w:tc>
          <w:tcPr>
            <w:tcW w:w="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 of Securities to be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 Exercise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Outstanding Options and</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Plans (Excluding Securities</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55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Options and Rights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1"/>
              </w:rPr>
              <w:t>Rights</w:t>
            </w:r>
          </w:p>
        </w:tc>
        <w:tc>
          <w:tcPr>
            <w:tcW w:w="12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Reflected in Column (a))(1)</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66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right"/>
              <w:ind w:right="43"/>
              <w:spacing w:after="0"/>
              <w:rPr>
                <w:sz w:val="20"/>
                <w:szCs w:val="20"/>
                <w:color w:val="auto"/>
              </w:rPr>
            </w:pPr>
            <w:r>
              <w:rPr>
                <w:rFonts w:ascii="Arial" w:cs="Arial" w:eastAsia="Arial" w:hAnsi="Arial"/>
                <w:sz w:val="18"/>
                <w:szCs w:val="18"/>
                <w:color w:val="auto"/>
              </w:rPr>
              <w:t>5,715,695</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5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Stock option awards</w:t>
            </w:r>
          </w:p>
        </w:tc>
        <w:tc>
          <w:tcPr>
            <w:tcW w:w="1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4,067,411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19.16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Restricted stock unit awards</w:t>
            </w:r>
          </w:p>
        </w:tc>
        <w:tc>
          <w:tcPr>
            <w:tcW w:w="1800" w:type="dxa"/>
            <w:vAlign w:val="bottom"/>
          </w:tcPr>
          <w:p>
            <w:pPr>
              <w:jc w:val="right"/>
              <w:ind w:right="40"/>
              <w:spacing w:after="0"/>
              <w:rPr>
                <w:sz w:val="20"/>
                <w:szCs w:val="20"/>
                <w:color w:val="auto"/>
              </w:rPr>
            </w:pPr>
            <w:r>
              <w:rPr>
                <w:rFonts w:ascii="Arial" w:cs="Arial" w:eastAsia="Arial" w:hAnsi="Arial"/>
                <w:sz w:val="18"/>
                <w:szCs w:val="18"/>
                <w:color w:val="auto"/>
              </w:rPr>
              <w:t>929,703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4,997,114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0"/>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8"/>
                <w:szCs w:val="18"/>
                <w:color w:val="auto"/>
              </w:rPr>
              <w:t>5,715,695</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jc w:val="right"/>
              <w:ind w:right="3013"/>
              <w:spacing w:after="0"/>
              <w:rPr>
                <w:sz w:val="20"/>
                <w:szCs w:val="20"/>
                <w:color w:val="auto"/>
              </w:rPr>
            </w:pPr>
            <w:r>
              <w:rPr>
                <w:rFonts w:ascii="Arial" w:cs="Arial" w:eastAsia="Arial" w:hAnsi="Arial"/>
                <w:sz w:val="18"/>
                <w:szCs w:val="18"/>
                <w:color w:val="auto"/>
                <w:w w:val="89"/>
              </w:rPr>
              <w:t>____________________________</w:t>
            </w:r>
          </w:p>
        </w:tc>
        <w:tc>
          <w:tcPr>
            <w:tcW w:w="120" w:type="dxa"/>
            <w:vAlign w:val="bottom"/>
            <w:vMerge w:val="restart"/>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firstLine="8"/>
        <w:spacing w:after="0" w:line="261"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this column is 0.4 million shares remaining under our employee stock purchase plan. During 2013, Euronet issued 44,323 shares to employees under the employee stock purchase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fourth quarter of 2013, Euronet did not repurchase any shares of Common Stock. At December 31, 2013, the maximum number of shares that could be purchased by of Euronet under our share buyback program was $100 million in value or 5 million shares. Through February 26, 2014, there were no repurchases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5"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following information should be read in conjunction with Item 7 - Management's Discussion and Analysis of Financial Condition and Results of Operations and our Consolidated Financial Statements and accompanying notes contained in Item 8 - Financial Statements and Supplementary Data in this report. The historical results are not necessarily indicative of the results to be expected in any future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 Ended December 31,</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 except per share amounts)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2009</w:t>
            </w: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statement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1,413,169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1,267,601</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1,161,304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1,038,269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1,032,694</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expenses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1,229,705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1,145,429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1,021,710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975,504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904,406</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65,053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64,167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60,457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57,496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56,023</w:t>
            </w:r>
          </w:p>
        </w:tc>
      </w:tr>
      <w:tr>
        <w:trPr>
          <w:trHeight w:val="27"/>
        </w:trPr>
        <w:tc>
          <w:tcPr>
            <w:tcW w:w="20" w:type="dxa"/>
            <w:vAlign w:val="bottom"/>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58,005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72,265</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Other expenses,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(11,613)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(17,026)</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from unconsolidated affiliates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1,934</w:t>
            </w:r>
          </w:p>
        </w:tc>
      </w:tr>
      <w:tr>
        <w:trPr>
          <w:trHeight w:val="209"/>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Income (loss) from continuing operations before income</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tcPr>
          <w:p>
            <w:pPr>
              <w:ind w:left="320"/>
              <w:spacing w:after="0"/>
              <w:rPr>
                <w:sz w:val="20"/>
                <w:szCs w:val="20"/>
                <w:color w:val="auto"/>
              </w:rPr>
            </w:pPr>
            <w:r>
              <w:rPr>
                <w:rFonts w:ascii="Arial" w:cs="Arial" w:eastAsia="Arial" w:hAnsi="Arial"/>
                <w:sz w:val="18"/>
                <w:szCs w:val="18"/>
                <w:color w:val="auto"/>
              </w:rPr>
              <w:t>taxes</w:t>
            </w: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115,085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47,334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62,792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57,173</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(26,937)</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(25,836)</w:t>
            </w:r>
          </w:p>
        </w:tc>
      </w:tr>
      <w:tr>
        <w:trPr>
          <w:trHeight w:val="297"/>
        </w:trPr>
        <w:tc>
          <w:tcPr>
            <w:tcW w:w="20" w:type="dxa"/>
            <w:vAlign w:val="bottom"/>
          </w:tcPr>
          <w:p>
            <w:pPr>
              <w:spacing w:after="0"/>
              <w:rPr>
                <w:sz w:val="24"/>
                <w:szCs w:val="24"/>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87,353</w:t>
            </w: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20,397</w:t>
            </w:r>
          </w:p>
        </w:tc>
        <w:tc>
          <w:tcPr>
            <w:tcW w:w="42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38,088</w:t>
            </w: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(37,917)</w:t>
            </w: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31,337</w:t>
            </w:r>
          </w:p>
        </w:tc>
      </w:tr>
      <w:tr>
        <w:trPr>
          <w:trHeight w:val="237"/>
        </w:trPr>
        <w:tc>
          <w:tcPr>
            <w:tcW w:w="20" w:type="dxa"/>
            <w:vAlign w:val="bottom"/>
          </w:tcPr>
          <w:p>
            <w:pPr>
              <w:spacing w:after="0"/>
              <w:rPr>
                <w:sz w:val="20"/>
                <w:szCs w:val="20"/>
                <w:color w:val="auto"/>
              </w:rPr>
            </w:pPr>
          </w:p>
        </w:tc>
        <w:tc>
          <w:tcPr>
            <w:tcW w:w="46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Earnings (loss) per share from continuing operations: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0.41</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0.59</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0.58</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Balance sheet data </w:t>
            </w:r>
            <w:r>
              <w:rPr>
                <w:rFonts w:ascii="Arial" w:cs="Arial" w:eastAsia="Arial" w:hAnsi="Arial"/>
                <w:sz w:val="14"/>
                <w:szCs w:val="14"/>
                <w:b w:val="1"/>
                <w:bCs w:val="1"/>
                <w:color w:val="auto"/>
              </w:rPr>
              <w:t>(at period end)</w:t>
            </w: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1,598,115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1,551,536</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1,506,329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1,409,372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1,412,679</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Debt obligations, long-term portion</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188,510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286,703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161,694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286,105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320,283</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Capital lease obligations, long-term portion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1,997</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b w:val="1"/>
                <w:bCs w:val="1"/>
                <w:color w:val="auto"/>
              </w:rPr>
              <w:t>Summary network data</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Number of operational ATMs at end of period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9,720</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EFT processing transactions during the period (millions)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703</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Number of operational prepaid processing POS terminals at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end of period (rounded)</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665,000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680,000</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563,000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498,000</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w w:val="95"/>
              </w:rPr>
              <w:t>Prepaid processing transactions during the period (millions)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777</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Money transfer transactions during the period (millions)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r>
      <w:tr>
        <w:trPr>
          <w:trHeight w:val="218"/>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___________________</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ind w:left="400" w:right="40" w:hanging="378"/>
        <w:spacing w:after="0" w:line="254"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2013, 2012, 2010, and 2009 include non-cash charges related to impairment of goodwill and acquired intangible assets of $18.4 million, $28.7 million, $70.9 million, and $9.9 million, respectively. Additionally, in 2013 results include a $19.3 million non-cash acquisition-related contingent consideration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and card outsourcing services, card issuing and merchant acquiring services; electronic distribution of prepaid mobile airtime and other electronic payment products; and global consumer money transfer services. We operate in the following three segments:</w:t>
      </w:r>
    </w:p>
    <w:p>
      <w:pPr>
        <w:spacing w:after="0" w:line="63" w:lineRule="exact"/>
        <w:rPr>
          <w:sz w:val="20"/>
          <w:szCs w:val="20"/>
          <w:color w:val="auto"/>
        </w:rPr>
      </w:pPr>
    </w:p>
    <w:p>
      <w:pPr>
        <w:ind w:left="980" w:hanging="648"/>
        <w:spacing w:after="0" w:line="25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EFT Processing Segment, which processes transactions for a network of 18,311 ATMs and approximately 68,000 POS terminals across Europe, the Middle East and Asia Pacific. We provide comprehensive electronic payment solutions consisting of ATM cash withdrawal services, ATM network participation, outsourced ATM and POS management solutions, credit and debit card outsourcing, dynamic currency conversion, and other value added services. Through this segment, we also offer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80" w:hanging="648"/>
        <w:spacing w:after="0" w:line="259"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epay Segment, which provides distribution and collection services for prepaid mobile airtime and other electronic payment products. We operate a network of approximately 665,000 POS terminals providing electronic processing of prepaid mobile airtime top-up services and other electronic payment products in Europe, the Middle East, Asia Pacific, the United States and South America. We also provide vouchers and physical gift fulfillment services in Europe.</w:t>
      </w:r>
    </w:p>
    <w:p>
      <w:pPr>
        <w:spacing w:after="0" w:line="78" w:lineRule="exact"/>
        <w:rPr>
          <w:rFonts w:ascii="Arial" w:cs="Arial" w:eastAsia="Arial" w:hAnsi="Arial"/>
          <w:sz w:val="18"/>
          <w:szCs w:val="18"/>
          <w:color w:val="auto"/>
        </w:rPr>
      </w:pPr>
    </w:p>
    <w:p>
      <w:pPr>
        <w:ind w:left="980" w:hanging="648"/>
        <w:spacing w:after="0" w:line="255"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Money Transfer Segment, which provides global consumer-to-consumer money transfer services, primarily under the brand name Ria. We offer this service through a network of sending agents, Company-owned stores (primarily in North America and Europe) and via the Company's website (at riamoneytransfer.com), disbursing money transfers through a worldwide correspondent network that includes approximately 216,000 locations.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w:t>
      </w:r>
    </w:p>
    <w:p>
      <w:pPr>
        <w:spacing w:after="0" w:line="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four processing centers in Europe, three in Asia Pacific and two in North America. We have 30 principal offices in Europe, 10 in Asia Pacific, six in North America, three in the Middle East, two in South America and one in Africa. Our executive offices are located in Leawood, Kansas, USA. With approximately 76% of our revenues denominated in currencies other than the U.S. dollar, any significant changes in foreign currency exchange rates will likely have a significant impact on our results of operations (for a further discussion, see Item 1A - Risk Factors and Item 7A - Quantitative and Qualitative Disclosures About Market Risk).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Euronet primarily earns revenues and income from ATM management fees, transaction fees, commissions and foreign currency spreads. Each operating segment’s sources of revenues are described below.</w:t>
      </w:r>
    </w:p>
    <w:p>
      <w:pPr>
        <w:spacing w:after="0" w:line="6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21% of total consolidated revenues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2013,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dynamic currency conversion transactions, and other value added services such as advertising, prepaid telecommunication recharges, bill payment, and money transfers provided over ATMs. Revenues in this segment are also derived from license fees, professional services and maintenance fees for proprietary application software and sales of related hardware.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epay Segment </w:t>
      </w:r>
      <w:r>
        <w:rPr>
          <w:rFonts w:ascii="Arial" w:cs="Arial" w:eastAsia="Arial" w:hAnsi="Arial"/>
          <w:sz w:val="16"/>
          <w:szCs w:val="16"/>
          <w:color w:val="auto"/>
        </w:rPr>
        <w:t>— Revenues in the epay Segment, which represented approximately 53% of total consolidated revenues for the year ended December 31, 2013,</w:t>
      </w:r>
      <w:r>
        <w:rPr>
          <w:rFonts w:ascii="Arial" w:cs="Arial" w:eastAsia="Arial" w:hAnsi="Arial"/>
          <w:sz w:val="16"/>
          <w:szCs w:val="16"/>
          <w:i w:val="1"/>
          <w:iCs w:val="1"/>
          <w:color w:val="auto"/>
        </w:rPr>
        <w:t xml:space="preserve"> </w:t>
      </w:r>
      <w:r>
        <w:rPr>
          <w:rFonts w:ascii="Arial" w:cs="Arial" w:eastAsia="Arial" w:hAnsi="Arial"/>
          <w:sz w:val="16"/>
          <w:szCs w:val="16"/>
          <w:color w:val="auto"/>
        </w:rPr>
        <w:t>are primarily derived from commissions or processing fees received from mobile phone operators for the processing and distribution of prepaid mobile airtime and commissions earned from the distribution of other electronic payment products, vouchers, and physical gifts. Due to certain provisions in our mobile phone operator agreements, the operators have the ability to reduce the overall commission paid on top-up transactions.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profit and operating income. In some markets, reductions in commissions can significantly impact our results as it may not be possible, either contractually or commercially in the concerned market, to pass a reduction in commissions to the retailers. In certain markets, retailers may negotiate directly with the mobile phone operators and prepaid content providers for their own commission rates, which also limits our ability to pass through reductions in commissions. Agreements with mobile operators and prepaid content providers are important to the success of our business. These agreements permit us to distribute prepaid mobile airtime and other electronic payment products to the end consumer. Other electronic payment products offered by this segment include prepaid long distance calling card plans, prepaid Internet plans, prepaid debit cards, gift cards, vouchers, transport payments, lottery payments, bill payment, money transfer and digital content such as music, games and software.</w:t>
      </w:r>
    </w:p>
    <w:p>
      <w:pPr>
        <w:spacing w:after="0" w:line="6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Money Transfer Segment </w:t>
      </w:r>
      <w:r>
        <w:rPr>
          <w:rFonts w:ascii="Arial" w:cs="Arial" w:eastAsia="Arial" w:hAnsi="Arial"/>
          <w:sz w:val="17"/>
          <w:szCs w:val="17"/>
          <w:color w:val="auto"/>
        </w:rPr>
        <w:t>— Revenues in the Money Transfer Segment, which represented approximately 26% of total consolidated revenues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2013, are primarily derived from transaction fees, as well as the margin earned from purchasing foreign currency at wholesale exchange rates and selling the foreign currency to consumers at retail exchange rates. We have a sending agent network in place comprised of agents, Company-owned stores, primarily in North America and Europe, and our riamoneytransfer.com website, along with a worldwide network of correspondent agents, consisting primarily of financial institutions in the transfer destination countries. Sending and correspondent agents each earn fees for cash collection and distribution services. These fees are recognized as direct operating costs at the time of sale.</w:t>
      </w:r>
    </w:p>
    <w:p>
      <w:pPr>
        <w:spacing w:after="0" w:line="70"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Corporate Services, Eliminations and Other — In addition to operating in our principal operating segments described above, our “Corporate Services, Eliminations and Other” category includes non-operating activity, certain inter-segment eliminations and the cost of providing corporate and other administrative services to the operating segments, including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six primary areas:</w:t>
      </w:r>
    </w:p>
    <w:p>
      <w:pPr>
        <w:spacing w:after="0" w:line="117" w:lineRule="exact"/>
        <w:rPr>
          <w:sz w:val="20"/>
          <w:szCs w:val="20"/>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 and adding ATMs to our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pacing w:after="0" w:line="117" w:lineRule="exact"/>
        <w:rPr>
          <w:rFonts w:ascii="Arial" w:cs="Arial" w:eastAsia="Arial" w:hAnsi="Arial"/>
          <w:sz w:val="18"/>
          <w:szCs w:val="18"/>
          <w:color w:val="auto"/>
        </w:rPr>
      </w:pPr>
    </w:p>
    <w:p>
      <w:pPr>
        <w:ind w:left="980" w:right="50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value added services in our EFT Processing Segment, including the sale of dynamic currency conversion services to banks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our epay processing network and portfolio of electronic payment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our money transfer and bill payment network;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our credit and debit card outsourcing business.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efficiently install ATMs contracted under newly awarded outsourcing agreements;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acquisition or termination of these management contracts. Therefore, the timing of both current and new contract revenues is uncertain and unpredictable.</w:t>
      </w:r>
    </w:p>
    <w:p>
      <w:pPr>
        <w:spacing w:after="0" w:line="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 We have been able to enter into agreements under which we contribute the right to use our software in lieu of cash as our initial capital contributions to new transaction processing joint ventures. Such contributions sometimes permit us to enter new markets without significant capital investment.</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220" w:hanging="648"/>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operators,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use existing expertise and relationships with mobile operators, content providers and retailers to our advantage;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continued use of third-party providers such as ourselves to supply electronic processing solutions for existing and additional content;</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development of mobile phone networks in the markets in which we do business and the increase in the number of mobile phone users;</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market, including consumer shifts between prepaid and postpaid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right="260" w:hanging="648"/>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EFT and Money Transfer Segments,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all of the markets in which we operate, we are experiencing significant competition which will impact the rate at which we grow organically. Competition among prepaid mobile airtime distributors results in the increase of commissions paid to retailers and increases in retailer attrition rates. To grow, we must capture market share from other prepaid mobile airtime distributors, offer a superior product offering and demonstrate the value of a global network. In certain markets in which we operate, many of the factors that may contribute to rapid growth (growth in electronic payment products, expansion of our network of retailers and access to all mobile operators' products) remain present.</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125" w:right="3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220" w:hanging="64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62" w:lineRule="exact"/>
        <w:rPr>
          <w:rFonts w:ascii="Arial" w:cs="Arial" w:eastAsia="Arial" w:hAnsi="Arial"/>
          <w:sz w:val="18"/>
          <w:szCs w:val="18"/>
          <w:color w:val="auto"/>
        </w:rPr>
      </w:pPr>
    </w:p>
    <w:p>
      <w:pPr>
        <w:ind w:left="980" w:right="720" w:hanging="64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grow our online money transfer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epay Segment, including providing prepaid services through Ria’s stores and agents worldwide;</w:t>
      </w:r>
    </w:p>
    <w:p>
      <w:pPr>
        <w:spacing w:after="0" w:line="62"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Services Directive license.</w:t>
      </w:r>
    </w:p>
    <w:p>
      <w:pPr>
        <w:spacing w:after="0" w:line="33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accounting policies of each segment are the same as those referenced in the summary of significant accounting policies (see Note 3, Summary of Significant Accounting Policies and Practices, to the Consolidated Financial Statements).</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and Operating Income For The Years Ended December 31, 2013, 2012 and 2011</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Revenues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Operating Income</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2011</w:t>
            </w: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296,240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237,948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199,249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81,350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44,408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33,208</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748,680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714,125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677,051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39,461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19,501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56,774</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370,365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316,135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285,299</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31,095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24,623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17,126</w:t>
            </w:r>
          </w:p>
        </w:tc>
      </w:tr>
      <w:tr>
        <w:trPr>
          <w:trHeight w:val="237"/>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1,415,285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1,268,208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1,161,599</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151,906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88,532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107,108</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 and eliminations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(27,971)</w:t>
            </w:r>
          </w:p>
        </w:tc>
      </w:tr>
      <w:tr>
        <w:trPr>
          <w:trHeight w:val="257"/>
        </w:trPr>
        <w:tc>
          <w:tcPr>
            <w:tcW w:w="32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1,413,169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1,267,601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1,161,304</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118,411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58,005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79,137</w:t>
            </w: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annual consolidated revenues increased by 11% for 2013 compared to 2012 and by 9% for 2012 compared to 2011.</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increase in revenues for 2013 was primarily due to an increase in the number of ATMs under management, along with an increase in demand for dynamic currency conversion ("DCC") and other value added services, in our EFT Processing Segment, an increase in the number of transactions processed by our epay subsidiaries in the U.S. and Germany, an increase in the number of money transfers processed and the impact of the results of the acquired businesses of ezi-pay Limited ("ezi-pay") since November 2012 and Pure Commerce Pty Limited ("Pure Commerce") since January 2013. These increases were partly offset by a decrease in the number of prepaid transactions processed in Australia and the U.K. and a decrease in the average commission earned per prepaid transaction in Brazil.</w:t>
      </w:r>
    </w:p>
    <w:p>
      <w:pPr>
        <w:spacing w:after="0" w:line="8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increase in revenues for 2012 was primarily due to an increase in ATMs under management, along with an increase in demand for DCC and other value added services, in our EFT Processing Segment, an increase in the number of transactions processed by our epay subsidiaries in the U.S. and Germany, an increase in the number of money transfers processed and the impact of full year results from the acquisition of cadooz (located in Germany) in September 2011. These increases were partly offset by a decrease in the number of prepaid transactions processed in Australia, Brazil and Spain, a decrease in the average commission earned per prepaid mobile transaction in the U.K. and the impact of the weaker foreign currencies.</w:t>
      </w:r>
    </w:p>
    <w:p>
      <w:pPr>
        <w:spacing w:after="0" w:line="5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operating income for 2013 and 2012 includes non-cash goodwill and intangible asset impairment charges of $18.4 million and $28.7 million, respectively, as discussed in Note 8, Goodwill and Acquired Intangible Assets, Net, to the Consolidated Financial Statements. Additionally, operating income for 2013 includes a $19.3 million acquisition-related contingent consideration gain, as discussed in Note 17, Financial Instruments and Fair Value Measurements, to the Consolidated Financial Statements. Excluding the impairment charges and the contingent consideration gain, our operating income increased by 35% for 2013 compared to 2012 and 10% for 2012 compared to 2011.</w:t>
      </w:r>
    </w:p>
    <w:p>
      <w:pPr>
        <w:spacing w:after="0" w:line="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Excluding the impairment charges and contingent consideration gain, the remaining increase for 2013 was primarily due to the increase in ATMs under management, along with the increase in demand for DCC and other value added services, the increase in the number of prepaid transactions processed in the U.S. and Germany, the increase in the number of money transfer transactions processed and the acquisition of ezi-pay. These increases were partly offset by the decrease in revenues at our epay subsidiary in Australia.</w:t>
      </w:r>
    </w:p>
    <w:p>
      <w:pPr>
        <w:spacing w:after="0" w:line="79"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Excluding the impairment charges, the remaining increase for 2012 was primarily due to the increase in ATMs under management, along with the increase in demand for DCC and other value added services, the increase in the number of transactions processed by our epay subsidiaries in the U.S. and Germany, the increase in the number of money transfers processed and the impact of full year results from the acquisition of cadooz. These increases were partly offset by the decrease in revenues at our epay subsidiaries in Australia, Brazil and Spain and the impact of the weaker foreign currencies.</w:t>
      </w:r>
    </w:p>
    <w:p>
      <w:pPr>
        <w:spacing w:after="0" w:line="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Net income attributable to Euronet for 2013, 2012 and 2011 was $88.0 million, or $1.69 per diluted share, $20.5 million, or $0.40 per diluted share, and $37.0 million, or $0.71 per diluted share, respectively.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revenues and local expenses are recorded in the functional currencies of our operating entities; therefore, amounts we earn outside the U.S. are negatively impacted by the stronger U.S. dollar and positively impacted by the weaker U.S. dollar. Considering the results by country and the associated functional currency, our consolidated operating income for 2013 was not significantly influenced by the changes in foreign currency exchange rates when compared to 2012. However, we estimate that our consolidated operating income for 2012 was approximately 6% higher when compared to 2011 as a result of changes in foreign currency exchange rates. If significant, in our discussion we will refer to the impact of fluctuations in foreign currency exchange rates in our comparison of operating segment results. To provide further perspective on the impact of foreign currency exchange rates, the following table shows the changes in values relative to the U.S. dollar during 2013 and 2012, of the currencies of the countries in which we have our most significant operations: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Average Translation Rate</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2013 Increase</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6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(Decrease)</w:t>
            </w:r>
          </w:p>
        </w:tc>
        <w:tc>
          <w:tcPr>
            <w:tcW w:w="1020" w:type="dxa"/>
            <w:vAlign w:val="bottom"/>
            <w:vMerge w:val="restart"/>
          </w:tcPr>
          <w:p>
            <w:pPr>
              <w:jc w:val="right"/>
              <w:spacing w:after="0" w:line="139" w:lineRule="exact"/>
              <w:rPr>
                <w:sz w:val="20"/>
                <w:szCs w:val="20"/>
                <w:color w:val="auto"/>
              </w:rPr>
            </w:pPr>
            <w:r>
              <w:rPr>
                <w:rFonts w:ascii="Arial" w:cs="Arial" w:eastAsia="Arial" w:hAnsi="Arial"/>
                <w:sz w:val="14"/>
                <w:szCs w:val="14"/>
                <w:b w:val="1"/>
                <w:bCs w:val="1"/>
                <w:color w:val="auto"/>
                <w:w w:val="96"/>
              </w:rPr>
              <w:t>2012 Decrease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Currency</w:t>
            </w:r>
          </w:p>
        </w:tc>
        <w:tc>
          <w:tcPr>
            <w:tcW w:w="10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restart"/>
          </w:tcPr>
          <w:p>
            <w:pPr>
              <w:jc w:val="center"/>
              <w:ind w:right="252"/>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2011</w:t>
            </w:r>
          </w:p>
        </w:tc>
        <w:tc>
          <w:tcPr>
            <w:tcW w:w="12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w w:val="89"/>
              </w:rPr>
              <w:t>Percent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Australian dollar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0.9677</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1.0329</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Brazilian real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0.4654</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0.5143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0.5993</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British pound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1.5645</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1.6042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euro</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1.3284</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1.2862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1.3923</w:t>
            </w:r>
          </w:p>
        </w:tc>
        <w:tc>
          <w:tcPr>
            <w:tcW w:w="114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Hungarian forint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0.0045</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0.0045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0.0050</w:t>
            </w:r>
          </w:p>
        </w:tc>
        <w:tc>
          <w:tcPr>
            <w:tcW w:w="12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n/m</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Indian rupee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0.0172</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0.0188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0.0215</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Polish zloty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0.3170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0.3080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0.3395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___________________</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Years Ended December 31, 2013, 2012 and 2011 - By Operating Segment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EFT Processing Segment for the years ended December 31, 2013 and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18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3"/>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Increase Percent</w:t>
            </w:r>
          </w:p>
        </w:tc>
        <w:tc>
          <w:tcPr>
            <w:tcW w:w="0" w:type="dxa"/>
            <w:vAlign w:val="bottom"/>
          </w:tcPr>
          <w:p>
            <w:pPr>
              <w:spacing w:after="0"/>
              <w:rPr>
                <w:sz w:val="1"/>
                <w:szCs w:val="1"/>
                <w:color w:val="auto"/>
              </w:rPr>
            </w:pPr>
          </w:p>
        </w:tc>
      </w:tr>
      <w:tr>
        <w:trPr>
          <w:trHeight w:val="192"/>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296,240</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237,948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58,292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141,381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114,826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26,555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40,150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32,784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7,366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23,141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20,628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2,513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Acquisition-related contingent consideration gain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(19,319)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(19,319)</w:t>
            </w:r>
          </w:p>
        </w:tc>
        <w:tc>
          <w:tcPr>
            <w:tcW w:w="220" w:type="dxa"/>
            <w:vAlign w:val="bottom"/>
          </w:tcPr>
          <w:p>
            <w:pPr>
              <w:spacing w:after="0"/>
              <w:rPr>
                <w:sz w:val="21"/>
                <w:szCs w:val="21"/>
                <w:color w:val="auto"/>
              </w:rPr>
            </w:pPr>
          </w:p>
        </w:tc>
        <w:tc>
          <w:tcPr>
            <w:tcW w:w="1100" w:type="dxa"/>
            <w:vAlign w:val="bottom"/>
          </w:tcPr>
          <w:p>
            <w:pPr>
              <w:jc w:val="right"/>
              <w:ind w:right="9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29,537</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25,302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4,235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614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214,890</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193,540</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21,350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81,350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44,408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36,942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1,188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1,164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24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ATMs as of December 31</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18,311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Average ATMs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17,764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16,692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1,072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revenues for 2013 increased when compared to 2012, primarily due to an increase in the number of ATMs under management, an increase in transactions processed on brown label ATMs in India, an increase in demand for dynamic currency conversion ("DCC") and other valued added services on our ATMs under management and the impact of DCC revenues earned on POS devices from our acquisition of Pure Commerce in January 2013.</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Average monthly revenues per ATM were $1,390 for 2013 compared to $1,188 for 2012. Revenues per transaction were $0.25 for 2013 compared to $0.20 for 2012. These increases were primarily the result of revenue growth from DCC and other value added services, both of which earn higher revenues per transaction than other ATM services and the cancellation of an ATM driving and managed services contract in India. The revenues per ATM and per transaction earned under the canceled contract were significantly lower than other ATM services.</w:t>
      </w:r>
    </w:p>
    <w:p>
      <w:pPr>
        <w:spacing w:after="0" w:line="7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contracts in the EFT Processing Segment tend to cover large numbers of ATMs, so significant increases and decreases in our pool of managed ATMs could result from entry into or termination of these management contracts. Banks have historically been very deliberate in negotiating these agreements and have evaluated a wide range of matters when deciding to choose an outsource vendor. Generally, the process of negotiating a new agreement is subject to extensive management analysis and approvals and the process typically takes several months. Increasing consolidation in the banking industry could make this process less predictable.</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existing contracts generally have terms of five to seven years and a number of them will expire or be up for renewal each year for the next few years. As a result, we expect to be regularly engaged in discussions with one or more of our customer banks to either renew or restructure our ATM outsourcing agreements. For contracts that we are able to renew, as was the case for certain contract renewals in prior years, we expect customers to seek rate concessions or up-front payments because of the greater availability of alternative processing solutions in many of our markets now, as compared to when we entered into the contracts.</w:t>
      </w:r>
    </w:p>
    <w:p>
      <w:pPr>
        <w:spacing w:after="0" w:line="8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offer DCC over our Independent ATM Deployed networks, ATM networks that we operate on an outsourced basis for banks, and over ATM networks or POS devices as a stand-alone service. On ATMs or POS devices that are operated for banks, or where we offer DCC as a stand-alone service to banks or merchants, we share the foreign exchange margin. The foreign exchange margin on a DCC transaction can substantially increase the amount Euronet earns from the underlying ATM or POS transaction and increase the profitability of those ATMs on which DCC is offered.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Direct operating costs consist primarily of site rental fees, cash delivery costs, cash supply costs, maintenance, insurance, telecommunications and the cost of data center operations-related personnel, as well as the processing centers’ facility-related costs and other processing center-related expenses. Direct operating costs increased for 2013 compared to 2012 primarily due to the increase in the number of ATMs under management, the acquisition of Pure Commerce and the increase in the number of transactions processed on brown label ATMs.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Gross profit, which is calculated as revenues less direct operating costs, was $154.9 million for 2013 compared to $123.1 million for 2012. This increase was primarily due to growth in revenues from DCC and other value added services, including revenues from DCC earned on POS devices related to our acquisition of Pure Commerce and the increase in ATMs under management. Gross profit as a percentage of revenues (“gross margin”) increased to 52.3% for 2013 from 51.7% for 2012, primarily due to the increase in revenues from DCC and other value added services discussed above, both of which earn a higher gross profit than other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increase in salaries and benefits for 2013 compared to 2012 was primarily due to adding employees to support the growth in ATMs under management, along with the impact of our acquisition of Pure Commerce. As a percentage of revenues, these costs decreased slightly to 13.6% for 2013 from 13.8% for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increase in selling, general and administrative expenses for 2013 compared to 2012 was primarily due to the impact of our acquisition of Pure Commerce and costs incurred to support the growth in ATMs under management. As a percentage of revenues, selling, general and administrative expenses decreased to 7.8% for 2013 from 8.7% for 2012, primarily due to the increase in revenues from DCC and value added services discussed above, which require minimal incremental support costs.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contingent consideration gain</w:t>
      </w:r>
    </w:p>
    <w:p>
      <w:pPr>
        <w:spacing w:after="0" w:line="11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Euronet adjusted to fair value the acquisition-related contingent consideration liability related to Pure Commerce, based on its assessment that the performance targets for gross profit and EBITDA would not be met. The change in fair value resulted in the recognition of a $19.3 million gain (see further discussion in Note 17, Financial Instruments and Fair Value Measurements, to the Consolidated Financial Statements).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Depreciation and amortization expense increased for 2013 compared to 2012 primarily due to the amortization of acquired intangible assets related to Pure Commerce and the increase in ATMs under management discussed above, partly offset by certain software assets becoming fully amortized during 2013. As a percentage of revenues, depreciation and amortization expense decreased to 10.0% for 2013 from 10.6% for 2012, primarily due to the increase in revenues from DCC and other value added services discussed above, which require minimal incremental support costs.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Operating income increased for 2013 compared to 2012, primarily due to the acquisition-related contingent consideration gain, an increase in the number of ATMs under management, an increase in the number of transactions processed on brown label ATMs in India and growth in revenues earned from DCC and other value added services, partly offset by the increase in amortization expense. Excluding the acquisition-related contingent consideration gain, operating income as a percentage of revenues (“operating margin”) for 2013 was 20.9% compared to 18.7% for 2012 and operating income per transaction increased to $0.05 for 2013 from $0.04 for 2012. These increases were primarily due to the growth in revenues earned from DCC and other value added services on our ATMs under management, partly offset by the increase in amortization expense.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Compared to 2011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EFT Processing Segment for the years ended December 31, 2012 and 2011:</w:t>
      </w:r>
    </w:p>
    <w:p>
      <w:pPr>
        <w:spacing w:after="0" w:line="200" w:lineRule="exact"/>
        <w:rPr>
          <w:sz w:val="20"/>
          <w:szCs w:val="20"/>
          <w:color w:val="auto"/>
        </w:rPr>
      </w:pP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216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220"/>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vMerge w:val="restart"/>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vMerge w:val="restart"/>
          </w:tcPr>
          <w:p>
            <w:pPr>
              <w:jc w:val="right"/>
              <w:ind w:right="392"/>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Increase</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237,948</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199,249</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38,699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114,826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95,739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19,087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6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32,784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29,487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3,297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20,628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19,798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25,302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21,017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4,285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193,540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166,041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27,499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97"/>
        </w:trPr>
        <w:tc>
          <w:tcPr>
            <w:tcW w:w="608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44,408</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33,208</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11,200</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1,164</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943</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60"/>
              <w:spacing w:after="0"/>
              <w:rPr>
                <w:sz w:val="20"/>
                <w:szCs w:val="20"/>
                <w:color w:val="auto"/>
              </w:rPr>
            </w:pPr>
            <w:r>
              <w:rPr>
                <w:rFonts w:ascii="Arial" w:cs="Arial" w:eastAsia="Arial" w:hAnsi="Arial"/>
                <w:sz w:val="18"/>
                <w:szCs w:val="18"/>
                <w:color w:val="auto"/>
              </w:rPr>
              <w:t>ATMs as of December 31</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17,600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14,224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3,376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Average ATMs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16,692</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12,114</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4,578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Our revenues for 2012 increased when compared to 2011, primarily due to an increase in the number of ATMs under management, including those added from 2011 acquisitions, an increase in demand for DCC and other value added services and the acquisition of the remaining 51% of Euronet Middle East W.L.L in January 2012. These increases were partly offset by the impact of the weaker foreign currencies.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Average monthly revenues per ATM were $1,188 for 2012 compared to $1,371 for 2011. Revenues per transaction were $0.20 for 2012 compared to $0.21 for 2011. These decreases were primarily the result of ATM and transaction growth in India and Pakistan, where revenues per ATM and revenues per transaction are generally lower than those in Europe, and the impact of the weaker foreign currencies. These decreases were partly offset by revenues growth from DCC and other value added services, which earn higher revenues per transaction than other ATM transactions.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Direct operating costs increased for 2012 compared to 2011 primarily due to an increase in the number of ATMs under management discussed above, partly offset by the impact of weaker foreign currencies.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Gross profit was $123.1 million for 2012 compared to $103.5 million for 2011. This increase was primarily due to the increase in the number of ATMs under management, growth in revenues from DCC and other value added services for which we earn a higher gross profit than other services and the acquisition of the remaining 51% of Euronet Middle East W.L.L. These increases were partly offset by the impact of the weaker foreign currencies. Gross margin decreased slightly to 51.7% for 2012 from 52.0% for 2011.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increase in salaries and benefits for 2012 compared to 2011 was primarily due to adding employees to support the growth in ATMs under management discussed above, the acquisition of the remaining 51% of Euronet Middle East W.L.L and increased bonus expense in certain countries for 2012, partly offset by the impact of the weaker foreign currencies. As a percentage of revenues, these costs decreased to 13.8% for 2012 from 14.8% for 2011. This decrease was primarily due to the growth in revenues earned from DCC and value added services, which require minimal incremental support costs.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increase in selling, general and administrative expenses for 2012 compared to 2011 was primarily due to increased operating costs to support growth in the business, partly offset by the impact of the weaker foreign currencies. As a percentage of revenues, selling, general and administrative expenses decreased to 8.7% for 2012 from 9.9% for 2011. This decrease resulted from growth in revenues from value added services, which require minimal incremental support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Depreciation and amortization expense increased for 2012 compared to 2011 primarily due to the increase in ATMs under management discussed above and the amortization of intangible assets related to the acquisition of the remaining 51% of Euronet Middle East W.L.L., partly offset by the impact of the weaker foreign currencies. As a percentage of revenues, depreciation and amortization expense increased slightly to 10.6% for 2012 from 10.5% for 2011.</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Operating margin for 2012 was 18.7% compared to 16.7% for 2011. The increase in operating income and operating margin in 2012 compared to 2011 was primarily due to the increase in ATMs under management, growth in revenues from DCC and other value added services, which require minimal incremental support costs, and the acquisition of the remaining 51% of Euronet Middle East W.L.L. These increases were partly offset by the impact of the weaker foreign currency. Operating income per transaction was unchanged at $0.04 for both 2012 and 2011, reflecting the increase in revenues from DCC and other value added services, partly offset by transaction growth in India and Pakistan.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epay Segment for the years ended December 31, 2013 and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40" w:type="dxa"/>
            <w:vAlign w:val="bottom"/>
            <w:gridSpan w:val="3"/>
          </w:tcPr>
          <w:p>
            <w:pPr>
              <w:jc w:val="right"/>
              <w:ind w:right="381"/>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3"/>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748,680</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714,125</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34,555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575,787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548,390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27,397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57,251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53,399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3,852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41,000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44,496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18,425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28,740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(10,315)</w:t>
            </w:r>
          </w:p>
        </w:tc>
        <w:tc>
          <w:tcPr>
            <w:tcW w:w="220" w:type="dxa"/>
            <w:vAlign w:val="bottom"/>
          </w:tcPr>
          <w:p>
            <w:pPr>
              <w:spacing w:after="0"/>
              <w:rPr>
                <w:sz w:val="21"/>
                <w:szCs w:val="21"/>
                <w:color w:val="auto"/>
              </w:rPr>
            </w:pPr>
          </w:p>
        </w:tc>
        <w:tc>
          <w:tcPr>
            <w:tcW w:w="1140" w:type="dxa"/>
            <w:vAlign w:val="bottom"/>
          </w:tcPr>
          <w:p>
            <w:pPr>
              <w:jc w:val="right"/>
              <w:ind w:right="16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16,756</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19,599</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709,219</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694,624</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14,595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39,461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19,501</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19,960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1,115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1,113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140" w:type="dxa"/>
            <w:vAlign w:val="bottom"/>
          </w:tcPr>
          <w:p>
            <w:pPr>
              <w:jc w:val="right"/>
              <w:ind w:right="16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_____________________</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increase in revenues for 2013 compared to 2012 was primarily due to an increase in the number of prepaid mobile transactions processed in the U.S., increased demand for non-mobile products in Germany, an increase in voucher redemptions and physical gift fulfillments at our cadooz subsidiary and the impact of our acquisition of ezi-pay in November 2012. These increases were partly offset by revenue declines in Australia, Brazil and the U.K. The decrease in revenues for Australia and the U.K. were the result of increased competitive pressures and certain mobile operators modifying their distribution strategies to drive consumer demand for top-up services to on-line or mobile device channels. The decrease in revenues for Brazil was primarily due to a decrease in the average commission earned per transaction.</w:t>
      </w:r>
    </w:p>
    <w:p>
      <w:pPr>
        <w:spacing w:after="0" w:line="8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expect most of our future revenue growth to be derived from: (i) additional electronic payment products sold over the base of POS terminals, (ii) valued added services, (iii) developing markets or markets in which there is organic growth in the electronic top-up sector overall, and (iv) acquisitions, if available and commercially appropriate.</w:t>
      </w:r>
    </w:p>
    <w:p>
      <w:pPr>
        <w:spacing w:after="0" w:line="7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Revenues per transaction were $0.67 for 2013 and $0.64 for 2012. This increase was primarily due to an increase in revenues at our cadooz subsidiary, where revenues are recorded at gross value, in contrast to our other electronic payment products which are recorded at net value, and the impact of a decrease in the number transactions processed at our ATX subsidiary. This increase was partly offset by growth in the number of transactions processed in India, where revenues per transaction are considerably lower than average and a decrease in the average commission earned in Brazil. At our ATX subsidiary, we provide only transaction processing services without significant direct costs and other operating costs related to installing and managing terminals. Therefore, the revenues we recognize from these transactions are a fraction of those recognized on average transactions, but with strong contribution to gross profit.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Direct operating costs in the epay Segment include the commissions we pay to retail merchants for the distribution and sale of prepaid mobile airtime and other prepaid products, expenses required to operate POS terminals and the cost of vouchers sold and physical gifts fulfilled. The increase in direct operating costs was primarily due to the growth in transactions processed in the U.S. and Germany, increased voucher redemptions and physical gifts fulfilled at our cadooz subsidiary, increased commissions costs in Brazil and the impact of our acquisition of ezi-pay. These increases were partly offset by the decrease in the number of transactions processed in Australia and the U.K.</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Gross profit, which represents revenues less direct costs, was $172.9 million for 2013 compared to $165.7 million for 2012. The increase in gross profit was primarily due to the increase in transactions processed in Germany (mainly from increased demand for non-mobile products), the U.S. and at our cadooz subsidiary, along with the impact of our acquisition of ezi-pay. These increases were partly offset by the decrease in transactions processed in Australia and the U.K., and the increase in commission costs in Brazil, as a result of a larger percentage of transactions being conducted through large retailers. Gross margin decreased slightly to 23.1% for 2013 from 23.2% for 2012. Gross profit per transaction increased to $0.16 for 2013 from $0.15 for 2012, primarily due to the increase of non-mobile transactions discussed above.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increase in salaries and benefits for 2013 compared to 2012 was primarily due to an increase in staff in Germany and the U.S. to support the increases in transactions processed, the impact of our acquisition of ezi-pay and the full year impact of costs in Russia and Turkey. These increases were partly offset by a decrease in salaries and benefits in Australia and Brazil in response to a decrease in revenues. As a percentage of revenues, salaries and benefits increased slightly to 7.6% for 2013 from 7.5% for 2012.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The decrease in selling, general and administrative expenses for 2013 compared to 2012 was primarily due to a decrease in professional fees and bad debt expense, partly offset by the impact of our acquisition of ezi-pay. As a percentage of revenues, these expenses decreased to 5.5% for 2013 from 6.2% for 2012, primarily due to the decreases in revenues in Australia, Brazil, and the U.K., along with the decrease in professional fees and bad debt expense.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asset impairment</w:t>
      </w:r>
    </w:p>
    <w:p>
      <w:pPr>
        <w:spacing w:after="0" w:line="11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During the fourth quarter of 2013, epay Australia and epay Spain recorded non-cash charges for impairment of goodwill of $12.3 million and $6.1 million, respectively (see further discussion in Note 8, Goodwill and Acquired Intangible Assets, Net to the Consolidated Financial Statements).</w:t>
      </w:r>
    </w:p>
    <w:p>
      <w:pPr>
        <w:spacing w:after="0" w:line="3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goodwill impairment charge in Australia was the result of continuing declines in the demand for mobile top-up services, caused by certain large retailers (which have a significant share of the retail market) negotiating direct agreements with two mobile operators and certain mobile operators modifying their distribution strategies to drive consumer demand for top-up services to on-line or mobile device channels. In Spain, the goodwill impairment charge was the result of the longer term effect of poor economic conditions, including continued high levels of unemployment and increased competitive pressures. In response to the business challenges in Australia and Spain, the Company has continued to sell additional products and services to mobile operators and develop strategies to increase the distribution of other prepaid products. However, in the fourth quarter of 2013, the Company concluded that while future cash flows from existing agreements with mobile operators and from the launch of new products would likely grow steadily over time, the growth would not add the level of cash flows previously forecasted. Based upon these revised future cash flow forecasts, the Company concluded that the resulting valuations were not sufficient to support the goodwill carrying values of epay Australia and epay Spain. Therefore, the impairment charges were recorded in the period.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Depreciation and amortization expense primarily represents amortization of acquired intangible assets and the depreciation of POS terminals we install in retail stores. Depreciation and amortization expense decreased for 2013 compared to 2012. As a percentage of revenues, these expenses decreased to 2.2% for 2013 from 2.7% for 2012. These decreases were the result of certain acquired intangible assets becoming fully amortized during 2012 and the first quarter of 2013, partly offset by the impact of our acquisition of ezi-pay.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Operating income for 2013 and 2012 includes non-cash goodwill and intangible asset impairment charges of $18.4 million and $28.7 million, respectively. Excluding the impairment charges, operating income was $57.9 million for 2013 and $48.2 million for 2012. This increase was primarily due to the growth in transactions processed in Germany, the U.S., and at our cadooz subsidiary, along with the operating income from the acquisition of ezi-pay and the decrease in amortization expense, professional fees and bad debt expense. These increases were partly offset by declines in revenues and transactions processed in Australia and increased commission costs in Brazil. Excluding the impairment charges, operating margin was 7.7% for 2013 compared to 6.8% for 2012 and operating income per transaction was $0.05 for 2013 compared to $0.04 for 2012. These increases were primarily due to the increases in revenues discussed above, along with the decrease in amortization expense, professional fees, and bad debt expense, partly offset by increased commission costs in Brazil.</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Compared to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epay Segment for the years ended December 31, 2012 and 2011: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40" w:type="dxa"/>
            <w:vAlign w:val="bottom"/>
            <w:gridSpan w:val="3"/>
          </w:tcPr>
          <w:p>
            <w:pPr>
              <w:jc w:val="right"/>
              <w:ind w:right="38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3"/>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714,125</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677,051</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37,074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548,390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514,429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33,961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53,399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48,386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5,013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44,496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38,711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5,785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28,740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28,740</w:t>
            </w:r>
          </w:p>
        </w:tc>
        <w:tc>
          <w:tcPr>
            <w:tcW w:w="220" w:type="dxa"/>
            <w:vAlign w:val="bottom"/>
          </w:tcPr>
          <w:p>
            <w:pPr>
              <w:spacing w:after="0"/>
              <w:rPr>
                <w:sz w:val="21"/>
                <w:szCs w:val="21"/>
                <w:color w:val="auto"/>
              </w:rPr>
            </w:pPr>
          </w:p>
        </w:tc>
        <w:tc>
          <w:tcPr>
            <w:tcW w:w="1140" w:type="dxa"/>
            <w:vAlign w:val="bottom"/>
          </w:tcPr>
          <w:p>
            <w:pPr>
              <w:jc w:val="right"/>
              <w:ind w:right="16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19,599</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18,751</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848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7"/>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694,624</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620,277</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74,347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19,501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56,774</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1,113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1,064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49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_____________________</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increase in revenues for 2012 compared to 2011 was primarily due to the increase in the number of prepaid mobile transactions processed in the U.S., increased demand for non-mobile products in Germany and the impact of our acquisition of cadooz in September 2011. These increases were partly offset by revenue declines in Australia, Brazil, Spain and the U.K, and the impact of the weaker foreign currencies. The decrease in revenues in Australia was caused by certain large retailers entering into direct agreements with two mobile operators during the second half of 2011. The decrease in revenues in Brazil was caused by certain mobile operators modifying their distribution strategies beginning in the fourth quarter of 2011. The revenue declines in Spain and the U.K. were mostly driven by economic and competitive pressures and lower cost calling plans.</w:t>
      </w:r>
    </w:p>
    <w:p>
      <w:pPr>
        <w:spacing w:after="0" w:line="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Revenues per transaction were unchanged at $0.64 for both 2012 and 2011, resulting from an increase in revenues per transaction, primarily due to the impact of the cadooz transactions, which are recorded at gross value, in contrast to our other electronic payment products which are recorded at net value, offset by a decrease in revenues per transaction in Australia, Brazil, Spain and the U.K. for the reasons discussed above, growth in transactions at our ATX subsidiary and the impact of weaker foreign currencies.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increase in direct operating costs was primarily due to the growth in transactions processed in the U.S. and Germany as well as the impact of our acquisition of cadooz, partly offset by the decrease in the number of transactions processed in Australia, Brazil and Spain, and the impact of the weaker foreign currencies.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Gross profit was $165.7 million for 2012 compared to $162.6 million for 2011. The increase in gross profit was primarily due to increased transaction volumes in the U.S. and Germany and the impact of our acquisition of cadooz. These increases were partly offset by a decline in transaction volumes in Australia, Brazil and Spain and the impact of the weaker foreign currencies. Gross margin decreased to 23.2% for 2012 from 24.0% for 2011, primarily due to the impact of the cadooz revenues, which are recorded at gross value but have lower gross margins and the decreases in revenues in certain markets discussed above. Gross profit per transaction remained unchanged at $0.15 for both 2012 and 2011.</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The increase in salaries and benefits for 2012 compared to 2011 was primarily due to the impact of our acquisition of cadooz and an increase in staff in Germany, primarily to support the increased demand for non-mobile products. These increases were partly offset by decreases in salaries and benefits in Brazil and the U.K. in response to declines in revenues and the impact of the weaker foreign currencies. As a percentage of revenues, salaries and benefits increased to 7.5% for 2012 from 7.1% for 2011. This increase was primarily due to the impact of our acquisition of cadooz.</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increase in selling, general and administrative expenses for 2012 compared to 2011 was primarily due to the impact of our acquisition of cadooz, increased bad debt expense in Spain and Australia, and increased expenses in Germany as a result of the growth in non-mobile transaction volume and revenues. These increases were partly offset by decreases in selling, general and administrative in Australia and Brazil in response to declines in revenues and the impact of the weaker foreign currencies. As a percentage of revenues, these expenses increased to 6.2% for 2012 from 5.7% for 2011, primarily due to the decreases in revenues in Australia, Brazil, and Spain, along with an increase in bad debt expense during 2012.</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asset impairment</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the fourth quarter of 2012, epay Brazil recorded a non-cash charge for impairment of goodwill and acquired intangible assets (specifically customer relationship assets) of $23.5 million and $5.2 million, respectively (see further discussion in Note 8, Goodwill and Acquired Intangible Assets, Net to the Consolidated Financial Statements).</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initial factor contributing to the impairment charges was changes in certain mobile operators' distribution strategies throughout 2012. These changes limited our ability to distribute certain mobile operators' products in certain markets and had a negative impact on epay Brazil's 2012 results. While the changes affected the 2012 results, we continued to negotiate alternative arrangements with the mobile operators in order to regain profitability in Brazil. In the fourth quarter of 2012, we determined that these negotiations were not likely to result in arrangements that would restore our profitability from those products in the future.</w:t>
      </w:r>
    </w:p>
    <w:p>
      <w:pPr>
        <w:spacing w:after="0" w:line="8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While these distribution changes were occurring, we were also establishing plans to introduce other electronic payment products in the Brazilian market which was expected to increase profitability. As the plans became more concrete in the fourth quarter of 2012, our assessment was that the added profitability from these new products would likely grow steadily over time, but would not add significant earnings as quickly as originally projected.</w:t>
      </w:r>
    </w:p>
    <w:p>
      <w:pPr>
        <w:spacing w:after="0" w:line="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Simultaneously with the changes in the mobile operators' distribution strategies, epay Brazil undertook efforts to align costs with revenues. While significant progress was made in reducing costs during 2012, the extent of that progress was constrained by the investments needed to launch the new electronic payment products. In the fourth quarter of 2012, the revised cost structure, which aligns costs with the decreased mobile revenues and supports the new products, was solidified and resulted in cost savings which were less than initially expected.</w:t>
      </w:r>
    </w:p>
    <w:p>
      <w:pPr>
        <w:spacing w:after="0" w:line="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Further, the changes in the mobile operators' distribution strategies accelerated efforts to pursue other distribution channels. In the fourth quarter of 2012, epay Brazil acquired new partners in these other channels which provided insight to the profit potential of these channels. The Company's assessment of the opportunity in these channels was that while these channels are expected to be profitable, they are not likely to have profit margins as great as the ones lost with the changes in mobile operators' distribution strategies previously discussed.</w:t>
      </w:r>
    </w:p>
    <w:p>
      <w:pPr>
        <w:spacing w:after="0" w:line="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described above, the Company had several initiatives to improve profitability which were evolving during the year. The collective impact of those initiatives was the key consideration to determining if the epay Brazil business could return to or exceed its previous profitability. While each initiative had the potential to significantly contribute to that goal, during the fourth quarter of 2012, the Company determined that each initiative was likely to contribute less than what was previously expected. The culmination of these various factors in the fourth quarter of 2012 led the Company to conclude that the resulting valuation was not sufficient to support the recorded value of its investment in epay Brazil and, therefore, it recorded the goodwill and other acquired intangible assets impairment charges in the period.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Depreciation and amortization expense increased for 2012 compared to 2011 mainly due to the impact of our acquisition of cadooz, including amortization of acquired intangible assets, and improvements to our network platform. These increases were partly offset by decreased expenses in markets where acquired intangible assets became fully amortized, as well as the impact of the weaker foreign currencies. As a percentage of revenues, these expenses decreased slightly to 2.7% for 2012 from 2.8% for 2011.</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decrease in operating income for 2012 compared to 2011 was primarily due to the $28.7 million charge for impairment of goodwill and acquired intangible assets, transaction volume and revenue declines in Australia, Brazil and Spain, increased bad debt expense in Australia and Spain, and the impact of the weaker foreign currencies. The declines in volume and revenues in Australia were due to the full year impact of certain large retailers entering into direct agreements with two mobile operators during the second half of 2011. The declines in volume and revenues in Brazil were due to certain mobile operators modifying their distribution strategies beginning in the fourth quarter of 2011. The declines in volume and revenues in Spain were mostly driven by economic and competitive pressures. These decreases were partly offset by increases in transaction volumes and revenues in the U.S. and Germany and the full year impact of the cadooz acquisition completed in the second half of 2011. Excluding the impairment charges, operating margin was 6.8% for 2012 compared to 8.4% for 2011 and operating income per transaction was $0.04 for 2012 compared to $0.05 for 2011. The decreases in operating margin and operating income per transaction were mainly due to the transaction volume and revenue declines discussed above and increased bad debt expense in Australia and Spain.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Money Transfer Segment for the years ended December 31, 2013 and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4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3"/>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370,365</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316,135</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54,230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177,783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149,397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28,386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88,222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75,540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12,682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54,870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47,673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7,197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18,395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18,902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339,270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291,512</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47,758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97"/>
        </w:trPr>
        <w:tc>
          <w:tcPr>
            <w:tcW w:w="608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31,095</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24,623</w:t>
            </w:r>
          </w:p>
        </w:tc>
        <w:tc>
          <w:tcPr>
            <w:tcW w:w="2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6,472</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30.7</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5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increase in revenues for 2013 compared to 2012 was primarily due to an increase in the number of transactions processed and growth in revenues from other products such as mobile top-up, check cashing, bill payment and money order transactions. The increase in transactions processed was driven by a 17% increase in money transfers, including a 19% increase in transfers from the U.S. and 14% increase in transfers from non-U.S. markets for 2013 compared to 2012. The increase in the number of money transfers processed from both the U.S. and non-U.S. markets was due to the expansion of our agent and correspondent payout networks.</w:t>
      </w:r>
    </w:p>
    <w:p>
      <w:pPr>
        <w:spacing w:after="0" w:line="80"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Revenues per transaction increased to $10.52 for 2013 from $10.30 for 2012. The increase was primarily due to the growth rate of money transfer transactions, which earn higher revenues per transaction than non-money transfer services and the impact of the euro strengthening against the U.S. dollar, partly offset by a shift in the percentage of transactions processed to U.S. locations, which earn lower revenues per transaction than non-U.S. locations.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9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Direct operating costs in the Money Transfer Segment primarily represent commissions paid to agents who originate money transfers on our behalf and correspondent agents who disburse funds to the customers’ destination beneficiaries, together with less significant costs, such as bank depository fees and cash handling costs. The increase in direct operating costs in 2013 compared to 2012 was primarily due to the growth in the number of transactions processed.</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9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Gross profit, which represents revenues less direct costs, was $192.6 million for 2013 compared to $166.7 million for 2012. The increase in gross profit was primarily due to the growth in money transfer transactions and other services such as mobile top-up, check cashing, bill payment and money order transactions. Gross margin was 52.0% for 2013 compared to 52.7% for 2012. This decrease was primarily due to an increase in the percentage of money transfer transactions processed at U.S. locations during 2013, which earn lower revenues and gross profit per transaction than non-U.S. locations.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increase in salaries and benefits for 2013 compared to 2012 was primarily due to an increase in headcount to support the expansion of our operations both in the U.S and internationally and support costs incurred to launch our on-line money transfer service. As a percentage of revenues, salaries and benefits decreased slightly to 23.8% for 2013 from 23.9% for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Selling, general and administrative expenses increased for 2013 compared to 2012, primarily due to an increase in professional fees and legal expenses and increased expenditures we incurred to support expansion of our operations and products, both in the U.S. and internationally. As a percentage of revenues, selling, general and administrative expenses decreased slightly to 14.8% for 2013 from 15.1% for 2012. This decrease was primarily due to the growth of money transfer revenues exceeding the incremental required support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Depreciation and amortization primarily represents amortization of acquired intangible assets and depreciation of money transfer terminals, computers and software, leasehold improvements and office equipment. For 2013, depreciation and amortization expense decreased compared to 2012 as the impact of the increased capital expenditures was more than offset by certain acquired intangible assets becoming fully amortized during the first quarter of 2013. As a percentage of revenues, depreciation and amortization expense decreased to 5.0% for 2013 from 6.0% for 2012, primarily due to the decrease in amortization expense combined with the increase in revenues.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Operating income increased by $6.5 million for 2013 compared to 2012, primarily due to the growth in transactions processed and the decrease in amortization expense. These increases were partly offset by the increase in professional fees and legal expenses. As a result, operating margin increased to 8.4% for 2013 from 7.8% for 2012 and operating income per transaction increased to $0.88 for 2013 from $0.80 for 2012. The increase in operating income per transaction was also due to the impact of the euro strengthening against the U.S. dollar.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Compared to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years ended December 31, 2012 and 2011 for the Money Transfer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2480" w:type="dxa"/>
            <w:vAlign w:val="bottom"/>
            <w:gridSpan w:val="3"/>
          </w:tcPr>
          <w:p>
            <w:pPr>
              <w:jc w:val="right"/>
              <w:ind w:right="54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341"/>
        </w:trPr>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vMerge w:val="restart"/>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vMerge w:val="restart"/>
          </w:tcPr>
          <w:p>
            <w:pPr>
              <w:jc w:val="right"/>
              <w:ind w:right="372"/>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Increase</w:t>
            </w: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(Decrease)Amount</w:t>
            </w:r>
          </w:p>
        </w:tc>
        <w:tc>
          <w:tcPr>
            <w:tcW w:w="2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5"/>
              </w:rPr>
              <w:t>(Decrease)Percent</w:t>
            </w:r>
          </w:p>
        </w:tc>
        <w:tc>
          <w:tcPr>
            <w:tcW w:w="0" w:type="dxa"/>
            <w:vAlign w:val="bottom"/>
          </w:tcPr>
          <w:p>
            <w:pPr>
              <w:spacing w:after="0"/>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5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316,135</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285,299</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30,836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149,397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130,783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18,614</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75,540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70,603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4,937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47,673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46,441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1,232</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18,902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20,346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291,512</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268,173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23,339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24,623</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17,126</w:t>
            </w:r>
          </w:p>
        </w:tc>
        <w:tc>
          <w:tcPr>
            <w:tcW w:w="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7,497</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6.2</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459"/>
        </w:trPr>
        <w:tc>
          <w:tcPr>
            <w:tcW w:w="56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54</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increase in revenues for 2012 compared to 2011 was primarily due to the increase in the number of money transfer transactions processed and growth in other products such as mobile top-up, check cashing, bill payments, and money order transactions, partly offset by the impact of the weaker foreign currencies. The growth in transactions processed was driven by a 15% increase in money transfers, including an 18% increase from the U.S. and a 10% increase from non-U.S. markets in 2012 compared to 2011. The increase in transfers from the U.S. was primarily the result of growth in the U.S. to Mexico money transfer activity and an increase in the number of company-owned stores and agents. The increase in transfers from non-U.S. markets was due to the expansion of our agent and correspondent payout networks.</w:t>
      </w:r>
    </w:p>
    <w:p>
      <w:pPr>
        <w:spacing w:after="0" w:line="7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Revenues per transaction decreased to $10.30 for 2012 from $11.64 for 2011. The growth rate of transactions exceeded the revenue growth rate for 2012 compared to 2011 largely because of the increase in the number of non-money transfer transactions, which generate considerably lower revenues per transaction than money transfers, and the impact of the weaker foreign currencies.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increase in direct operating costs in 2012 compared to 2011 was primarily due to the growth in transactions processed, partly offset by the impact of the weaker foreign currencies.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Gross profit was $166.7 million for 2012 compared to $154.5 million for 2011. The increase was primarily due to the growth in revenues discussed above, partly offset by the impact of weaker foreign currencies. Gross margin was 52.7% for 2012 compared to 54.2% for 2011. The decline was primarily due to the increase in the number of non-money transfer transactions, which generate lower revenues and margin per transaction than money transfers.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increase in salaries and benefits for 2012 compared to 2011 was due to the increased expenses we incurred to support expansion of our operations and the increase in money transfers processed, partly offset by the impact of the weaker foreign currencies. As a percentage of revenues, salaries and benefits decreased to 23.9% for 2012 from 24.7% for 2011. This decrease was primarily due to the growth in non-money transfer services discussed above, which did not require similar increases in support cost.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Selling, general and administrative expenses increased for 2012 compared to 2011, primarily as a result of the increased expenses we incurred to support expansion of our company-owned locations and the increase in money transfers processed, partly offset by the impact of the weaker foreign currencies. As a percentage of revenues, selling, general and administrative expenses decreased to 15.1% for 2012 from 16.3% for 2011. This decrease was primarily due to the growth in non-money transfer services discussed above, which did not require similar increases in support cost.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2012, depreciation and amortization expense decreased compared to 2011 as the impact of the increased capital expenditures was more than offset by certain acquired intangible assets becoming fully amortized during 2011 and 2012. As a percentage of revenues, depreciation and amortization expense decreased to 6.0% for 2012 from 7.1% for 2011, primarily due to the decrease in depreciation and amortization discussed above combined with the increase in revenues.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Operating income increased by $7.5 million for 2012 compared to 2011, reflecting the growth in money transfer and non-money transfer transactions processed and lower intangible amortization expense discussed above, partly offset by the impact of the weaker foreign currencies. As a result, operating margin increased to 7.8% for 2012 compared to 6.0% for 2011. Operating income per transaction increased to $0.80 for 2012 from $0.70 for 2011. These increases were primarily due to the increases in transaction-based revenues discussed above and the decrease in amortization expense during 2012, partly offset by the impact of the weaker foreign currencies.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Corporate Services' operating expenses for 2013, 2012 and 2011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5"/>
              </w:rPr>
              <w:t>Year Ended December 31,</w:t>
            </w: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4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3"/>
                <w:szCs w:val="13"/>
                <w:color w:val="auto"/>
              </w:rPr>
            </w:pPr>
          </w:p>
        </w:tc>
        <w:tc>
          <w:tcPr>
            <w:tcW w:w="13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2013 Increase</w:t>
            </w:r>
          </w:p>
        </w:tc>
        <w:tc>
          <w:tcPr>
            <w:tcW w:w="1100" w:type="dxa"/>
            <w:vAlign w:val="bottom"/>
          </w:tcPr>
          <w:p>
            <w:pPr>
              <w:jc w:val="right"/>
              <w:ind w:right="36"/>
              <w:spacing w:after="0" w:line="153" w:lineRule="exact"/>
              <w:rPr>
                <w:sz w:val="20"/>
                <w:szCs w:val="20"/>
                <w:color w:val="auto"/>
              </w:rPr>
            </w:pPr>
            <w:r>
              <w:rPr>
                <w:rFonts w:ascii="Arial" w:cs="Arial" w:eastAsia="Arial" w:hAnsi="Arial"/>
                <w:sz w:val="14"/>
                <w:szCs w:val="14"/>
                <w:b w:val="1"/>
                <w:bCs w:val="1"/>
                <w:color w:val="auto"/>
              </w:rPr>
              <w:t>2012 Increase</w:t>
            </w:r>
          </w:p>
        </w:tc>
        <w:tc>
          <w:tcPr>
            <w:tcW w:w="0" w:type="dxa"/>
            <w:vAlign w:val="bottom"/>
          </w:tcPr>
          <w:p>
            <w:pPr>
              <w:spacing w:after="0"/>
              <w:rPr>
                <w:sz w:val="1"/>
                <w:szCs w:val="1"/>
                <w:color w:val="auto"/>
              </w:rPr>
            </w:pPr>
          </w:p>
        </w:tc>
      </w:tr>
      <w:tr>
        <w:trPr>
          <w:trHeight w:val="192"/>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22,621</w:t>
            </w:r>
          </w:p>
        </w:tc>
        <w:tc>
          <w:tcPr>
            <w:tcW w:w="5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22,332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19,998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10,509</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7,831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7,630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n/m</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33,495</w:t>
            </w:r>
          </w:p>
        </w:tc>
        <w:tc>
          <w:tcPr>
            <w:tcW w:w="60" w:type="dxa"/>
            <w:vAlign w:val="bottom"/>
            <w:tcBorders>
              <w:top w:val="single" w:sz="8" w:color="auto"/>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30,527</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27,971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___________________</w:t>
            </w:r>
          </w:p>
        </w:tc>
        <w:tc>
          <w:tcPr>
            <w:tcW w:w="2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color w:val="auto"/>
        </w:rPr>
        <w:t>Overall, operating expenses for Corporate Services increased 10% for 2013 compared to 2012, primarily due to an increase in selling, general and administrative expenses. This increase was primarily due to an increase in professional fees and legal contingency accruals.</w:t>
      </w:r>
    </w:p>
    <w:p>
      <w:pPr>
        <w:spacing w:after="0" w:line="38"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Overall, operating expenses for Corporate Services increased 9% for 2012 compared to 2011, primarily due to an increase in salaries and benefits. This increase was primarily the result of higher share-based compensation and bonus expense due to improved results relative to the respective incentive compensation performance targets.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60" w:type="dxa"/>
            <w:vAlign w:val="bottom"/>
            <w:gridSpan w:val="2"/>
          </w:tcPr>
          <w:p>
            <w:pPr>
              <w:jc w:val="center"/>
              <w:ind w:left="114"/>
              <w:spacing w:after="0" w:line="153" w:lineRule="exact"/>
              <w:rPr>
                <w:sz w:val="20"/>
                <w:szCs w:val="20"/>
                <w:color w:val="auto"/>
              </w:rPr>
            </w:pPr>
            <w:r>
              <w:rPr>
                <w:rFonts w:ascii="Arial" w:cs="Arial" w:eastAsia="Arial" w:hAnsi="Arial"/>
                <w:sz w:val="14"/>
                <w:szCs w:val="14"/>
                <w:b w:val="1"/>
                <w:bCs w:val="1"/>
                <w:color w:val="auto"/>
                <w:w w:val="89"/>
              </w:rPr>
              <w:t>2013</w:t>
            </w:r>
          </w:p>
        </w:tc>
        <w:tc>
          <w:tcPr>
            <w:tcW w:w="220" w:type="dxa"/>
            <w:vAlign w:val="bottom"/>
          </w:tcPr>
          <w:p>
            <w:pPr>
              <w:spacing w:after="0"/>
              <w:rPr>
                <w:sz w:val="13"/>
                <w:szCs w:val="13"/>
                <w:color w:val="auto"/>
              </w:rPr>
            </w:pP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2012</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1,998</w:t>
            </w: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(10,139)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(19,653)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(21,385)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Other gains, net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2,398</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4,146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21"/>
                <w:szCs w:val="21"/>
                <w:color w:val="auto"/>
              </w:rPr>
            </w:pPr>
          </w:p>
        </w:tc>
        <w:tc>
          <w:tcPr>
            <w:tcW w:w="1380" w:type="dxa"/>
            <w:vAlign w:val="bottom"/>
            <w:gridSpan w:val="2"/>
          </w:tcPr>
          <w:p>
            <w:pPr>
              <w:ind w:left="640"/>
              <w:spacing w:after="0"/>
              <w:rPr>
                <w:sz w:val="20"/>
                <w:szCs w:val="20"/>
                <w:color w:val="auto"/>
              </w:rPr>
            </w:pPr>
            <w:r>
              <w:rPr>
                <w:rFonts w:ascii="Arial" w:cs="Arial" w:eastAsia="Arial" w:hAnsi="Arial"/>
                <w:sz w:val="18"/>
                <w:szCs w:val="18"/>
                <w:color w:val="auto"/>
              </w:rPr>
              <w:t>n/m</w:t>
            </w:r>
          </w:p>
        </w:tc>
        <w:tc>
          <w:tcPr>
            <w:tcW w:w="1140" w:type="dxa"/>
            <w:vAlign w:val="bottom"/>
          </w:tcPr>
          <w:p>
            <w:pPr>
              <w:jc w:val="right"/>
              <w:ind w:right="15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early retirement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11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Foreign currency exchange gain (loss), net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2,211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(1,662)</w:t>
            </w:r>
          </w:p>
        </w:tc>
        <w:tc>
          <w:tcPr>
            <w:tcW w:w="200" w:type="dxa"/>
            <w:vAlign w:val="bottom"/>
          </w:tcPr>
          <w:p>
            <w:pPr>
              <w:spacing w:after="0"/>
              <w:rPr>
                <w:sz w:val="21"/>
                <w:szCs w:val="21"/>
                <w:color w:val="auto"/>
              </w:rPr>
            </w:pPr>
          </w:p>
        </w:tc>
        <w:tc>
          <w:tcPr>
            <w:tcW w:w="1380" w:type="dxa"/>
            <w:vAlign w:val="bottom"/>
            <w:gridSpan w:val="2"/>
          </w:tcPr>
          <w:p>
            <w:pPr>
              <w:ind w:left="640"/>
              <w:spacing w:after="0"/>
              <w:rPr>
                <w:sz w:val="20"/>
                <w:szCs w:val="20"/>
                <w:color w:val="auto"/>
              </w:rPr>
            </w:pPr>
            <w:r>
              <w:rPr>
                <w:rFonts w:ascii="Arial" w:cs="Arial" w:eastAsia="Arial" w:hAnsi="Arial"/>
                <w:sz w:val="18"/>
                <w:szCs w:val="18"/>
                <w:color w:val="auto"/>
              </w:rPr>
              <w:t>n/m</w:t>
            </w:r>
          </w:p>
        </w:tc>
        <w:tc>
          <w:tcPr>
            <w:tcW w:w="1140" w:type="dxa"/>
            <w:vAlign w:val="bottom"/>
          </w:tcPr>
          <w:p>
            <w:pPr>
              <w:jc w:val="right"/>
              <w:ind w:right="15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(10,671)</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(16,345)</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decrease in interest income for 2013 and 2012 was primarily due to less interest earned in Australia and Brazil, as a result of holding less cash in interest earning bank accounts due to revenue declines and increased working capital requirements. The decrease for Brazil was also due to the U.S. dollar strengthening against the Brazilian real during 2013 and 2012.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decrease in interest expense for 2013 and 2012 was primarily related to Euronet's repurchase of $167.9 million of our convertible debentures in October 2012, which was largely funded by borrowing under the credit facility, which had a significantly lower average effective interest rate than the convertible debentures.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affiliates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Income from unconsolidated affiliates primarily represents the equity in income of our 40% equity investment in epay Malaysia, our 49% investment in Euronet Middle East, our 49% investment in Euronet ETT (China) and our 47% investment in Euronet Indonesia. The decrease in income for 2013 from 2012 was primarily due to the sale of the Company's 40% equity method investment in epay Malaysia in July 2013. The decrease in income for 2012 from 2011 was primarily due to the acquisition of the remaining 51% interest of Euronet Middle East W.L.L. in January 2012.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gains, net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2013, we completed the sale of our 40% equity method investment in epay Malaysia, which resulted in the recognition of a $2.8 million gain. Additionally, we recorded a $0.4 million impairment charge to a cost basis investment in an unconsolidated affiliate.</w:t>
      </w:r>
    </w:p>
    <w:p>
      <w:pPr>
        <w:spacing w:after="0" w:line="6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2012, our acquisition of the remaining 51% interest of Euronet Middle East W.L.L. resulted in Euronet obtaining control of the entity, which was considered a business combination. Accordingly, we valued the assets and liabilities at fair value, which resulted in a $4.4 million gain on the 49% interest previously owned. Additionally, we recorded an investment in marketable securities at fair value which resulted in a loss of $0.2 million.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 2011, Euronet recorded $1.0 million gain from the settlement of a class action lawsuit related to losses on MoneyGram, Inc. stock we formerly held.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early retirement of debt</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During 2011, we entered into an amended and expanded credit facility and recorded a $1.7 million loss primarily related to the write-off of deferred financing costs associated with the extinguished credit facility. Also during 2011, we repurchased $3.6 million principal amount of our 3.5% convertible debentures and recognized a $0.2 million loss representing the difference in the amounts paid for the convertible debentures over their carrying amounts.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(loss), net</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determining net income. The majority of our foreign currency exchange gains or losses are due to the re-measurement of intercompany loans that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exchange losses are generated on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recorded a net foreign currency exchange gain of $2.2 million in 2013 and net foreign currency exchange losses of $0.1 million and $1.7 million in 2012 and 2011, respectively. These realized and unrealized foreign currency exchange gains and losses primarily reflect the respective weakening and strengthening of the U.S. dollar against the currencies of the countries in which we operate during the respective periods related to those assets and liabilities described above.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rates as reported and as adjusted are calculated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7"/>
              </w:rPr>
              <w:t>Year Ended December 31,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6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2011</w:t>
            </w: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115,085</w:t>
            </w:r>
          </w:p>
        </w:tc>
        <w:tc>
          <w:tcPr>
            <w:tcW w:w="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47,334</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62,792</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(27,732)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(26,937)</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(24,704)</w:t>
            </w:r>
          </w:p>
        </w:tc>
      </w:tr>
      <w:tr>
        <w:trPr>
          <w:trHeight w:val="27"/>
        </w:trPr>
        <w:tc>
          <w:tcPr>
            <w:tcW w:w="6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87,353</w:t>
            </w: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20,397</w:t>
            </w: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38,088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6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Effective income tax rate</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r>
      <w:tr>
        <w:trPr>
          <w:trHeight w:val="237"/>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115,085</w:t>
            </w:r>
          </w:p>
        </w:tc>
        <w:tc>
          <w:tcPr>
            <w:tcW w:w="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47,334</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62,792</w:t>
            </w:r>
          </w:p>
        </w:tc>
      </w:tr>
      <w:tr>
        <w:trPr>
          <w:trHeight w:val="243"/>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Adjust: Goodwill and acquired intangible assets impairment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(18,425)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(28,740)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 Acquisition-related contingent consideration gain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19,319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Adjust: Other gains, net</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2,398</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4,146</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1,000</w:t>
            </w:r>
          </w:p>
        </w:tc>
      </w:tr>
      <w:tr>
        <w:trPr>
          <w:trHeight w:val="27"/>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 Foreign currency exchange gain (loss), net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2,211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(1,662)</w:t>
            </w:r>
          </w:p>
        </w:tc>
      </w:tr>
      <w:tr>
        <w:trPr>
          <w:trHeight w:val="243"/>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Adjust: Loss on early retirement of debt</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(1,899)</w:t>
            </w:r>
          </w:p>
        </w:tc>
      </w:tr>
      <w:tr>
        <w:trPr>
          <w:trHeight w:val="27"/>
        </w:trPr>
        <w:tc>
          <w:tcPr>
            <w:tcW w:w="6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 as adjusted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109,582</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72,027</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65,353</w:t>
            </w:r>
          </w:p>
        </w:tc>
      </w:tr>
      <w:tr>
        <w:trPr>
          <w:trHeight w:val="20"/>
        </w:trPr>
        <w:tc>
          <w:tcPr>
            <w:tcW w:w="6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(27,732)</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(26,937)</w:t>
            </w:r>
          </w:p>
        </w:tc>
        <w:tc>
          <w:tcPr>
            <w:tcW w:w="2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(24,704)</w:t>
            </w:r>
          </w:p>
        </w:tc>
      </w:tr>
      <w:tr>
        <w:trPr>
          <w:trHeight w:val="27"/>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 Income tax benefit attributable to acquired intangible assets impairment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1,709</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Adjust: Income tax (expense) benefit attributable to foreign currency exchange gain</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00" w:type="dxa"/>
            <w:vAlign w:val="bottom"/>
            <w:gridSpan w:val="2"/>
          </w:tcPr>
          <w:p>
            <w:pPr>
              <w:ind w:left="200"/>
              <w:spacing w:after="0"/>
              <w:rPr>
                <w:sz w:val="20"/>
                <w:szCs w:val="20"/>
                <w:color w:val="auto"/>
              </w:rPr>
            </w:pPr>
            <w:r>
              <w:rPr>
                <w:rFonts w:ascii="Arial" w:cs="Arial" w:eastAsia="Arial" w:hAnsi="Arial"/>
                <w:sz w:val="18"/>
                <w:szCs w:val="18"/>
                <w:color w:val="auto"/>
              </w:rPr>
              <w:t>(loss), net</w:t>
            </w:r>
          </w:p>
        </w:tc>
        <w:tc>
          <w:tcPr>
            <w:tcW w:w="34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(303)</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265</w:t>
            </w:r>
          </w:p>
        </w:tc>
      </w:tr>
      <w:tr>
        <w:trPr>
          <w:trHeight w:val="27"/>
        </w:trPr>
        <w:tc>
          <w:tcPr>
            <w:tcW w:w="6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 as adjusted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(27,429)</w:t>
            </w: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(28,675)</w:t>
            </w: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(24,969)</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Effective income tax rate, as adjusted</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r>
      <w:tr>
        <w:trPr>
          <w:trHeight w:val="20"/>
        </w:trPr>
        <w:tc>
          <w:tcPr>
            <w:tcW w:w="6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calculate our effective income tax rate by dividing income tax expense by pre-tax book income. Our effective income tax rates were 24.1%, 56.9% and 39.3% for the years ended December 31, 2013, 2012 and 2011, respectively. The effective income tax rates were significantly influenced by the acquisition-related contingent consideration gain in 2013, the non-cash goodwill and acquired intangible asset impairment charges recorded in 2013 and 2012, other non-operating gains and the impact of foreign currency exchange gains (losses). Excluding these items from pre-tax income, as well as the related tax effects for these items, our effective income tax rates were 25.0%, 39.8% and 38.2% for the years ended December 31, 2013, 2012 and 2011, respectively.</w:t>
      </w:r>
    </w:p>
    <w:p>
      <w:pPr>
        <w:spacing w:after="0" w:line="5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effective income tax rate, as adjusted, for 2013 was lower than that for 2012 and the applicable statutory income tax rate of 35% primarily because of our U.S. tax position and the realization of deferred tax benefits in various jurisdictions. For the fiscal years ended December 31, 2013, 2012 and 2011, we have recorded a valuation allowance against our U.S. federal tax net operating losses, as it is more likely than not that a tax benefit will not be realized. Accordingly, the federal income tax benefit associated with pre-tax book losses generated by our U.S. entities has not been recognized. During periods, such as 2013, when the Company generates U.S. pre-tax book income, no income tax expense is recognized to the extent there are net operating loss carryforwards to offset pre-tax book income. There was no material change in the effective tax rate, as adjusted, for 2012 compared to 2011.</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determine income tax expense based upon enacted tax laws applicable in each of the taxing jurisdictions where we conduct business. Based on our interpretation of such laws, and considering the evidence of available facts and circumstances and baseline operating forecasts, we have accrued the estimated income tax effects of certain transactions, business ventures, contractual and organizational structures, and the estimated future reversal of timing differences. Should a taxing jurisdiction change its laws or dispute our conclusions, or should management become aware of new facts or other evidence that could alter our conclusions, the resulting impact to our estimates could have a material adverse effect on our results of operations and financial condition.</w:t>
      </w:r>
    </w:p>
    <w:p>
      <w:pPr>
        <w:spacing w:after="0" w:line="5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Income before income taxes, as adjusted, income tax expense, as adjusted and effective income tax rate, as adjusted are non-GAAP financial measures that management believes are useful for understanding why our effective income tax rates are significantly different than would be expected.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(Income) Attributable To Noncontrolling Interest</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loss attributable to noncontrolling interests was $0.6 million and $0.1 million for 2013 and 2012, respectively, compared to net income of $1.1 million for 2011. The increase in loss attributable to noncontrolling interests in 2013 compared to 2012 was primarily due to the goodwill impairment charge recorded by our Movilcarga subsidiary and the acquisition of the remaining noncontrolling interests in ATX in January 2013. The decrease in net income attributable to noncontrolling interests in 2012 compared to 2011 was primarily due to decreased profitability at our Movilcarga and ATX subsidiaries. Noncontrolling interests represents the elimination of net income or loss attributable to the minority shareholders’ portion of the following consolidated subsidiaries that are not wholly owned: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Percent</w:t>
            </w:r>
          </w:p>
        </w:tc>
        <w:tc>
          <w:tcPr>
            <w:tcW w:w="20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Segment - Country</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Owned (1)</w:t>
            </w:r>
          </w:p>
        </w:tc>
        <w:tc>
          <w:tcPr>
            <w:tcW w:w="1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Movilcarga</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epay - Spain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tcPr>
          <w:p>
            <w:pPr>
              <w:ind w:left="20"/>
              <w:spacing w:after="0"/>
              <w:rPr>
                <w:sz w:val="20"/>
                <w:szCs w:val="20"/>
                <w:color w:val="auto"/>
              </w:rPr>
            </w:pPr>
            <w:r>
              <w:rPr>
                <w:rFonts w:ascii="Arial" w:cs="Arial" w:eastAsia="Arial" w:hAnsi="Arial"/>
                <w:sz w:val="18"/>
                <w:szCs w:val="18"/>
                <w:color w:val="auto"/>
              </w:rPr>
              <w:t>Euronet China</w:t>
            </w: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000" w:type="dxa"/>
            <w:vAlign w:val="bottom"/>
          </w:tcPr>
          <w:p>
            <w:pPr>
              <w:ind w:left="40"/>
              <w:spacing w:after="0"/>
              <w:rPr>
                <w:sz w:val="20"/>
                <w:szCs w:val="20"/>
                <w:color w:val="auto"/>
              </w:rPr>
            </w:pPr>
            <w:r>
              <w:rPr>
                <w:rFonts w:ascii="Arial" w:cs="Arial" w:eastAsia="Arial" w:hAnsi="Arial"/>
                <w:sz w:val="18"/>
                <w:szCs w:val="18"/>
                <w:color w:val="auto"/>
              </w:rPr>
              <w:t>EFT - China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Euronet Pakistan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EFT - Pakistan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tcPr>
          <w:p>
            <w:pPr>
              <w:ind w:left="20"/>
              <w:spacing w:after="0"/>
              <w:rPr>
                <w:sz w:val="20"/>
                <w:szCs w:val="20"/>
                <w:color w:val="auto"/>
              </w:rPr>
            </w:pPr>
            <w:r>
              <w:rPr>
                <w:rFonts w:ascii="Arial" w:cs="Arial" w:eastAsia="Arial" w:hAnsi="Arial"/>
                <w:sz w:val="18"/>
                <w:szCs w:val="18"/>
                <w:color w:val="auto"/>
              </w:rPr>
              <w:t>Universal Solutions Partners</w:t>
            </w: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00" w:type="dxa"/>
            <w:vAlign w:val="bottom"/>
          </w:tcPr>
          <w:p>
            <w:pPr>
              <w:ind w:left="40"/>
              <w:spacing w:after="0"/>
              <w:rPr>
                <w:sz w:val="20"/>
                <w:szCs w:val="20"/>
                <w:color w:val="auto"/>
              </w:rPr>
            </w:pPr>
            <w:r>
              <w:rPr>
                <w:rFonts w:ascii="Arial" w:cs="Arial" w:eastAsia="Arial" w:hAnsi="Arial"/>
                <w:sz w:val="18"/>
                <w:szCs w:val="18"/>
                <w:color w:val="auto"/>
              </w:rPr>
              <w:t>EFT - UAE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Euronet Services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epay - Russia</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______________</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(1) Percent owned as of December 31, 2013.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Net income attributable to Euronet was $88.0 million, $20.5 million and $37.0 million for 2013, 2012 and 2011, respectively. As more fully discussed above, the increase of $67.5 million for 2013 as compared to 2012 includes a $19.3 million acquisition-related contingent consideration gain in 2013, an $18.4 million non-cash impairment charge of goodwill in 2013 and a $28.7 million non-cash impairment charge of goodwill and acquired intangible assets in 2012. The remaining increase is primarily due to a $30.8 million increase in operating income (excluding the contingent consideration gain and non-cash impairment charges), a decrease in interest expense of $9.5 million and the increase in foreign currency exchange gain of $2.3 million. These increases were partly offset by an increase in income tax expense of $0.8 million, a decrease in other non-operating gains of $1.7 million and a decrease in interest income of $2.0 million. Other non-operating items decreased net income by $0.3 million.</w:t>
      </w:r>
    </w:p>
    <w:p>
      <w:pPr>
        <w:spacing w:after="0" w:line="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decrease of $16.5 million for 2012 as compared to 2011 was mainly the result of a $21.1 million decrease in operating income in 2012, caused by a $28.7 million non-cash impairment charge for goodwill and acquired intangible assets. Additionally, interest income decreased by $1.8 million, income from unconsolidated affiliates decreased by $0.9 million and income tax expense increased $2.2 million. These decreases to net income were partly offset by a $1.7 million decrease in interest expense, a $3.1 million increase in non-operating gains, recognition of a $1.9 million loss on early retirement of debt in 2011 and a decrease in foreign currency exchange loss of $1.6 million. Other items increased net income by $1.2 million during 2012 compared to 2011.</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Adjustment</w:t>
      </w:r>
    </w:p>
    <w:p>
      <w:pPr>
        <w:spacing w:after="0" w:line="229"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Translation gains and losses are the result of translating our foreign entities' balance sheets from local functional currency to the U.S. dollar reporting currency prior to consolidation and are recorded in comprehensive income. As required by U.S. GAAP, during this translation process, asset and liability accounts are translated at current foreign currency exchange rates and equity accounts are translated at historical rates. Historical rates represent the rates in effect when the balances in our equity accounts were originally created. By using this mix of rates to convert the balance sheet from functional currency to U.S. dollars, differences between current and historical exchange rates generate this translation adjustment.</w:t>
      </w:r>
    </w:p>
    <w:p>
      <w:pPr>
        <w:spacing w:after="0" w:line="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recorded a net gain on translation adjustments of $0.8 million and $10.9 million for 2013 and 2012, respectively, and a loss of $26.7 million for 2011. During 2013, the U.S. dollar weakened compared to certain currencies and strengthened compared to others and the net results was translation gain, which were recorded in comprehensive income. During 2012, the U.S. dollar weakened against most European-based currencies, primarily the British pound, euro and Polish zloty, resulting in translation gains which were recorded in comprehensive income.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As of December 31, 2013, we had working capital of $108.4 million, which is calculated as the difference between total current assets and total current liabilities, compared to working capital of $116.5 million as of December 31, 2012. Our ratio of current assets to current liabilities was 1.15 as of December 31, 2013, compared to 1.17 as of December 31, 2012.</w:t>
      </w:r>
    </w:p>
    <w:p>
      <w:pPr>
        <w:spacing w:after="0" w:line="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require substantial working capital to finance operations. The Money Transfer Segment funds the correspondent distribution network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fiscal period ends. As of December 31, 2013, working capital in the Money Transfer Segment was $85.6 million. We expect that working capital needs will continue to increase as this business grows. The epay Segment produces positive working capital, but much of it is restricted in connection with the administration of its customer collection and vendor remittance activities. The EFT Processing Segment does not require substantial working capital.</w:t>
      </w:r>
    </w:p>
    <w:p>
      <w:pPr>
        <w:spacing w:after="0" w:line="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had cash and cash equivalents of $209.8 million as of December 31, 2013, of which $164.5 million was held outside of the United States and is expected to be indefinitely reinvested for continued use in foreign operations. Repatriation of these assets to the U.S. could have negative tax consequences.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Cash flows provided by operating activities were $169.3 million for 2013 compared to $184.7 million for 2012. The decrease was mainly due to fluctuations in working capital primarily associated with the timing of the settlement processes with mobile operators in the epay Segment and with correspondents in the Money Transfer Segment, partly offset by improved operating results.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Cash flows provided by operating activities were $184.7 million for 2012 compared to $97.9 million for 2011. The increase was mainly due to fluctuations in working capital primarily associated with the timing of the settlement processes with mobile operators in the epay Segment and with correspondents in the Money Transfer Segment.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Cash flows used in investing activities were $69.5 million for 2013 compared to $69.2 million for 2012. Purchases of property and equipment were $40.9 million and $46.2 million for 2013 and 2012, respectively. Cash used for acquisitions in 2013 was $30.8 million compared to $22.3 million for 2012. Cash used for software development and long-term assets totaled $6.3 million for 2013 and $4.4 million for 2012. Additionally, we received $7.6 million of net proceeds from the sale of an equity investment during 2013. Other investing activities consist mainly of proceeds from the sale of property and equipment of $0.9 million and $3.8 million for 2013 and 2012, respectively.</w:t>
      </w:r>
    </w:p>
    <w:p>
      <w:pPr>
        <w:spacing w:after="0" w:line="8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Cash flows used in investing activities were $69.2 million for 2012 compared to $124.1 million for 2011. Purchases of property and equipment were $46.2 million and $46.0 million for 2012 and 2011, respectively. Cash used for acquisitions in 2012 was $22.3 million compared to $78.7 million for 2011. Cash used for software development and long-term assets totaled $4.4 million for 2012 and $3.2 million for 2011. Other investing activities consist mainly of proceeds from the sale of property and equipment of $3.8 million for both 2012 and 2011.</w:t>
      </w:r>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125" w:right="2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Cash flows used in financing activities were $91.2 million for 2013 compared to $92.6 million for 2012. Our financing activities for 2013 consisted of net repayments of debt obligations of $96.2 million compared to $44.2 million for 2012. To support the short-term cash needs of our Money Transfer Segment, we generally borrow amounts under our revolving credit facility several times each month to fund the correspondent network in advance of collecting remittance amounts from the agency network. These borrowings are repaid over a very short period of time, generally within a few days. Primarily as a result of this, during 2013 we had a total of $1,991.7 million in borrowings and $2,077.8 million in repayments under our revolving credit facility. During 2013, we used $8.7 million for repayments of debt obligations compared to $172.4 million in 2012. The 2012 repayments mainly consisted of repurchases of $167.9 million of convertible debentures which were largely funded by borrowings under our revolving credit facility. We used $7.9 million and $3.3 million during 2013 and 2012, respectively, for the acquisition of subsidiary shares from holders of noncontrolling interests. Additionally, for 2013 and 2012, we paid $2.6 million and $2.9 million, respectively, for capital lease obligations. Further, we received proceeds of $12.8 million and $2.9 million during 2013 and 2012, respectively, for the issuance of stock options in connection with our Stock Incentive Plan. Further, we used $42.9 million for the repurchase of shares during 2012. Other financing activities were $1.3 million and $2.2 million during 2013 and 2012, respectively.</w:t>
      </w:r>
    </w:p>
    <w:p>
      <w:pPr>
        <w:spacing w:after="0" w:line="6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Cash flows used in financing activities were $92.6 million during 2012 compared to cash flows provided by financing activities of $13.9 million in 2011. Our financing activities for 2012 centered around the repurchase of $167.9 million of our convertible debentures and the repurchase of $42.9 million of our common stock. As a result of the repurchases of the convertible debentures and Common Stock, during 2012 we had $128.1 million in net borrowings under our revolving credit facility. During 2011, we borrowed $80.0 million of long-term debt from our new term loan and used $128.0 million for repayments of debt obligations. During 2012, we used $1.9 million for debt issuance costs and $2.9 million for repayments of capital lease obligations. In 2011, we used $3.5 million for debt issuance costs and $2.6 million for repayments of capital lease obligations. Further, we used $16.0 million for the repurchase of shares during 2011. Additionally, we received cash of $2.9 million and $2.4 million from the issuance of shares in 2012 and 2011, respectively. During 2011, we paid $5.5 million in settlement of contingent consideration amounts recorded at the time of two different acquisitions. We paid $0.5 million and $1.1 million of dividends to noncontrolling interests' stockholders during 2012 and 2011,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We have a $480 million senior secured credit facility (the "Credit Facility") consisting of a $390 million five-year revolving credit facility, a $10 million five-year India revolving credit facility and an $80 million five-year term loan. The revolving credit facility allows for borrowings in U.S. dollars, euro, British pound sterling, Australian dollars and/or Indian rupees.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$390 million revolving credit facility contains a $200 million sublimit for the issuance of letters of credit and a $25 million sublimit for swingline loans. We intend to use the revolving credit facility primarily to fund working capital requirements, which are expected to increase as we expand the money transfer business. Based on our current projected working capital requirements, we anticipate that our revolving credit facility will be sufficient to fund our working capital needs.</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October 11, 2012, Euronet exercised its right to increase the aggregate commitments under its senior secured revolving credit facility by $125 million. In the process, additional financial institutions were added as lenders under the credit agreement. Borrowing capacity under the senior secured revolving credit facility increased from $275 million to $400 million (including the $10 million five-year India revolving credit facility), and Euronet remains entitled, provided lenders agree, to increase the aggregate commitments under the senior secured revolving credit facility by an additional $80 million. All other terms of the credit agreement remain unchanged.</w:t>
      </w:r>
    </w:p>
    <w:p>
      <w:pPr>
        <w:spacing w:after="0" w:line="8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Fees and interest on borrowings vary based upon Euronet's consolidated total leverage ratio (as defined in the Credit Agreement) and will be based, in the case of letter of credit fees, on a margin, and in the case of interest, on a margin over London Inter-Bank Offered Rate ("LIBOR") or a margin over the base rate, as selected by us, with the applicable margin ranging from 1.5% to 2.5% (or 0.5% to 1.5% for base rate loans). The base rate is the highest of (i) the Bank of America prime rate, (ii) the Federal Funds rate plus 0.50% or (iii) the Fixed LIBOR rate plus 1.00%. The term loan is subject to scheduled quarterly amortization payments, as set forth in the Credit Agreement. The maturity date for the Credit Facility is August 18, 2016, at which time the outstanding principal balance and all accrued interest will be due and payable in full.</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2013, we had borrowings of $68.0 million outstanding under the term loan. We had $129.0 million of borrowings and $58.7 million of stand-by letters of credit outstanding under the revolving credit facility as of December 31, 2013. The remaining $212.3 million under the revolving credit facility was available for borrowing. As of December 31, 2013, the weighted average interest rate was 1.7% under the Credit Facility, excluding amortization of deferred financing costs.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Short-term debt obligations</w:t>
      </w:r>
      <w:r>
        <w:rPr>
          <w:rFonts w:ascii="Arial" w:cs="Arial" w:eastAsia="Arial" w:hAnsi="Arial"/>
          <w:sz w:val="18"/>
          <w:szCs w:val="18"/>
          <w:color w:val="auto"/>
        </w:rPr>
        <w:t xml:space="preserve"> — Short-term debt obligations at December 31, 2013 were primarily comprised of $8.5 million of payments due in 2014 under the term loan. Certain of our subsidiaries also have available credit lines and overdraft facilities to supplement short-term working capital requirements, when necessary. As of December 31, 2013 there was $2.4 million outstanding under these arrangements.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u w:val="single" w:color="auto"/>
          <w:color w:val="auto"/>
        </w:rPr>
        <w:t>Debt and equity repurchases</w:t>
      </w:r>
      <w:r>
        <w:rPr>
          <w:rFonts w:ascii="Arial" w:cs="Arial" w:eastAsia="Arial" w:hAnsi="Arial"/>
          <w:sz w:val="17"/>
          <w:szCs w:val="17"/>
          <w:color w:val="auto"/>
        </w:rPr>
        <w:t xml:space="preserve"> — In August 2011, the Board of Directors authorized a stock repurchase program ("2011 Program") allowing Euronet to repurchase up to $100 million in value or 5.0 million shares of its Common Stock. During 2011 and 2012, Euronet repurchased 1.0 million shares for a total value of $16.0 million and 2.0 million shares for a total value of $42.9 million, respectively, under the 2011 Program. The average purchase price per share was $15.65 and $21.60 for the years ended December 31, 2011 and 2012, respectively. The 2011 program expired in August 2013.</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September 2013, the Board of Directors authorized a stock repurchase program extending through September 19, 2015 ("2013 program") allowing Euronet to repurchase up to $100 million in value or 5 million shares of its Common Stock. Because of constraints established in Euronet's Credit Agreement, repurchases may only begin after December 31, 2013. Repurchases under the 2013 Program may take place in the open market or in privately negotiated transactions, including derivative transactions, and may be made under a Rule 10b5-1 plan.</w:t>
      </w:r>
    </w:p>
    <w:p>
      <w:pPr>
        <w:spacing w:after="0" w:line="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October 2012, we repurchased $167.9 million of convertible debentures. Pursuant to the terms of the debentures, holders had the right to require us to repurchase some or all of the debentures on such date. We utilized cash on hand and borrowings on our revolving credit facility to fund these repurchases. In September 2013, we repurchased the remaining $3.6 million in principal amount of convertible debentures.</w:t>
      </w:r>
    </w:p>
    <w:p>
      <w:pPr>
        <w:spacing w:after="0" w:line="73"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u w:val="single" w:color="auto"/>
          <w:color w:val="auto"/>
        </w:rPr>
        <w:t>Payment obligations related to acquisitions</w:t>
      </w:r>
      <w:r>
        <w:rPr>
          <w:rFonts w:ascii="Arial" w:cs="Arial" w:eastAsia="Arial" w:hAnsi="Arial"/>
          <w:sz w:val="18"/>
          <w:szCs w:val="18"/>
          <w:color w:val="auto"/>
        </w:rPr>
        <w:t xml:space="preserve"> — A portion of the net assets acquired in the acquisition of Pure Commerce included a liability for additional purchase price consideration up to 30 million Australian dollars, payable in cash and Euronet Common Stock, based upon achieving certain performance conditions for the twelve month period ending in December 2013. The performance conditions were not met and as of December 31, 2013, no additional purchase price consideration is owed to the sellers under this agreement.</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u w:val="single" w:color="auto"/>
          <w:color w:val="auto"/>
        </w:rPr>
        <w:t>Capital expenditures and needs</w:t>
      </w:r>
      <w:r>
        <w:rPr>
          <w:rFonts w:ascii="Arial" w:cs="Arial" w:eastAsia="Arial" w:hAnsi="Arial"/>
          <w:sz w:val="18"/>
          <w:szCs w:val="18"/>
          <w:color w:val="auto"/>
        </w:rPr>
        <w:t xml:space="preserve"> — Total capital expenditures for 2013 were $41.8 million. These capital expenditures were primarily for the purchase of ATMs to meet contractual requirements in Poland and India, the purchase and installation of ATMs in key under-penetrated markets, the purchase of POS terminals for the epay and Money Transfer Segments, and office, data center and company store computer equipment and software. Total capital expenditures for 2014 are currently estimated to be approximately $40 million to $50 million.</w:t>
      </w:r>
    </w:p>
    <w:p>
      <w:pPr>
        <w:spacing w:after="0" w:line="18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the epay Segment, approximately 88,000 of the approximately 665,000 POS devices that we operate are Euronet-owned, with the remaining terminals being operated as integrated cash register devices of our major retail customers or owned by the retailers. As our epay Segment expands, we will continue to add terminals in certain independent retail locations at a price of approximately $300 per terminal. We expect the proportion of owned terminals to total terminals operated to remain relatively constant.</w:t>
      </w:r>
    </w:p>
    <w:p>
      <w:pPr>
        <w:spacing w:after="0" w:line="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contingent acquisition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117"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Although Euronet has no direct investments in European sovereign debt, we are indirectly exposed to its risks. Many of the customers of our EFT Segment are banks who may hold investments in European sovereign debt. To the extent those customers are negatively impacted by those investments, they may be less able to pay amounts owed to us or renew service agreements with us. Further, to the extent that sovereign debt concerns depress economic activity, such concerns may negatively impact the number of transactions processed on our epay and money transfer networks, resulting in lower revenue.</w:t>
      </w:r>
    </w:p>
    <w:p>
      <w:pPr>
        <w:spacing w:after="0" w:line="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Australia and U.K. epay businesses have recently experienced year-over-year declines in the number of transactions each processes, which has reduced their profitability. Continued economic and competitive pressures in Australia and the U.K. may negatively impact the epay Segment's profitability in the near term.</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certain significant off balance sheet items described below, in the following section, “Contractual Obligations” and in Note 20, Commitments, to the Consolidated Financial Statements.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To date, we are not aware of any significant claims made by the indemnified parties or parties to whom we have provided guarantees on behalf of our subsidiaries and, accordingly, no liabilities have been recorded as of December 31, 2013.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2013: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0"/>
              </w:rPr>
              <w:t>Payments due by period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obligations, including interest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205,749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11,786</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193,963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Obligations under operating leases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150,469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39,694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62,705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35,637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12,433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Obligations under capital leases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Purchase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6,502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4,516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368,393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58,569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261,216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36,023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12,585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computation of interest for debt obligations with variable interest rates reflects interest rates in effect at December 31, 2013. For additional information on debt obligations, see Note 10, Debt Obligations, to the Consolidated Financial Statements.</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additional information on capital and operating lease obligations, see Note 12, Leases, to the Consolidated Financial Statements. Purchase obligations primarily consist of ATM machines, services and maintenance as well as telecommunications services.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total liability for uncertain tax positions under Accounting Standards Codification ("ASC") 740-10-25 and -30 was $14.2 million as of December 31, 2013. The application of ASC 740-10-25 and -30 requires significant judgment in assessing the outcome of future income tax examinations and their potential impact on the Company's estimated effective income tax rate and the value of deferred tax assets, such as those related to the Company's net operating loss carryforwards. It is reasonably possible that the balance of gross unrecognized tax benefits could significantly change within the next twelve months, as a result of the resolution of audit examinations and expirations of certain statutes of limitations and, accordingly, materially affect our consolidated financial statements. At this time, it is not possible to estimate the range of change due to the uncertainty of potential outcomes.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judgments, assumptions, and estimates, often as a result of the need to make estimates of matters that are inherently uncertain and for which the actual results will emerge over time. These judgments, assumptions and estimates affect the amounts of assets, liabilities, revenues and expenses reported in the Consolidated Financial Statements and accompanying notes. Note 3, Summary of Significant Accounting Policies and Practices, to the Consolidated financial statements describes the significant accounting policies and methods used in the preparation of the Consolidated Financial Statements. Our most critical estimates and assumptions are used for computing income taxes, contingent purchase price consideration, estimating the useful lives and potential impairment of long-lived assets and goodwill, as well as allocating the purchase price to assets acquired and liabilities assumed in acquisitions, and revenue recognition.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The following descriptions of critical accounting policies and estimates are forward-looking statements and are impacted significantly by estimates and should be read in conjunction with Item 1A - Risk Factors. Actual results could differ materially from the results anticipated by these forward-looking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deferred income tax effects of transactions reported in different periods for financial reporting and income tax return purposes are recorded under the liability method. This method gives consideration to the future tax consequences of deferred income or expense items and immediately recognizes changes in income tax laws upon enactment. The statement of operations effect is generally derived from changes in deferred income taxes, net of valuation allowances, on the balance sheet as measured by differences in the book and tax bases of our assets and liabilities.</w:t>
      </w:r>
    </w:p>
    <w:p>
      <w:pPr>
        <w:spacing w:after="0" w:line="6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We have significant tax loss carryforwards, and other temporary differences, which are recorded as deferred tax assets and liabilities. Deferred tax assets realizable in future periods are recorded net of a valuation allowance based on an assessment of each entity's, or group of entities', ability to generate sufficient taxable income within an appropriate period, in a specific tax jurisdiction.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 assessing the recognition of deferred tax assets, we consider whether it is more likely than not that some portion or all of the deferred tax assets will be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realized. As more fully described in Note 13, Taxes, to the Consolidated Financial Statements, gross deferred tax assets were $110.5 million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partially offset by a valuation allowance of $81.0 million. The ultimate realization of deferred tax assets is dependent upon the generation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future taxable income during the periods in which those temporary differences become deductible. We make judgments and estimates on the scheduled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reversal of deferred tax liabilities, historical and projected future taxable income in each country in which we operate, and tax planning strategies in making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assessment.</w:t>
      </w:r>
    </w:p>
    <w:p>
      <w:pPr>
        <w:spacing w:after="0" w:line="103"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Based upon the level of historical taxable income and current projections for future taxable income over the periods in which the deferred tax assets are deductible, we believe it is more likely than not that we will realize the benefits of these deductible differences, net of the existing valuation allowance at December 31, 2013. If we have a history of generating taxable income in a certain country in which we operate, and baseline forecasts project continued taxable income in this country, we will reduce the valuation allowance for those deferred tax assets that we expect to realize.</w:t>
      </w:r>
    </w:p>
    <w:p>
      <w:pPr>
        <w:spacing w:after="0" w:line="4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Additionally, we follow the provisions of ASC 740-10-25 and -30 to account for uncertainty in income tax positions. Applying the standard requires substantial management judgment and use of estimates in determining whether the impact of a tax position is “more likely than not” of being sustained on audit by the relevant taxing authority. We consider many factors when evaluating and estimating our tax positions, which may require periodic adjustments and which may not accurately anticipate actual outcomes. It is reasonably possible that amounts reserved for potential exposure could change significantly as a result of the conclusion of tax examinations and, accordingly, materially affect our operating results.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we allocate the acquisition purchase price to the tangible and intangible assets acquired and liabilities assumed based on their estimated fair values. The excess purchase price over those fair values is recorded as goodwill. The fair value assigned to intangible assets acquired is supported by valuations using estimates and assumptions provided by management. For larger or more complex acquisitions, management engages an appraiser to assist in the valuation. Intangible assets with finite lives are amortized over their estimated useful lives. As of December 31, 2013, the Consolidated Balance Sheet includes goodwill of $498.4 million and acquired intangible assets, net of accumulated amortization, of $93.0 million.</w:t>
      </w:r>
    </w:p>
    <w:p>
      <w:pPr>
        <w:spacing w:after="0" w:line="8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accordance with ASC Topic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on an annual basis, and whenever events or circumstances dictate, we test for impairment. Impairment tests are performed annually during the fourth quarter and are performed at the reporting unit level. Generally, fair value represents discounted projected future cash flows and market multiple of earnings and potential impairment is indicated when the carrying value of a reporting unit, including goodwill, exceeds its estimated fair value. If the potential for impairment exists, the fair value of the reporting unit is subsequently measured against the fair value of its underlying assets and liabilities, excluding goodwill, to estimate an implied fair value of the reporting unit's goodwill. An impairment loss is recognized for any excess of the carrying value of the reporting unit's goodwill over the implied fair value. As a result of our annual impairment test for the years ended December 31, 2013 and 2012, we recorded non-cash goodwill impairment charges of $18.4 million and $23.5 million, respectively. See Note 8, Goodwill and Acquired Intangible Assets, Net, to the Consolidated Financial Statements for additional information regarding these charges. Our annual impairment test for the year ended December 31, 2011 indicated that there were no impairments. Determining the fair value of reporting units requires significant management judgment in estimating future cash flows and assessing potential market and economic conditions. It is reasonably possible that our operations will not perform as expected, or that estimates or assumptions could change, which may result in the recording of additional material non-cash impairment charges during the year in which these determinations take place.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or disposal of long-lived assets</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accordance with ASC Topic 350, long-lived assets, such as property and equipment and intangible assets subject to amortization are reviewed for impairment whenever events or changes in circumstances indicate that the carrying amount of an asset may not be recoverable. Factors that are considered important which could trigger an impairment review include the following: significant underperformance relative to expected historical or projected future operating results; significant changes in the manner of use of the acquired assets or the strategy for the overall business; and significant negative industry or economic trends. Recoverability of assets to be held and used is measured by a comparison of the carrying amount of an asset to estimated undiscounted future cash flows expected to be generated by the respective asset. The same estimates are also used in planning for our long- and short-range business planning and forecasting. We assess the reasonableness of the inputs and outcomes of our discounted cash flow analysis against available comparable market data. If the carrying amount of an asset exceeds its estimated future cash flows, an impairment charge is recognized by the amount by which the carrying amount exceeds the fair value of the respective asset. Assets to be disposed are required to be separately presented in the balance sheet and reported at the lower of the carrying amount or fair value less costs to sell, and are no longer depreciated. The assets and liabilities of a disposal group classified as held for sale are required to be presented separately in the appropriate asset and liability sections of the balance sheet. Reviewing long-lived assets for impairment requires considerable judgment. Estimating the future cash flows requires significant judgment. If future cash flows do not materialize as expected or there is a future adverse change in market conditions, we may be unable to recover the carrying amount of an asset, resulting in future impairment losses. For the year ended December 31, 2012, we recorded a $5.2 million non-cash impairment charge for acquired intangible assets, specifically related to customer relationship assets in Brazil. See Note 8, Goodwill and Acquired Intangible Assets, Net, to the Consolidated Financial Statements for additional information regarding these charges.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 accordance with U.S. GAAP, we recognize revenue when persuasive evidence of an arrangement exists, delivery has occurred or services have been rendered, the price is fixed or determinable and collection is reasonably assured. The majority of our revenues are comprised of monthly recurring management fees and transaction-based fees that are recognized when the transactions are processed or the services are performed. When determining the proper revenue recognition for monthly management fees and transaction-based fees, we consider the guidance in Staff Accounting Bulletin (“SAB”) 101, “Revenue Recognition in Financial Statements,” as amended by SAB 104, “Revenue Recognition,” ASC 605-45, ASC 605-25 and various other interpretations.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Certain of our noncancelable customer contracts provide for the receipt of up-front fees paid to or received from the customer and/or decreasing or increasing fee schedules over the agreement term for substantially the same level of services provided by Euronet. As prescribed by SAB 101 and SAB 104, we recognize revenue under these contracts based on proportional performance of services over the term of the contract, which generally results in “straight-line” revenue recognition of the contracts' total cash flows, including any up-front payment.</w:t>
      </w:r>
    </w:p>
    <w:p>
      <w:pPr>
        <w:spacing w:after="0" w:line="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Substantial management judgment and estimation is required in determining the proper revenue recognition methodology for our various revenue-producing activities, as well as the proper and consistent application of our determined methodology.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February 2013, the Financial Accounting Standards Board ("FASB") issued amended guidance that requires an entity to present information about significant items reclassified out of accumulated other comprehensive income, referred to as AOCI, on the face of the statement where net income is presented or as a separate disclosure in the notes to the financial statements. Additionally, the guidance expands the disclosure requirements for presentation of changes in AOCI by component. The guidance is effective for us for interim and annual reporting periods beginning January 1, 2013, and its adoption did not have an impact on our results of operations, cash flows or financial position.</w:t>
      </w:r>
    </w:p>
    <w:p>
      <w:pPr>
        <w:spacing w:after="0" w:line="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July 2013, the FASB issued Accounting Standards Update ("ASU") ASU 2013-11, Presentation of an Unrecognized Tax Benefit When a Net Operating Loss Carryforward, a Similar Tax Loss, or a Tax Credit Carryforward Exists ("ASU 2013-11"). The amendments in ASU 2013-11 provide guidance on the financial statement presentation of unrecognized tax benefit when a net operating loss carryforward, a similar tax loss, or a tax credit carryforward exists. The guidance is effective for fiscal years, and interim periods within those years, beginning after December 15, 2013. We do not anticipate a material impact to our financial position, results of operations or cash flows as a result of this change.</w:t>
      </w:r>
    </w:p>
    <w:p>
      <w:pPr>
        <w:spacing w:after="0" w:line="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impact on the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(“Exchange Act”). All statements other than statements of historical facts included in this document are forward-looking statements, including, but not limited to, statements regarding the following:</w:t>
      </w:r>
    </w:p>
    <w:p>
      <w:pPr>
        <w:spacing w:after="0" w:line="73" w:lineRule="exact"/>
        <w:rPr>
          <w:sz w:val="20"/>
          <w:szCs w:val="20"/>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33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 intend, estimate and similar expressions.</w:t>
      </w:r>
    </w:p>
    <w:p>
      <w:pPr>
        <w:spacing w:after="0" w:line="1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economic conditions in specific countries and regions; technological developments affecting the market for our products and services; our ability to successfully introduce new products; foreign currency exchange rate fluctuations; the effects of any potential future security breaches;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requirements; changes in laws and regulations affecting our business, including immigration laws, changes in our relationships with, or in fees charged by, our business partners, competition, the outcome of claims and other loss contingencies affecting Euronet and those referred to above and as set forth and more fully described in Part I, Item 1A — Risk Factors. Any forward-looking statements made in this Form 10-K speak only as of the date of this report. We do not intend, and do not undertake, any obligation to update any forward looking statements to reflect future events or circumstances after the date of such statements.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2013, our total debt outstanding was $199.4 million. Of this amount, $197.0 million, or 99% of our total debt obligations, relates to borrowings under our Credit Facility. If we were to maintain these borrowings for one year and maximize the potential borrowings available under the revolving credit facility for one year, a 1% increase in the applicable interest rate would result in additional interest expense to the Company of approximately $4.1 million.</w:t>
      </w:r>
    </w:p>
    <w:p>
      <w:pPr>
        <w:spacing w:after="0" w:line="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remaining $2.4 million, or 1% of our total debt obligations, is related to borrowings by certain subsidiaries to fund, from time to time, working capital requirements. These arrangements generally are due within one year and accrue interest at variable rates.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Additionally, as of December 31, 2013, we had approximately $5.2 million of capitalized leases with fixed payment and interest terms that expire between the years of 2014 and 2018 and bear interest at rates between 2.2% and 14.4%.</w:t>
      </w:r>
    </w:p>
    <w:p>
      <w:pPr>
        <w:sectPr>
          <w:pgSz w:w="11900" w:h="16838" w:orient="portrait"/>
          <w:cols w:equalWidth="0" w:num="1">
            <w:col w:w="11400"/>
          </w:cols>
          <w:pgMar w:left="240" w:top="125" w:right="259" w:bottom="0" w:gutter="0" w:footer="0" w:header="0"/>
        </w:sectPr>
      </w:pPr>
    </w:p>
    <w:bookmarkStart w:id="66" w:name="page67"/>
    <w:bookmarkEnd w:id="66"/>
    <w:p>
      <w:pPr>
        <w:ind w:right="10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years ended December 31, 2013 and 2012, 76% and 77% of our revenues, respectively, were generated in non-U.S. dollar countries. We expect to continue generating a significant portion of our revenues in countries with currencies other than the U.S. dollar. We are particularly vulnerable to fluctuations in exchange rates of the U.S. dollar to the currencies of countries in which we have significant operations, primarily the euro, British pound, Australian dollar, Polish zloty, Brazilian real and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33"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Indian rupee. As of December 31, 2013, we estimate that a 10% fluctuation in these foreign currency exchange rates would have the combined annualized effect on reported net income and working capital of approximately $30 million to $40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$50 million to $60 million as a result of the change in value of these items during translation to the U.S. dollar. For the fluctuations described above, a strengthening U.S. dollar produces a financial loss, while a weakening U.S. dollar produces a financial gain.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primarily to help offset foreign currency exposure related to the notional value of money transfer transactions collected in currencies other than the U.S. dollar and, occasionally, for other foreign currency exposures. As of December 31, 2013, we had foreign currency forward contracts outstanding with a notional value of $127.9 million, primarily in Australian dollars, euros, Mexican pesos and U.S. dollars, that were not designated as hedges and mature in a weighted average of three days. The fair value of these forward contracts as of December 31, 2013 was an unrealized loss of less than $0.1 million, which was partially offset by the unrealized gain on the related foreign currency receivables.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Index to Consolidated Financial Statements</w:t>
            </w:r>
          </w:p>
        </w:tc>
        <w:tc>
          <w:tcPr>
            <w:tcW w:w="1480" w:type="dxa"/>
            <w:vAlign w:val="bottom"/>
            <w:gridSpan w:val="5"/>
          </w:tcPr>
          <w:p>
            <w:pPr>
              <w:spacing w:after="0"/>
              <w:rPr>
                <w:sz w:val="17"/>
                <w:szCs w:val="17"/>
                <w:color w:val="auto"/>
              </w:rPr>
            </w:pPr>
          </w:p>
        </w:tc>
        <w:tc>
          <w:tcPr>
            <w:tcW w:w="6380" w:type="dxa"/>
            <w:vAlign w:val="bottom"/>
          </w:tcPr>
          <w:p>
            <w:pPr>
              <w:spacing w:after="0"/>
              <w:rPr>
                <w:sz w:val="17"/>
                <w:szCs w:val="17"/>
                <w:color w:val="auto"/>
              </w:rPr>
            </w:pPr>
          </w:p>
        </w:tc>
        <w:tc>
          <w:tcPr>
            <w:tcW w:w="3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80"/>
              </w:rPr>
              <w:t>Page</w:t>
            </w:r>
          </w:p>
        </w:tc>
      </w:tr>
      <w:tr>
        <w:trPr>
          <w:trHeight w:val="466"/>
        </w:trPr>
        <w:tc>
          <w:tcPr>
            <w:tcW w:w="4220" w:type="dxa"/>
            <w:vAlign w:val="bottom"/>
            <w:gridSpan w:val="19"/>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Report of Independent Registered Public Accounting Firm</w:t>
              </w:r>
            </w:hyperlink>
          </w:p>
        </w:tc>
        <w:tc>
          <w:tcPr>
            <w:tcW w:w="400" w:type="dxa"/>
            <w:vAlign w:val="bottom"/>
          </w:tcPr>
          <w:p>
            <w:pPr>
              <w:spacing w:after="0"/>
              <w:rPr>
                <w:sz w:val="24"/>
                <w:szCs w:val="24"/>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220" w:type="dxa"/>
            <w:vAlign w:val="bottom"/>
            <w:gridSpan w:val="19"/>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Consolidated Balance Sheets</w:t>
              </w:r>
            </w:hyperlink>
          </w:p>
        </w:tc>
        <w:tc>
          <w:tcPr>
            <w:tcW w:w="400" w:type="dxa"/>
            <w:vAlign w:val="bottom"/>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2500" w:type="dxa"/>
            <w:vAlign w:val="bottom"/>
            <w:gridSpan w:val="11"/>
          </w:tcPr>
          <w:p>
            <w:pPr>
              <w:spacing w:after="0"/>
              <w:rPr>
                <w:rFonts w:ascii="Arial" w:cs="Arial" w:eastAsia="Arial" w:hAnsi="Arial"/>
                <w:sz w:val="18"/>
                <w:szCs w:val="18"/>
                <w:color w:val="0000EE"/>
                <w:w w:val="86"/>
              </w:rPr>
            </w:pPr>
            <w:hyperlink w:anchor="page71">
              <w:r>
                <w:rPr>
                  <w:rFonts w:ascii="Arial" w:cs="Arial" w:eastAsia="Arial" w:hAnsi="Arial"/>
                  <w:sz w:val="18"/>
                  <w:szCs w:val="18"/>
                  <w:color w:val="0000EE"/>
                  <w:w w:val="86"/>
                </w:rPr>
                <w:t>Consolidated Statements of Income</w:t>
              </w:r>
            </w:hyperlink>
          </w:p>
        </w:tc>
        <w:tc>
          <w:tcPr>
            <w:tcW w:w="2120" w:type="dxa"/>
            <w:vAlign w:val="bottom"/>
            <w:gridSpan w:val="9"/>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70</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740" w:type="dxa"/>
            <w:vAlign w:val="bottom"/>
            <w:gridSpan w:val="17"/>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Consolidated Statements of Comprehensive Income</w:t>
              </w:r>
            </w:hyperlink>
          </w:p>
        </w:tc>
        <w:tc>
          <w:tcPr>
            <w:tcW w:w="880" w:type="dxa"/>
            <w:vAlign w:val="bottom"/>
            <w:gridSpan w:val="3"/>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740" w:type="dxa"/>
            <w:vAlign w:val="bottom"/>
            <w:gridSpan w:val="17"/>
          </w:tcPr>
          <w:p>
            <w:pPr>
              <w:spacing w:after="0"/>
              <w:rPr>
                <w:rFonts w:ascii="Arial" w:cs="Arial" w:eastAsia="Arial" w:hAnsi="Arial"/>
                <w:sz w:val="18"/>
                <w:szCs w:val="18"/>
                <w:color w:val="0000EE"/>
                <w:w w:val="99"/>
              </w:rPr>
            </w:pPr>
            <w:hyperlink w:anchor="page73">
              <w:r>
                <w:rPr>
                  <w:rFonts w:ascii="Arial" w:cs="Arial" w:eastAsia="Arial" w:hAnsi="Arial"/>
                  <w:sz w:val="18"/>
                  <w:szCs w:val="18"/>
                  <w:color w:val="0000EE"/>
                  <w:w w:val="99"/>
                </w:rPr>
                <w:t>Consolidated Statements of Changes in Equity</w:t>
              </w:r>
            </w:hyperlink>
          </w:p>
        </w:tc>
        <w:tc>
          <w:tcPr>
            <w:tcW w:w="880" w:type="dxa"/>
            <w:vAlign w:val="bottom"/>
            <w:gridSpan w:val="3"/>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72</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340" w:type="dxa"/>
            <w:vAlign w:val="bottom"/>
            <w:gridSpan w:val="16"/>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Consolidated Statements of Cash Flows</w:t>
              </w:r>
            </w:hyperlink>
          </w:p>
        </w:tc>
        <w:tc>
          <w:tcPr>
            <w:tcW w:w="1280" w:type="dxa"/>
            <w:vAlign w:val="bottom"/>
            <w:gridSpan w:val="4"/>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74</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20" w:type="dxa"/>
            <w:vAlign w:val="bottom"/>
            <w:gridSpan w:val="20"/>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Notes to Consolidated Financial Statements</w:t>
              </w:r>
            </w:hyperlink>
          </w:p>
        </w:tc>
        <w:tc>
          <w:tcPr>
            <w:tcW w:w="6740" w:type="dxa"/>
            <w:vAlign w:val="bottom"/>
            <w:gridSpan w:val="4"/>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75</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(1)</w:t>
              </w:r>
            </w:hyperlink>
          </w:p>
        </w:tc>
        <w:tc>
          <w:tcPr>
            <w:tcW w:w="2780" w:type="dxa"/>
            <w:vAlign w:val="bottom"/>
            <w:gridSpan w:val="13"/>
          </w:tcPr>
          <w:p>
            <w:pPr>
              <w:ind w:left="20"/>
              <w:spacing w:after="0"/>
              <w:rPr>
                <w:rFonts w:ascii="Arial" w:cs="Arial" w:eastAsia="Arial" w:hAnsi="Arial"/>
                <w:sz w:val="18"/>
                <w:szCs w:val="18"/>
                <w:color w:val="0000EE"/>
              </w:rPr>
            </w:pPr>
            <w:hyperlink w:anchor="page78">
              <w:r>
                <w:rPr>
                  <w:rFonts w:ascii="Arial" w:cs="Arial" w:eastAsia="Arial" w:hAnsi="Arial"/>
                  <w:sz w:val="18"/>
                  <w:szCs w:val="18"/>
                  <w:color w:val="0000EE"/>
                </w:rPr>
                <w:t>Organization</w:t>
              </w:r>
            </w:hyperlink>
          </w:p>
        </w:tc>
        <w:tc>
          <w:tcPr>
            <w:tcW w:w="1480" w:type="dxa"/>
            <w:vAlign w:val="bottom"/>
            <w:gridSpan w:val="5"/>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75</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(2)</w:t>
              </w:r>
            </w:hyperlink>
          </w:p>
        </w:tc>
        <w:tc>
          <w:tcPr>
            <w:tcW w:w="4260" w:type="dxa"/>
            <w:vAlign w:val="bottom"/>
            <w:gridSpan w:val="18"/>
          </w:tcPr>
          <w:p>
            <w:pPr>
              <w:ind w:left="20"/>
              <w:spacing w:after="0"/>
              <w:rPr>
                <w:rFonts w:ascii="Arial" w:cs="Arial" w:eastAsia="Arial" w:hAnsi="Arial"/>
                <w:sz w:val="18"/>
                <w:szCs w:val="18"/>
                <w:color w:val="0000EE"/>
              </w:rPr>
            </w:pPr>
            <w:hyperlink w:anchor="page78">
              <w:r>
                <w:rPr>
                  <w:rFonts w:ascii="Arial" w:cs="Arial" w:eastAsia="Arial" w:hAnsi="Arial"/>
                  <w:sz w:val="18"/>
                  <w:szCs w:val="18"/>
                  <w:color w:val="0000EE"/>
                </w:rPr>
                <w:t>Basis of Preparation</w:t>
              </w:r>
            </w:hyperlink>
          </w:p>
        </w:tc>
        <w:tc>
          <w:tcPr>
            <w:tcW w:w="6740" w:type="dxa"/>
            <w:vAlign w:val="bottom"/>
            <w:gridSpan w:val="4"/>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75</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(3)</w:t>
              </w:r>
            </w:hyperlink>
          </w:p>
        </w:tc>
        <w:tc>
          <w:tcPr>
            <w:tcW w:w="4260" w:type="dxa"/>
            <w:vAlign w:val="bottom"/>
            <w:gridSpan w:val="18"/>
          </w:tcPr>
          <w:p>
            <w:pPr>
              <w:ind w:left="20"/>
              <w:spacing w:after="0"/>
              <w:rPr>
                <w:rFonts w:ascii="Arial" w:cs="Arial" w:eastAsia="Arial" w:hAnsi="Arial"/>
                <w:sz w:val="18"/>
                <w:szCs w:val="18"/>
                <w:color w:val="0000EE"/>
                <w:w w:val="91"/>
              </w:rPr>
            </w:pPr>
            <w:hyperlink w:anchor="page78">
              <w:r>
                <w:rPr>
                  <w:rFonts w:ascii="Arial" w:cs="Arial" w:eastAsia="Arial" w:hAnsi="Arial"/>
                  <w:sz w:val="18"/>
                  <w:szCs w:val="18"/>
                  <w:color w:val="0000EE"/>
                  <w:w w:val="91"/>
                </w:rPr>
                <w:t>Summary of Significant Accounting Policies and Practices</w:t>
              </w:r>
            </w:hyperlink>
          </w:p>
        </w:tc>
        <w:tc>
          <w:tcPr>
            <w:tcW w:w="6740" w:type="dxa"/>
            <w:vAlign w:val="bottom"/>
            <w:gridSpan w:val="4"/>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75</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(4)</w:t>
              </w:r>
            </w:hyperlink>
          </w:p>
        </w:tc>
        <w:tc>
          <w:tcPr>
            <w:tcW w:w="4260" w:type="dxa"/>
            <w:vAlign w:val="bottom"/>
            <w:gridSpan w:val="18"/>
          </w:tcPr>
          <w:p>
            <w:pPr>
              <w:ind w:left="20"/>
              <w:spacing w:after="0"/>
              <w:rPr>
                <w:rFonts w:ascii="Arial" w:cs="Arial" w:eastAsia="Arial" w:hAnsi="Arial"/>
                <w:sz w:val="18"/>
                <w:szCs w:val="18"/>
                <w:color w:val="0000EE"/>
              </w:rPr>
            </w:pPr>
            <w:hyperlink w:anchor="page83">
              <w:r>
                <w:rPr>
                  <w:rFonts w:ascii="Arial" w:cs="Arial" w:eastAsia="Arial" w:hAnsi="Arial"/>
                  <w:sz w:val="18"/>
                  <w:szCs w:val="18"/>
                  <w:color w:val="0000EE"/>
                </w:rPr>
                <w:t>Stockholders' Equity</w:t>
              </w:r>
            </w:hyperlink>
          </w:p>
        </w:tc>
        <w:tc>
          <w:tcPr>
            <w:tcW w:w="6740" w:type="dxa"/>
            <w:vAlign w:val="bottom"/>
            <w:gridSpan w:val="4"/>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80</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5">
              <w:r>
                <w:rPr>
                  <w:rFonts w:ascii="Arial" w:cs="Arial" w:eastAsia="Arial" w:hAnsi="Arial"/>
                  <w:sz w:val="18"/>
                  <w:szCs w:val="18"/>
                  <w:color w:val="0000EE"/>
                  <w:w w:val="90"/>
                </w:rPr>
                <w:t>(5)</w:t>
              </w:r>
            </w:hyperlink>
          </w:p>
        </w:tc>
        <w:tc>
          <w:tcPr>
            <w:tcW w:w="4260" w:type="dxa"/>
            <w:vAlign w:val="bottom"/>
            <w:gridSpan w:val="18"/>
          </w:tcPr>
          <w:p>
            <w:pPr>
              <w:ind w:left="20"/>
              <w:spacing w:after="0"/>
              <w:rPr>
                <w:rFonts w:ascii="Arial" w:cs="Arial" w:eastAsia="Arial" w:hAnsi="Arial"/>
                <w:sz w:val="18"/>
                <w:szCs w:val="18"/>
                <w:color w:val="0000EE"/>
              </w:rPr>
            </w:pPr>
            <w:hyperlink w:anchor="page85">
              <w:r>
                <w:rPr>
                  <w:rFonts w:ascii="Arial" w:cs="Arial" w:eastAsia="Arial" w:hAnsi="Arial"/>
                  <w:sz w:val="18"/>
                  <w:szCs w:val="18"/>
                  <w:color w:val="0000EE"/>
                </w:rPr>
                <w:t>Acquisitions</w:t>
              </w:r>
            </w:hyperlink>
          </w:p>
        </w:tc>
        <w:tc>
          <w:tcPr>
            <w:tcW w:w="6740" w:type="dxa"/>
            <w:vAlign w:val="bottom"/>
            <w:gridSpan w:val="4"/>
          </w:tcPr>
          <w:p>
            <w:pPr>
              <w:jc w:val="right"/>
              <w:spacing w:after="0"/>
              <w:rPr>
                <w:rFonts w:ascii="Arial" w:cs="Arial" w:eastAsia="Arial" w:hAnsi="Arial"/>
                <w:sz w:val="18"/>
                <w:szCs w:val="18"/>
                <w:color w:val="0000EE"/>
              </w:rPr>
            </w:pPr>
            <w:hyperlink w:anchor="page85">
              <w:r>
                <w:rPr>
                  <w:rFonts w:ascii="Arial" w:cs="Arial" w:eastAsia="Arial" w:hAnsi="Arial"/>
                  <w:sz w:val="18"/>
                  <w:szCs w:val="18"/>
                  <w:color w:val="0000EE"/>
                </w:rPr>
                <w:t>82</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7">
              <w:r>
                <w:rPr>
                  <w:rFonts w:ascii="Arial" w:cs="Arial" w:eastAsia="Arial" w:hAnsi="Arial"/>
                  <w:sz w:val="18"/>
                  <w:szCs w:val="18"/>
                  <w:color w:val="0000EE"/>
                  <w:w w:val="90"/>
                </w:rPr>
                <w:t>(6)</w:t>
              </w:r>
            </w:hyperlink>
          </w:p>
        </w:tc>
        <w:tc>
          <w:tcPr>
            <w:tcW w:w="4260" w:type="dxa"/>
            <w:vAlign w:val="bottom"/>
            <w:gridSpan w:val="18"/>
          </w:tcPr>
          <w:p>
            <w:pPr>
              <w:ind w:left="20"/>
              <w:spacing w:after="0"/>
              <w:rPr>
                <w:rFonts w:ascii="Arial" w:cs="Arial" w:eastAsia="Arial" w:hAnsi="Arial"/>
                <w:sz w:val="18"/>
                <w:szCs w:val="18"/>
                <w:color w:val="0000EE"/>
              </w:rPr>
            </w:pPr>
            <w:hyperlink w:anchor="page87">
              <w:r>
                <w:rPr>
                  <w:rFonts w:ascii="Arial" w:cs="Arial" w:eastAsia="Arial" w:hAnsi="Arial"/>
                  <w:sz w:val="18"/>
                  <w:szCs w:val="18"/>
                  <w:color w:val="0000EE"/>
                </w:rPr>
                <w:t>Restricted Cash</w:t>
              </w:r>
            </w:hyperlink>
          </w:p>
        </w:tc>
        <w:tc>
          <w:tcPr>
            <w:tcW w:w="6740" w:type="dxa"/>
            <w:vAlign w:val="bottom"/>
            <w:gridSpan w:val="4"/>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84</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7">
              <w:r>
                <w:rPr>
                  <w:rFonts w:ascii="Arial" w:cs="Arial" w:eastAsia="Arial" w:hAnsi="Arial"/>
                  <w:sz w:val="18"/>
                  <w:szCs w:val="18"/>
                  <w:color w:val="0000EE"/>
                  <w:w w:val="90"/>
                </w:rPr>
                <w:t>(7)</w:t>
              </w:r>
            </w:hyperlink>
          </w:p>
        </w:tc>
        <w:tc>
          <w:tcPr>
            <w:tcW w:w="4260" w:type="dxa"/>
            <w:vAlign w:val="bottom"/>
            <w:gridSpan w:val="18"/>
          </w:tcPr>
          <w:p>
            <w:pPr>
              <w:ind w:left="20"/>
              <w:spacing w:after="0"/>
              <w:rPr>
                <w:rFonts w:ascii="Arial" w:cs="Arial" w:eastAsia="Arial" w:hAnsi="Arial"/>
                <w:sz w:val="18"/>
                <w:szCs w:val="18"/>
                <w:color w:val="0000EE"/>
              </w:rPr>
            </w:pPr>
            <w:hyperlink w:anchor="page87">
              <w:r>
                <w:rPr>
                  <w:rFonts w:ascii="Arial" w:cs="Arial" w:eastAsia="Arial" w:hAnsi="Arial"/>
                  <w:sz w:val="18"/>
                  <w:szCs w:val="18"/>
                  <w:color w:val="0000EE"/>
                </w:rPr>
                <w:t>Property and Equipment, Net</w:t>
              </w:r>
            </w:hyperlink>
          </w:p>
        </w:tc>
        <w:tc>
          <w:tcPr>
            <w:tcW w:w="6740" w:type="dxa"/>
            <w:vAlign w:val="bottom"/>
            <w:gridSpan w:val="4"/>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85</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(8)</w:t>
              </w:r>
            </w:hyperlink>
          </w:p>
        </w:tc>
        <w:tc>
          <w:tcPr>
            <w:tcW w:w="4260" w:type="dxa"/>
            <w:vAlign w:val="bottom"/>
            <w:gridSpan w:val="18"/>
          </w:tcPr>
          <w:p>
            <w:pPr>
              <w:ind w:left="20"/>
              <w:spacing w:after="0"/>
              <w:rPr>
                <w:rFonts w:ascii="Arial" w:cs="Arial" w:eastAsia="Arial" w:hAnsi="Arial"/>
                <w:sz w:val="18"/>
                <w:szCs w:val="18"/>
                <w:color w:val="0000EE"/>
              </w:rPr>
            </w:pPr>
            <w:hyperlink w:anchor="page88">
              <w:r>
                <w:rPr>
                  <w:rFonts w:ascii="Arial" w:cs="Arial" w:eastAsia="Arial" w:hAnsi="Arial"/>
                  <w:sz w:val="18"/>
                  <w:szCs w:val="18"/>
                  <w:color w:val="0000EE"/>
                </w:rPr>
                <w:t>Goodwill and Acquired Intangible, Net</w:t>
              </w:r>
            </w:hyperlink>
          </w:p>
        </w:tc>
        <w:tc>
          <w:tcPr>
            <w:tcW w:w="6740" w:type="dxa"/>
            <w:vAlign w:val="bottom"/>
            <w:gridSpan w:val="4"/>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85</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90">
              <w:r>
                <w:rPr>
                  <w:rFonts w:ascii="Arial" w:cs="Arial" w:eastAsia="Arial" w:hAnsi="Arial"/>
                  <w:sz w:val="18"/>
                  <w:szCs w:val="18"/>
                  <w:color w:val="0000EE"/>
                  <w:w w:val="90"/>
                </w:rPr>
                <w:t>(9)</w:t>
              </w:r>
            </w:hyperlink>
          </w:p>
        </w:tc>
        <w:tc>
          <w:tcPr>
            <w:tcW w:w="4260" w:type="dxa"/>
            <w:vAlign w:val="bottom"/>
            <w:gridSpan w:val="18"/>
          </w:tcPr>
          <w:p>
            <w:pPr>
              <w:ind w:left="20"/>
              <w:spacing w:after="0"/>
              <w:rPr>
                <w:rFonts w:ascii="Arial" w:cs="Arial" w:eastAsia="Arial" w:hAnsi="Arial"/>
                <w:sz w:val="18"/>
                <w:szCs w:val="18"/>
                <w:color w:val="0000EE"/>
              </w:rPr>
            </w:pPr>
            <w:hyperlink w:anchor="page90">
              <w:r>
                <w:rPr>
                  <w:rFonts w:ascii="Arial" w:cs="Arial" w:eastAsia="Arial" w:hAnsi="Arial"/>
                  <w:sz w:val="18"/>
                  <w:szCs w:val="18"/>
                  <w:color w:val="0000EE"/>
                </w:rPr>
                <w:t>Accrued Expenses and Other Current Liabilities</w:t>
              </w:r>
            </w:hyperlink>
          </w:p>
        </w:tc>
        <w:tc>
          <w:tcPr>
            <w:tcW w:w="6740" w:type="dxa"/>
            <w:vAlign w:val="bottom"/>
            <w:gridSpan w:val="4"/>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87</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90">
              <w:r>
                <w:rPr>
                  <w:rFonts w:ascii="Arial" w:cs="Arial" w:eastAsia="Arial" w:hAnsi="Arial"/>
                  <w:sz w:val="18"/>
                  <w:szCs w:val="18"/>
                  <w:color w:val="0000EE"/>
                  <w:w w:val="93"/>
                </w:rPr>
                <w:t>(10)</w:t>
              </w:r>
            </w:hyperlink>
          </w:p>
        </w:tc>
        <w:tc>
          <w:tcPr>
            <w:tcW w:w="4160" w:type="dxa"/>
            <w:vAlign w:val="bottom"/>
            <w:gridSpan w:val="17"/>
          </w:tcPr>
          <w:p>
            <w:pPr>
              <w:ind w:left="20"/>
              <w:spacing w:after="0"/>
              <w:rPr>
                <w:rFonts w:ascii="Arial" w:cs="Arial" w:eastAsia="Arial" w:hAnsi="Arial"/>
                <w:sz w:val="18"/>
                <w:szCs w:val="18"/>
                <w:color w:val="0000EE"/>
              </w:rPr>
            </w:pPr>
            <w:hyperlink w:anchor="page90">
              <w:r>
                <w:rPr>
                  <w:rFonts w:ascii="Arial" w:cs="Arial" w:eastAsia="Arial" w:hAnsi="Arial"/>
                  <w:sz w:val="18"/>
                  <w:szCs w:val="18"/>
                  <w:color w:val="0000EE"/>
                </w:rPr>
                <w:t>Debt Obligations</w:t>
              </w:r>
            </w:hyperlink>
          </w:p>
        </w:tc>
        <w:tc>
          <w:tcPr>
            <w:tcW w:w="6740" w:type="dxa"/>
            <w:vAlign w:val="bottom"/>
            <w:gridSpan w:val="4"/>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88</w:t>
              </w:r>
            </w:hyperlink>
          </w:p>
        </w:tc>
      </w:tr>
      <w:tr>
        <w:trPr>
          <w:trHeight w:val="20"/>
        </w:trPr>
        <w:tc>
          <w:tcPr>
            <w:tcW w:w="14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700" w:type="dxa"/>
            <w:vAlign w:val="bottom"/>
            <w:gridSpan w:val="17"/>
          </w:tcPr>
          <w:p>
            <w:pPr>
              <w:spacing w:after="0"/>
              <w:rPr>
                <w:rFonts w:ascii="Arial" w:cs="Arial" w:eastAsia="Arial" w:hAnsi="Arial"/>
                <w:sz w:val="18"/>
                <w:szCs w:val="18"/>
                <w:color w:val="0000EE"/>
                <w:w w:val="92"/>
              </w:rPr>
            </w:pPr>
            <w:hyperlink w:anchor="page92">
              <w:r>
                <w:rPr>
                  <w:rFonts w:ascii="Arial" w:cs="Arial" w:eastAsia="Arial" w:hAnsi="Arial"/>
                  <w:sz w:val="18"/>
                  <w:szCs w:val="18"/>
                  <w:color w:val="0000EE"/>
                  <w:w w:val="92"/>
                </w:rPr>
                <w:t>(11) Derivative Instruments and Hedging Activities</w:t>
              </w:r>
            </w:hyperlink>
          </w:p>
        </w:tc>
        <w:tc>
          <w:tcPr>
            <w:tcW w:w="780" w:type="dxa"/>
            <w:vAlign w:val="bottom"/>
            <w:gridSpan w:val="2"/>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89</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93">
              <w:r>
                <w:rPr>
                  <w:rFonts w:ascii="Arial" w:cs="Arial" w:eastAsia="Arial" w:hAnsi="Arial"/>
                  <w:sz w:val="18"/>
                  <w:szCs w:val="18"/>
                  <w:color w:val="0000EE"/>
                  <w:w w:val="93"/>
                </w:rPr>
                <w:t>(12)</w:t>
              </w:r>
            </w:hyperlink>
          </w:p>
        </w:tc>
        <w:tc>
          <w:tcPr>
            <w:tcW w:w="4160" w:type="dxa"/>
            <w:vAlign w:val="bottom"/>
            <w:gridSpan w:val="17"/>
          </w:tcPr>
          <w:p>
            <w:pPr>
              <w:ind w:left="20"/>
              <w:spacing w:after="0"/>
              <w:rPr>
                <w:rFonts w:ascii="Arial" w:cs="Arial" w:eastAsia="Arial" w:hAnsi="Arial"/>
                <w:sz w:val="18"/>
                <w:szCs w:val="18"/>
                <w:color w:val="0000EE"/>
              </w:rPr>
            </w:pPr>
            <w:hyperlink w:anchor="page93">
              <w:r>
                <w:rPr>
                  <w:rFonts w:ascii="Arial" w:cs="Arial" w:eastAsia="Arial" w:hAnsi="Arial"/>
                  <w:sz w:val="18"/>
                  <w:szCs w:val="18"/>
                  <w:color w:val="0000EE"/>
                </w:rPr>
                <w:t>Leases</w:t>
              </w:r>
            </w:hyperlink>
          </w:p>
        </w:tc>
        <w:tc>
          <w:tcPr>
            <w:tcW w:w="6740" w:type="dxa"/>
            <w:vAlign w:val="bottom"/>
            <w:gridSpan w:val="4"/>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90</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94">
              <w:r>
                <w:rPr>
                  <w:rFonts w:ascii="Arial" w:cs="Arial" w:eastAsia="Arial" w:hAnsi="Arial"/>
                  <w:sz w:val="18"/>
                  <w:szCs w:val="18"/>
                  <w:color w:val="0000EE"/>
                  <w:w w:val="93"/>
                </w:rPr>
                <w:t>(13)</w:t>
              </w:r>
            </w:hyperlink>
          </w:p>
        </w:tc>
        <w:tc>
          <w:tcPr>
            <w:tcW w:w="4160" w:type="dxa"/>
            <w:vAlign w:val="bottom"/>
            <w:gridSpan w:val="17"/>
          </w:tcPr>
          <w:p>
            <w:pPr>
              <w:ind w:left="20"/>
              <w:spacing w:after="0"/>
              <w:rPr>
                <w:rFonts w:ascii="Arial" w:cs="Arial" w:eastAsia="Arial" w:hAnsi="Arial"/>
                <w:sz w:val="18"/>
                <w:szCs w:val="18"/>
                <w:color w:val="0000EE"/>
              </w:rPr>
            </w:pPr>
            <w:hyperlink w:anchor="page94">
              <w:r>
                <w:rPr>
                  <w:rFonts w:ascii="Arial" w:cs="Arial" w:eastAsia="Arial" w:hAnsi="Arial"/>
                  <w:sz w:val="18"/>
                  <w:szCs w:val="18"/>
                  <w:color w:val="0000EE"/>
                </w:rPr>
                <w:t>Income Taxes</w:t>
              </w:r>
            </w:hyperlink>
          </w:p>
        </w:tc>
        <w:tc>
          <w:tcPr>
            <w:tcW w:w="6740" w:type="dxa"/>
            <w:vAlign w:val="bottom"/>
            <w:gridSpan w:val="4"/>
          </w:tcPr>
          <w:p>
            <w:pPr>
              <w:jc w:val="right"/>
              <w:spacing w:after="0"/>
              <w:rPr>
                <w:rFonts w:ascii="Arial" w:cs="Arial" w:eastAsia="Arial" w:hAnsi="Arial"/>
                <w:sz w:val="18"/>
                <w:szCs w:val="18"/>
                <w:color w:val="0000EE"/>
              </w:rPr>
            </w:pPr>
            <w:hyperlink w:anchor="page94">
              <w:r>
                <w:rPr>
                  <w:rFonts w:ascii="Arial" w:cs="Arial" w:eastAsia="Arial" w:hAnsi="Arial"/>
                  <w:sz w:val="18"/>
                  <w:szCs w:val="18"/>
                  <w:color w:val="0000EE"/>
                </w:rPr>
                <w:t>91</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98">
              <w:r>
                <w:rPr>
                  <w:rFonts w:ascii="Arial" w:cs="Arial" w:eastAsia="Arial" w:hAnsi="Arial"/>
                  <w:sz w:val="18"/>
                  <w:szCs w:val="18"/>
                  <w:color w:val="0000EE"/>
                  <w:w w:val="93"/>
                </w:rPr>
                <w:t>(14)</w:t>
              </w:r>
            </w:hyperlink>
          </w:p>
        </w:tc>
        <w:tc>
          <w:tcPr>
            <w:tcW w:w="4160" w:type="dxa"/>
            <w:vAlign w:val="bottom"/>
            <w:gridSpan w:val="17"/>
          </w:tcPr>
          <w:p>
            <w:pPr>
              <w:ind w:left="20"/>
              <w:spacing w:after="0"/>
              <w:rPr>
                <w:rFonts w:ascii="Arial" w:cs="Arial" w:eastAsia="Arial" w:hAnsi="Arial"/>
                <w:sz w:val="18"/>
                <w:szCs w:val="18"/>
                <w:color w:val="0000EE"/>
              </w:rPr>
            </w:pPr>
            <w:hyperlink w:anchor="page98">
              <w:r>
                <w:rPr>
                  <w:rFonts w:ascii="Arial" w:cs="Arial" w:eastAsia="Arial" w:hAnsi="Arial"/>
                  <w:sz w:val="18"/>
                  <w:szCs w:val="18"/>
                  <w:color w:val="0000EE"/>
                </w:rPr>
                <w:t>Valuation and Qualifying Accounts</w:t>
              </w:r>
            </w:hyperlink>
          </w:p>
        </w:tc>
        <w:tc>
          <w:tcPr>
            <w:tcW w:w="6740" w:type="dxa"/>
            <w:vAlign w:val="bottom"/>
            <w:gridSpan w:val="4"/>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95</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98">
              <w:r>
                <w:rPr>
                  <w:rFonts w:ascii="Arial" w:cs="Arial" w:eastAsia="Arial" w:hAnsi="Arial"/>
                  <w:sz w:val="18"/>
                  <w:szCs w:val="18"/>
                  <w:color w:val="0000EE"/>
                  <w:w w:val="93"/>
                </w:rPr>
                <w:t>(15)</w:t>
              </w:r>
            </w:hyperlink>
          </w:p>
        </w:tc>
        <w:tc>
          <w:tcPr>
            <w:tcW w:w="4160" w:type="dxa"/>
            <w:vAlign w:val="bottom"/>
            <w:gridSpan w:val="17"/>
          </w:tcPr>
          <w:p>
            <w:pPr>
              <w:ind w:left="20"/>
              <w:spacing w:after="0"/>
              <w:rPr>
                <w:rFonts w:ascii="Arial" w:cs="Arial" w:eastAsia="Arial" w:hAnsi="Arial"/>
                <w:sz w:val="18"/>
                <w:szCs w:val="18"/>
                <w:color w:val="0000EE"/>
              </w:rPr>
            </w:pPr>
            <w:hyperlink w:anchor="page98">
              <w:r>
                <w:rPr>
                  <w:rFonts w:ascii="Arial" w:cs="Arial" w:eastAsia="Arial" w:hAnsi="Arial"/>
                  <w:sz w:val="18"/>
                  <w:szCs w:val="18"/>
                  <w:color w:val="0000EE"/>
                </w:rPr>
                <w:t>Stock Plans</w:t>
              </w:r>
            </w:hyperlink>
          </w:p>
        </w:tc>
        <w:tc>
          <w:tcPr>
            <w:tcW w:w="6740" w:type="dxa"/>
            <w:vAlign w:val="bottom"/>
            <w:gridSpan w:val="4"/>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95</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0">
              <w:r>
                <w:rPr>
                  <w:rFonts w:ascii="Arial" w:cs="Arial" w:eastAsia="Arial" w:hAnsi="Arial"/>
                  <w:sz w:val="18"/>
                  <w:szCs w:val="18"/>
                  <w:color w:val="0000EE"/>
                  <w:w w:val="93"/>
                </w:rPr>
                <w:t>(16)</w:t>
              </w:r>
            </w:hyperlink>
          </w:p>
        </w:tc>
        <w:tc>
          <w:tcPr>
            <w:tcW w:w="4160" w:type="dxa"/>
            <w:vAlign w:val="bottom"/>
            <w:gridSpan w:val="17"/>
          </w:tcPr>
          <w:p>
            <w:pPr>
              <w:ind w:left="20"/>
              <w:spacing w:after="0"/>
              <w:rPr>
                <w:rFonts w:ascii="Arial" w:cs="Arial" w:eastAsia="Arial" w:hAnsi="Arial"/>
                <w:sz w:val="18"/>
                <w:szCs w:val="18"/>
                <w:color w:val="0000EE"/>
              </w:rPr>
            </w:pPr>
            <w:hyperlink w:anchor="page100">
              <w:r>
                <w:rPr>
                  <w:rFonts w:ascii="Arial" w:cs="Arial" w:eastAsia="Arial" w:hAnsi="Arial"/>
                  <w:sz w:val="18"/>
                  <w:szCs w:val="18"/>
                  <w:color w:val="0000EE"/>
                </w:rPr>
                <w:t>Business Segment Information</w:t>
              </w:r>
            </w:hyperlink>
          </w:p>
        </w:tc>
        <w:tc>
          <w:tcPr>
            <w:tcW w:w="6740" w:type="dxa"/>
            <w:vAlign w:val="bottom"/>
            <w:gridSpan w:val="4"/>
          </w:tcPr>
          <w:p>
            <w:pPr>
              <w:jc w:val="right"/>
              <w:spacing w:after="0"/>
              <w:rPr>
                <w:rFonts w:ascii="Arial" w:cs="Arial" w:eastAsia="Arial" w:hAnsi="Arial"/>
                <w:sz w:val="18"/>
                <w:szCs w:val="18"/>
                <w:color w:val="0000EE"/>
              </w:rPr>
            </w:pPr>
            <w:hyperlink w:anchor="page100">
              <w:r>
                <w:rPr>
                  <w:rFonts w:ascii="Arial" w:cs="Arial" w:eastAsia="Arial" w:hAnsi="Arial"/>
                  <w:sz w:val="18"/>
                  <w:szCs w:val="18"/>
                  <w:color w:val="0000EE"/>
                </w:rPr>
                <w:t>98</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5">
              <w:r>
                <w:rPr>
                  <w:rFonts w:ascii="Arial" w:cs="Arial" w:eastAsia="Arial" w:hAnsi="Arial"/>
                  <w:sz w:val="18"/>
                  <w:szCs w:val="18"/>
                  <w:color w:val="0000EE"/>
                  <w:w w:val="93"/>
                </w:rPr>
                <w:t>(17)</w:t>
              </w:r>
            </w:hyperlink>
          </w:p>
        </w:tc>
        <w:tc>
          <w:tcPr>
            <w:tcW w:w="4160" w:type="dxa"/>
            <w:vAlign w:val="bottom"/>
            <w:gridSpan w:val="17"/>
          </w:tcPr>
          <w:p>
            <w:pPr>
              <w:ind w:left="20"/>
              <w:spacing w:after="0"/>
              <w:rPr>
                <w:rFonts w:ascii="Arial" w:cs="Arial" w:eastAsia="Arial" w:hAnsi="Arial"/>
                <w:sz w:val="18"/>
                <w:szCs w:val="18"/>
                <w:color w:val="0000EE"/>
                <w:w w:val="98"/>
              </w:rPr>
            </w:pPr>
            <w:hyperlink w:anchor="page105">
              <w:r>
                <w:rPr>
                  <w:rFonts w:ascii="Arial" w:cs="Arial" w:eastAsia="Arial" w:hAnsi="Arial"/>
                  <w:sz w:val="18"/>
                  <w:szCs w:val="18"/>
                  <w:color w:val="0000EE"/>
                  <w:w w:val="98"/>
                </w:rPr>
                <w:t>Financial Instruments and Fair Value Measurements</w:t>
              </w:r>
            </w:hyperlink>
          </w:p>
        </w:tc>
        <w:tc>
          <w:tcPr>
            <w:tcW w:w="6740" w:type="dxa"/>
            <w:vAlign w:val="bottom"/>
            <w:gridSpan w:val="4"/>
          </w:tcPr>
          <w:p>
            <w:pPr>
              <w:jc w:val="right"/>
              <w:spacing w:after="0"/>
              <w:rPr>
                <w:rFonts w:ascii="Arial" w:cs="Arial" w:eastAsia="Arial" w:hAnsi="Arial"/>
                <w:sz w:val="18"/>
                <w:szCs w:val="18"/>
                <w:color w:val="0000EE"/>
              </w:rPr>
            </w:pPr>
            <w:hyperlink w:anchor="page105">
              <w:r>
                <w:rPr>
                  <w:rFonts w:ascii="Arial" w:cs="Arial" w:eastAsia="Arial" w:hAnsi="Arial"/>
                  <w:sz w:val="18"/>
                  <w:szCs w:val="18"/>
                  <w:color w:val="0000EE"/>
                </w:rPr>
                <w:t>102</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7">
              <w:r>
                <w:rPr>
                  <w:rFonts w:ascii="Arial" w:cs="Arial" w:eastAsia="Arial" w:hAnsi="Arial"/>
                  <w:sz w:val="18"/>
                  <w:szCs w:val="18"/>
                  <w:color w:val="0000EE"/>
                  <w:w w:val="93"/>
                </w:rPr>
                <w:t>(18)</w:t>
              </w:r>
            </w:hyperlink>
          </w:p>
        </w:tc>
        <w:tc>
          <w:tcPr>
            <w:tcW w:w="4160" w:type="dxa"/>
            <w:vAlign w:val="bottom"/>
            <w:gridSpan w:val="17"/>
          </w:tcPr>
          <w:p>
            <w:pPr>
              <w:ind w:left="20"/>
              <w:spacing w:after="0"/>
              <w:rPr>
                <w:rFonts w:ascii="Arial" w:cs="Arial" w:eastAsia="Arial" w:hAnsi="Arial"/>
                <w:sz w:val="18"/>
                <w:szCs w:val="18"/>
                <w:color w:val="0000EE"/>
              </w:rPr>
            </w:pPr>
            <w:hyperlink w:anchor="page107">
              <w:r>
                <w:rPr>
                  <w:rFonts w:ascii="Arial" w:cs="Arial" w:eastAsia="Arial" w:hAnsi="Arial"/>
                  <w:sz w:val="18"/>
                  <w:szCs w:val="18"/>
                  <w:color w:val="0000EE"/>
                </w:rPr>
                <w:t>Computer Software To Be Sold</w:t>
              </w:r>
            </w:hyperlink>
          </w:p>
        </w:tc>
        <w:tc>
          <w:tcPr>
            <w:tcW w:w="6740" w:type="dxa"/>
            <w:vAlign w:val="bottom"/>
            <w:gridSpan w:val="4"/>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104</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7">
              <w:r>
                <w:rPr>
                  <w:rFonts w:ascii="Arial" w:cs="Arial" w:eastAsia="Arial" w:hAnsi="Arial"/>
                  <w:sz w:val="18"/>
                  <w:szCs w:val="18"/>
                  <w:color w:val="0000EE"/>
                  <w:w w:val="93"/>
                </w:rPr>
                <w:t>(19)</w:t>
              </w:r>
            </w:hyperlink>
          </w:p>
        </w:tc>
        <w:tc>
          <w:tcPr>
            <w:tcW w:w="4160" w:type="dxa"/>
            <w:vAlign w:val="bottom"/>
            <w:gridSpan w:val="17"/>
          </w:tcPr>
          <w:p>
            <w:pPr>
              <w:ind w:left="20"/>
              <w:spacing w:after="0"/>
              <w:rPr>
                <w:rFonts w:ascii="Arial" w:cs="Arial" w:eastAsia="Arial" w:hAnsi="Arial"/>
                <w:sz w:val="18"/>
                <w:szCs w:val="18"/>
                <w:color w:val="0000EE"/>
              </w:rPr>
            </w:pPr>
            <w:hyperlink w:anchor="page107">
              <w:r>
                <w:rPr>
                  <w:rFonts w:ascii="Arial" w:cs="Arial" w:eastAsia="Arial" w:hAnsi="Arial"/>
                  <w:sz w:val="18"/>
                  <w:szCs w:val="18"/>
                  <w:color w:val="0000EE"/>
                </w:rPr>
                <w:t>Litigation and Contingencies</w:t>
              </w:r>
            </w:hyperlink>
          </w:p>
        </w:tc>
        <w:tc>
          <w:tcPr>
            <w:tcW w:w="6740" w:type="dxa"/>
            <w:vAlign w:val="bottom"/>
            <w:gridSpan w:val="4"/>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104</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8">
              <w:r>
                <w:rPr>
                  <w:rFonts w:ascii="Arial" w:cs="Arial" w:eastAsia="Arial" w:hAnsi="Arial"/>
                  <w:sz w:val="18"/>
                  <w:szCs w:val="18"/>
                  <w:color w:val="0000EE"/>
                  <w:w w:val="93"/>
                </w:rPr>
                <w:t>(20)</w:t>
              </w:r>
            </w:hyperlink>
          </w:p>
        </w:tc>
        <w:tc>
          <w:tcPr>
            <w:tcW w:w="4160" w:type="dxa"/>
            <w:vAlign w:val="bottom"/>
            <w:gridSpan w:val="17"/>
          </w:tcPr>
          <w:p>
            <w:pPr>
              <w:ind w:left="20"/>
              <w:spacing w:after="0"/>
              <w:rPr>
                <w:rFonts w:ascii="Arial" w:cs="Arial" w:eastAsia="Arial" w:hAnsi="Arial"/>
                <w:sz w:val="18"/>
                <w:szCs w:val="18"/>
                <w:color w:val="0000EE"/>
              </w:rPr>
            </w:pPr>
            <w:hyperlink w:anchor="page108">
              <w:r>
                <w:rPr>
                  <w:rFonts w:ascii="Arial" w:cs="Arial" w:eastAsia="Arial" w:hAnsi="Arial"/>
                  <w:sz w:val="18"/>
                  <w:szCs w:val="18"/>
                  <w:color w:val="0000EE"/>
                </w:rPr>
                <w:t>Commitments</w:t>
              </w:r>
            </w:hyperlink>
          </w:p>
        </w:tc>
        <w:tc>
          <w:tcPr>
            <w:tcW w:w="6740" w:type="dxa"/>
            <w:vAlign w:val="bottom"/>
            <w:gridSpan w:val="4"/>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105</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9">
              <w:r>
                <w:rPr>
                  <w:rFonts w:ascii="Arial" w:cs="Arial" w:eastAsia="Arial" w:hAnsi="Arial"/>
                  <w:sz w:val="18"/>
                  <w:szCs w:val="18"/>
                  <w:color w:val="0000EE"/>
                  <w:w w:val="93"/>
                </w:rPr>
                <w:t>(21)</w:t>
              </w:r>
            </w:hyperlink>
          </w:p>
        </w:tc>
        <w:tc>
          <w:tcPr>
            <w:tcW w:w="4160" w:type="dxa"/>
            <w:vAlign w:val="bottom"/>
            <w:gridSpan w:val="17"/>
          </w:tcPr>
          <w:p>
            <w:pPr>
              <w:ind w:left="20"/>
              <w:spacing w:after="0"/>
              <w:rPr>
                <w:rFonts w:ascii="Arial" w:cs="Arial" w:eastAsia="Arial" w:hAnsi="Arial"/>
                <w:sz w:val="18"/>
                <w:szCs w:val="18"/>
                <w:color w:val="0000EE"/>
              </w:rPr>
            </w:pPr>
            <w:hyperlink w:anchor="page109">
              <w:r>
                <w:rPr>
                  <w:rFonts w:ascii="Arial" w:cs="Arial" w:eastAsia="Arial" w:hAnsi="Arial"/>
                  <w:sz w:val="18"/>
                  <w:szCs w:val="18"/>
                  <w:color w:val="0000EE"/>
                </w:rPr>
                <w:t>Related Party Transactions</w:t>
              </w:r>
            </w:hyperlink>
          </w:p>
        </w:tc>
        <w:tc>
          <w:tcPr>
            <w:tcW w:w="6740" w:type="dxa"/>
            <w:vAlign w:val="bottom"/>
            <w:gridSpan w:val="4"/>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106</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9">
              <w:r>
                <w:rPr>
                  <w:rFonts w:ascii="Arial" w:cs="Arial" w:eastAsia="Arial" w:hAnsi="Arial"/>
                  <w:sz w:val="18"/>
                  <w:szCs w:val="18"/>
                  <w:color w:val="0000EE"/>
                  <w:w w:val="93"/>
                </w:rPr>
                <w:t>(22)</w:t>
              </w:r>
            </w:hyperlink>
          </w:p>
        </w:tc>
        <w:tc>
          <w:tcPr>
            <w:tcW w:w="4160" w:type="dxa"/>
            <w:vAlign w:val="bottom"/>
            <w:gridSpan w:val="17"/>
          </w:tcPr>
          <w:p>
            <w:pPr>
              <w:ind w:left="20"/>
              <w:spacing w:after="0"/>
              <w:rPr>
                <w:rFonts w:ascii="Arial" w:cs="Arial" w:eastAsia="Arial" w:hAnsi="Arial"/>
                <w:sz w:val="18"/>
                <w:szCs w:val="18"/>
                <w:color w:val="0000EE"/>
              </w:rPr>
            </w:pPr>
            <w:hyperlink w:anchor="page109">
              <w:r>
                <w:rPr>
                  <w:rFonts w:ascii="Arial" w:cs="Arial" w:eastAsia="Arial" w:hAnsi="Arial"/>
                  <w:sz w:val="18"/>
                  <w:szCs w:val="18"/>
                  <w:color w:val="0000EE"/>
                </w:rPr>
                <w:t>Selected Quarterly Data (Unaudited)</w:t>
              </w:r>
            </w:hyperlink>
          </w:p>
        </w:tc>
        <w:tc>
          <w:tcPr>
            <w:tcW w:w="6740" w:type="dxa"/>
            <w:vAlign w:val="bottom"/>
            <w:gridSpan w:val="4"/>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106</w:t>
              </w:r>
            </w:hyperlink>
          </w:p>
        </w:tc>
      </w:tr>
      <w:tr>
        <w:trPr>
          <w:trHeight w:val="939"/>
        </w:trPr>
        <w:tc>
          <w:tcPr>
            <w:tcW w:w="1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80" w:type="dxa"/>
            <w:vAlign w:val="bottom"/>
          </w:tcPr>
          <w:p>
            <w:pPr>
              <w:jc w:val="right"/>
              <w:ind w:right="515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We have audited the accompanying consolidated balance sheets of Euronet Worldwide, Inc. and subsidiaries (the Company) as of December 31, 2013 and 2012, and the related consolidated statements of income, comprehensive income, changes in equity, and cash flows for each of the years in the three-year period ended December 31, 2013. We also have audited the Company's internal control over financial reporting as of December 31, 2013, based on criteria established in </w:t>
      </w:r>
      <w:r>
        <w:rPr>
          <w:rFonts w:ascii="Arial" w:cs="Arial" w:eastAsia="Arial" w:hAnsi="Arial"/>
          <w:sz w:val="17"/>
          <w:szCs w:val="17"/>
          <w:i w:val="1"/>
          <w:iCs w:val="1"/>
          <w:color w:val="auto"/>
        </w:rPr>
        <w:t>Internal Control - Integrated Framework (1992)</w:t>
      </w:r>
      <w:r>
        <w:rPr>
          <w:rFonts w:ascii="Arial" w:cs="Arial" w:eastAsia="Arial" w:hAnsi="Arial"/>
          <w:sz w:val="17"/>
          <w:szCs w:val="17"/>
          <w:color w:val="auto"/>
        </w:rPr>
        <w:t xml:space="preserve">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spacing w:after="0" w:line="17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Euronet Worldwide, Inc. and subsidiaries as of December 31, 2013 and 2012, and the results of their operations and their cash flows for each of the years in the three-year period ended December 31, 2013, in conformity with U.S. generally accepted accounting principles. Also in our opinion, Euronet Worldwide, Inc. and subsidiaries maintained, in all material respects, effective internal control over financial reporting as of December 31, 2013,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(1992) </w:t>
      </w:r>
      <w:r>
        <w:rPr>
          <w:rFonts w:ascii="Arial" w:cs="Arial" w:eastAsia="Arial" w:hAnsi="Arial"/>
          <w:sz w:val="17"/>
          <w:szCs w:val="17"/>
          <w:color w:val="auto"/>
        </w:rPr>
        <w:t>issued by the Committee of Sponsoring Organizations of the Treadway Commission.</w:t>
      </w:r>
    </w:p>
    <w:p>
      <w:pPr>
        <w:spacing w:after="0" w:line="38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125" w:right="279" w:bottom="1440" w:gutter="0" w:footer="0" w:header="0"/>
        </w:sectPr>
      </w:pPr>
    </w:p>
    <w:bookmarkStart w:id="70" w:name="page71"/>
    <w:bookmarkEnd w:id="70"/>
    <w:p>
      <w:pPr>
        <w:spacing w:after="0" w:line="4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right"/>
              <w:ind w:right="611"/>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3"/>
        </w:trPr>
        <w:tc>
          <w:tcPr>
            <w:tcW w:w="7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3"/>
        </w:trPr>
        <w:tc>
          <w:tcPr>
            <w:tcW w:w="8800" w:type="dxa"/>
            <w:vAlign w:val="bottom"/>
            <w:gridSpan w:val="4"/>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4"/>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209,826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201,435</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71,608</w:t>
            </w:r>
          </w:p>
        </w:tc>
        <w:tc>
          <w:tcPr>
            <w:tcW w:w="0" w:type="dxa"/>
            <w:vAlign w:val="bottom"/>
          </w:tcPr>
          <w:p>
            <w:pPr>
              <w:spacing w:after="0"/>
              <w:rPr>
                <w:sz w:val="1"/>
                <w:szCs w:val="1"/>
                <w:color w:val="auto"/>
              </w:rPr>
            </w:pPr>
          </w:p>
        </w:tc>
      </w:tr>
      <w:tr>
        <w:trPr>
          <w:trHeight w:val="243"/>
        </w:trPr>
        <w:tc>
          <w:tcPr>
            <w:tcW w:w="8800" w:type="dxa"/>
            <w:vAlign w:val="bottom"/>
            <w:gridSpan w:val="4"/>
          </w:tcPr>
          <w:p>
            <w:pPr>
              <w:ind w:left="380"/>
              <w:spacing w:after="0"/>
              <w:rPr>
                <w:sz w:val="20"/>
                <w:szCs w:val="20"/>
                <w:color w:val="auto"/>
              </w:rPr>
            </w:pPr>
            <w:r>
              <w:rPr>
                <w:rFonts w:ascii="Arial" w:cs="Arial" w:eastAsia="Arial" w:hAnsi="Arial"/>
                <w:sz w:val="18"/>
                <w:szCs w:val="18"/>
                <w:color w:val="auto"/>
              </w:rPr>
              <w:t>Inventory — PINs and other</w:t>
            </w:r>
          </w:p>
        </w:tc>
        <w:tc>
          <w:tcPr>
            <w:tcW w:w="2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92,757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101,168</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w w:val="90"/>
              </w:rPr>
              <w:t>Trade accounts receivable, net of allowances for doubtful accounts of $22,079 at December 31, 2013 and $21,512 at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gridSpan w:val="4"/>
            <w:shd w:val="clear" w:color="auto" w:fill="CCEEFF"/>
          </w:tcPr>
          <w:p>
            <w:pPr>
              <w:ind w:left="540"/>
              <w:spacing w:after="0"/>
              <w:rPr>
                <w:sz w:val="20"/>
                <w:szCs w:val="20"/>
                <w:color w:val="auto"/>
              </w:rPr>
            </w:pPr>
            <w:r>
              <w:rPr>
                <w:rFonts w:ascii="Arial" w:cs="Arial" w:eastAsia="Arial" w:hAnsi="Arial"/>
                <w:sz w:val="18"/>
                <w:szCs w:val="18"/>
                <w:color w:val="auto"/>
              </w:rPr>
              <w:t>December 31, 2012</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390,563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370,836</w:t>
            </w:r>
          </w:p>
        </w:tc>
        <w:tc>
          <w:tcPr>
            <w:tcW w:w="0" w:type="dxa"/>
            <w:vAlign w:val="bottom"/>
          </w:tcPr>
          <w:p>
            <w:pPr>
              <w:spacing w:after="0"/>
              <w:rPr>
                <w:sz w:val="1"/>
                <w:szCs w:val="1"/>
                <w:color w:val="auto"/>
              </w:rPr>
            </w:pPr>
          </w:p>
        </w:tc>
      </w:tr>
      <w:tr>
        <w:trPr>
          <w:trHeight w:val="243"/>
        </w:trPr>
        <w:tc>
          <w:tcPr>
            <w:tcW w:w="8800" w:type="dxa"/>
            <w:vAlign w:val="bottom"/>
            <w:gridSpan w:val="4"/>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69,242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68,132</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4"/>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840,375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813,179</w:t>
            </w:r>
          </w:p>
        </w:tc>
        <w:tc>
          <w:tcPr>
            <w:tcW w:w="0" w:type="dxa"/>
            <w:vAlign w:val="bottom"/>
          </w:tcPr>
          <w:p>
            <w:pPr>
              <w:spacing w:after="0"/>
              <w:rPr>
                <w:sz w:val="1"/>
                <w:szCs w:val="1"/>
                <w:color w:val="auto"/>
              </w:rPr>
            </w:pPr>
          </w:p>
        </w:tc>
      </w:tr>
      <w:tr>
        <w:trPr>
          <w:trHeight w:val="229"/>
        </w:trPr>
        <w:tc>
          <w:tcPr>
            <w:tcW w:w="8800" w:type="dxa"/>
            <w:vAlign w:val="bottom"/>
            <w:gridSpan w:val="4"/>
          </w:tcPr>
          <w:p>
            <w:pPr>
              <w:ind w:left="40"/>
              <w:spacing w:after="0"/>
              <w:rPr>
                <w:sz w:val="20"/>
                <w:szCs w:val="20"/>
                <w:color w:val="auto"/>
              </w:rPr>
            </w:pPr>
            <w:r>
              <w:rPr>
                <w:rFonts w:ascii="Arial" w:cs="Arial" w:eastAsia="Arial" w:hAnsi="Arial"/>
                <w:sz w:val="18"/>
                <w:szCs w:val="18"/>
                <w:color w:val="auto"/>
                <w:w w:val="90"/>
              </w:rPr>
              <w:t>Property and equipment, net of accumulated depreciation of $231,327 at December 31, 2013 and $207,282 at December</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00"/>
              <w:spacing w:after="0"/>
              <w:rPr>
                <w:sz w:val="20"/>
                <w:szCs w:val="20"/>
                <w:color w:val="auto"/>
              </w:rPr>
            </w:pPr>
            <w:r>
              <w:rPr>
                <w:rFonts w:ascii="Arial" w:cs="Arial" w:eastAsia="Arial" w:hAnsi="Arial"/>
                <w:sz w:val="18"/>
                <w:szCs w:val="18"/>
                <w:color w:val="auto"/>
              </w:rPr>
              <w:t>31, 2012</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116,230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115,475</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498,435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481,760</w:t>
            </w:r>
          </w:p>
        </w:tc>
        <w:tc>
          <w:tcPr>
            <w:tcW w:w="0" w:type="dxa"/>
            <w:vAlign w:val="bottom"/>
          </w:tcPr>
          <w:p>
            <w:pPr>
              <w:spacing w:after="0"/>
              <w:rPr>
                <w:sz w:val="1"/>
                <w:szCs w:val="1"/>
                <w:color w:val="auto"/>
              </w:rPr>
            </w:pPr>
          </w:p>
        </w:tc>
      </w:tr>
      <w:tr>
        <w:trPr>
          <w:trHeight w:val="229"/>
        </w:trPr>
        <w:tc>
          <w:tcPr>
            <w:tcW w:w="8800" w:type="dxa"/>
            <w:vAlign w:val="bottom"/>
            <w:gridSpan w:val="4"/>
          </w:tcPr>
          <w:p>
            <w:pPr>
              <w:ind w:left="40"/>
              <w:spacing w:after="0"/>
              <w:rPr>
                <w:sz w:val="20"/>
                <w:szCs w:val="20"/>
                <w:color w:val="auto"/>
              </w:rPr>
            </w:pPr>
            <w:r>
              <w:rPr>
                <w:rFonts w:ascii="Arial" w:cs="Arial" w:eastAsia="Arial" w:hAnsi="Arial"/>
                <w:sz w:val="18"/>
                <w:szCs w:val="18"/>
                <w:color w:val="auto"/>
                <w:w w:val="97"/>
              </w:rPr>
              <w:t>Acquired intangible assets, net of accumulated amortization of $132,927 at December 31, 2013 and $140,829 at</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gridSpan w:val="4"/>
          </w:tcPr>
          <w:p>
            <w:pPr>
              <w:ind w:left="200"/>
              <w:spacing w:after="0"/>
              <w:rPr>
                <w:sz w:val="20"/>
                <w:szCs w:val="20"/>
                <w:color w:val="auto"/>
              </w:rPr>
            </w:pPr>
            <w:r>
              <w:rPr>
                <w:rFonts w:ascii="Arial" w:cs="Arial" w:eastAsia="Arial" w:hAnsi="Arial"/>
                <w:sz w:val="18"/>
                <w:szCs w:val="18"/>
                <w:color w:val="auto"/>
              </w:rPr>
              <w:t>December 31, 2012</w:t>
            </w: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93,026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83,389</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4"/>
              </w:rPr>
              <w:t>Other assets, net of accumulated amortization of $25,363 at December 31, 2013 and $24,247 at December 31, 2012</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57,733</w:t>
            </w:r>
          </w:p>
        </w:tc>
        <w:tc>
          <w:tcPr>
            <w:tcW w:w="0" w:type="dxa"/>
            <w:vAlign w:val="bottom"/>
          </w:tcPr>
          <w:p>
            <w:pPr>
              <w:spacing w:after="0"/>
              <w:rPr>
                <w:sz w:val="1"/>
                <w:szCs w:val="1"/>
                <w:color w:val="auto"/>
              </w:rPr>
            </w:pPr>
          </w:p>
        </w:tc>
      </w:tr>
      <w:tr>
        <w:trPr>
          <w:trHeight w:val="297"/>
        </w:trPr>
        <w:tc>
          <w:tcPr>
            <w:tcW w:w="8800" w:type="dxa"/>
            <w:vAlign w:val="bottom"/>
            <w:tcBorders>
              <w:bottom w:val="single" w:sz="8" w:color="CCEEFF"/>
            </w:tcBorders>
            <w:gridSpan w:val="4"/>
          </w:tcPr>
          <w:p>
            <w:pPr>
              <w:ind w:left="82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1,598,115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1,551,536</w:t>
            </w: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LIABILITIES AND EQUITY</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0" w:type="dxa"/>
            <w:vAlign w:val="bottom"/>
            <w:gridSpan w:val="4"/>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457,274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459,847</w:t>
            </w:r>
          </w:p>
        </w:tc>
        <w:tc>
          <w:tcPr>
            <w:tcW w:w="0" w:type="dxa"/>
            <w:vAlign w:val="bottom"/>
          </w:tcPr>
          <w:p>
            <w:pPr>
              <w:spacing w:after="0"/>
              <w:rPr>
                <w:sz w:val="1"/>
                <w:szCs w:val="1"/>
                <w:color w:val="auto"/>
              </w:rPr>
            </w:pPr>
          </w:p>
        </w:tc>
      </w:tr>
      <w:tr>
        <w:trPr>
          <w:trHeight w:val="243"/>
        </w:trPr>
        <w:tc>
          <w:tcPr>
            <w:tcW w:w="8800" w:type="dxa"/>
            <w:vAlign w:val="bottom"/>
            <w:gridSpan w:val="4"/>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213,284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183,406</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43"/>
        </w:trPr>
        <w:tc>
          <w:tcPr>
            <w:tcW w:w="8800" w:type="dxa"/>
            <w:vAlign w:val="bottom"/>
            <w:gridSpan w:val="4"/>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10,903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9,396</w:t>
            </w:r>
          </w:p>
        </w:tc>
        <w:tc>
          <w:tcPr>
            <w:tcW w:w="0" w:type="dxa"/>
            <w:vAlign w:val="bottom"/>
          </w:tcPr>
          <w:p>
            <w:pPr>
              <w:spacing w:after="0"/>
              <w:rPr>
                <w:sz w:val="1"/>
                <w:szCs w:val="1"/>
                <w:color w:val="auto"/>
              </w:rPr>
            </w:pPr>
          </w:p>
        </w:tc>
      </w:tr>
      <w:tr>
        <w:trPr>
          <w:trHeight w:val="243"/>
        </w:trPr>
        <w:tc>
          <w:tcPr>
            <w:tcW w:w="8800" w:type="dxa"/>
            <w:vAlign w:val="bottom"/>
            <w:gridSpan w:val="4"/>
          </w:tcPr>
          <w:p>
            <w:pPr>
              <w:ind w:left="38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32,533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34,109</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4"/>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732,011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696,706</w:t>
            </w:r>
          </w:p>
        </w:tc>
        <w:tc>
          <w:tcPr>
            <w:tcW w:w="0" w:type="dxa"/>
            <w:vAlign w:val="bottom"/>
          </w:tcPr>
          <w:p>
            <w:pPr>
              <w:spacing w:after="0"/>
              <w:rPr>
                <w:sz w:val="1"/>
                <w:szCs w:val="1"/>
                <w:color w:val="auto"/>
              </w:rPr>
            </w:pPr>
          </w:p>
        </w:tc>
      </w:tr>
      <w:tr>
        <w:trPr>
          <w:trHeight w:val="243"/>
        </w:trPr>
        <w:tc>
          <w:tcPr>
            <w:tcW w:w="8800" w:type="dxa"/>
            <w:vAlign w:val="bottom"/>
            <w:gridSpan w:val="4"/>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188,510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286,703</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4,589</w:t>
            </w:r>
          </w:p>
        </w:tc>
        <w:tc>
          <w:tcPr>
            <w:tcW w:w="0" w:type="dxa"/>
            <w:vAlign w:val="bottom"/>
          </w:tcPr>
          <w:p>
            <w:pPr>
              <w:spacing w:after="0"/>
              <w:rPr>
                <w:sz w:val="1"/>
                <w:szCs w:val="1"/>
                <w:color w:val="auto"/>
              </w:rPr>
            </w:pPr>
          </w:p>
        </w:tc>
      </w:tr>
      <w:tr>
        <w:trPr>
          <w:trHeight w:val="243"/>
        </w:trPr>
        <w:tc>
          <w:tcPr>
            <w:tcW w:w="8800" w:type="dxa"/>
            <w:vAlign w:val="bottom"/>
            <w:gridSpan w:val="4"/>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17,695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22,031</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14,967</w:t>
            </w:r>
          </w:p>
        </w:tc>
        <w:tc>
          <w:tcPr>
            <w:tcW w:w="0" w:type="dxa"/>
            <w:vAlign w:val="bottom"/>
          </w:tcPr>
          <w:p>
            <w:pPr>
              <w:spacing w:after="0"/>
              <w:rPr>
                <w:sz w:val="1"/>
                <w:szCs w:val="1"/>
                <w:color w:val="auto"/>
              </w:rPr>
            </w:pPr>
          </w:p>
        </w:tc>
      </w:tr>
      <w:tr>
        <w:trPr>
          <w:trHeight w:val="237"/>
        </w:trPr>
        <w:tc>
          <w:tcPr>
            <w:tcW w:w="8800" w:type="dxa"/>
            <w:vAlign w:val="bottom"/>
            <w:gridSpan w:val="4"/>
          </w:tcPr>
          <w:p>
            <w:pPr>
              <w:ind w:left="8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959,660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1,024,996</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4"/>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800" w:type="dxa"/>
            <w:vAlign w:val="bottom"/>
            <w:gridSpan w:val="4"/>
          </w:tcPr>
          <w:p>
            <w:pPr>
              <w:ind w:left="380"/>
              <w:spacing w:after="0"/>
              <w:rPr>
                <w:sz w:val="20"/>
                <w:szCs w:val="20"/>
                <w:color w:val="auto"/>
              </w:rPr>
            </w:pPr>
            <w:r>
              <w:rPr>
                <w:rFonts w:ascii="Arial" w:cs="Arial" w:eastAsia="Arial" w:hAnsi="Arial"/>
                <w:sz w:val="18"/>
                <w:szCs w:val="18"/>
                <w:color w:val="auto"/>
                <w:w w:val="95"/>
              </w:rPr>
              <w:t>Common Stock, $0.02 par value. 90,000,000 shares authorized; 54,276,761 issued at December 31, 2013 and</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gridSpan w:val="4"/>
          </w:tcPr>
          <w:p>
            <w:pPr>
              <w:ind w:left="540"/>
              <w:spacing w:after="0"/>
              <w:rPr>
                <w:sz w:val="20"/>
                <w:szCs w:val="20"/>
                <w:color w:val="auto"/>
              </w:rPr>
            </w:pPr>
            <w:r>
              <w:rPr>
                <w:rFonts w:ascii="Arial" w:cs="Arial" w:eastAsia="Arial" w:hAnsi="Arial"/>
                <w:sz w:val="18"/>
                <w:szCs w:val="18"/>
                <w:color w:val="auto"/>
              </w:rPr>
              <w:t>52,976,558 issued at December 31, 2012</w:t>
            </w: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809,640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783,508</w:t>
            </w:r>
          </w:p>
        </w:tc>
        <w:tc>
          <w:tcPr>
            <w:tcW w:w="0" w:type="dxa"/>
            <w:vAlign w:val="bottom"/>
          </w:tcPr>
          <w:p>
            <w:pPr>
              <w:spacing w:after="0"/>
              <w:rPr>
                <w:sz w:val="1"/>
                <w:szCs w:val="1"/>
                <w:color w:val="auto"/>
              </w:rPr>
            </w:pPr>
          </w:p>
        </w:tc>
      </w:tr>
      <w:tr>
        <w:trPr>
          <w:trHeight w:val="243"/>
        </w:trPr>
        <w:tc>
          <w:tcPr>
            <w:tcW w:w="8800" w:type="dxa"/>
            <w:vAlign w:val="bottom"/>
            <w:gridSpan w:val="4"/>
          </w:tcPr>
          <w:p>
            <w:pPr>
              <w:ind w:left="380"/>
              <w:spacing w:after="0"/>
              <w:rPr>
                <w:sz w:val="20"/>
                <w:szCs w:val="20"/>
                <w:color w:val="auto"/>
              </w:rPr>
            </w:pPr>
            <w:r>
              <w:rPr>
                <w:rFonts w:ascii="Arial" w:cs="Arial" w:eastAsia="Arial" w:hAnsi="Arial"/>
                <w:sz w:val="18"/>
                <w:szCs w:val="18"/>
                <w:color w:val="auto"/>
                <w:w w:val="95"/>
              </w:rPr>
              <w:t>Treasury stock, at cost, 3,650,519 shares at December 31, 2013 and 3,653,958 shares at December 31, 2012</w:t>
            </w:r>
          </w:p>
        </w:tc>
        <w:tc>
          <w:tcPr>
            <w:tcW w:w="22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(68,122)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(67,327)</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(96,029)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(184,015)</w:t>
            </w:r>
          </w:p>
        </w:tc>
        <w:tc>
          <w:tcPr>
            <w:tcW w:w="0" w:type="dxa"/>
            <w:vAlign w:val="bottom"/>
          </w:tcPr>
          <w:p>
            <w:pPr>
              <w:spacing w:after="0"/>
              <w:rPr>
                <w:sz w:val="1"/>
                <w:szCs w:val="1"/>
                <w:color w:val="auto"/>
              </w:rPr>
            </w:pPr>
          </w:p>
        </w:tc>
      </w:tr>
      <w:tr>
        <w:trPr>
          <w:trHeight w:val="243"/>
        </w:trPr>
        <w:tc>
          <w:tcPr>
            <w:tcW w:w="8800" w:type="dxa"/>
            <w:vAlign w:val="bottom"/>
            <w:gridSpan w:val="4"/>
          </w:tcPr>
          <w:p>
            <w:pPr>
              <w:ind w:left="3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(10,453)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(10,850)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4"/>
            <w:shd w:val="clear" w:color="auto" w:fill="CCEEFF"/>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636,122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522,376</w:t>
            </w:r>
          </w:p>
        </w:tc>
        <w:tc>
          <w:tcPr>
            <w:tcW w:w="0" w:type="dxa"/>
            <w:vAlign w:val="bottom"/>
          </w:tcPr>
          <w:p>
            <w:pPr>
              <w:spacing w:after="0"/>
              <w:rPr>
                <w:sz w:val="1"/>
                <w:szCs w:val="1"/>
                <w:color w:val="auto"/>
              </w:rPr>
            </w:pPr>
          </w:p>
        </w:tc>
      </w:tr>
      <w:tr>
        <w:trPr>
          <w:trHeight w:val="243"/>
        </w:trPr>
        <w:tc>
          <w:tcPr>
            <w:tcW w:w="8800" w:type="dxa"/>
            <w:vAlign w:val="bottom"/>
            <w:gridSpan w:val="4"/>
          </w:tcPr>
          <w:p>
            <w:pPr>
              <w:ind w:left="18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2,333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4,164</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4"/>
            <w:shd w:val="clear" w:color="auto" w:fill="CCEEFF"/>
          </w:tcPr>
          <w:p>
            <w:pPr>
              <w:ind w:left="82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638,455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526,540</w:t>
            </w:r>
          </w:p>
        </w:tc>
        <w:tc>
          <w:tcPr>
            <w:tcW w:w="0" w:type="dxa"/>
            <w:vAlign w:val="bottom"/>
          </w:tcPr>
          <w:p>
            <w:pPr>
              <w:spacing w:after="0"/>
              <w:rPr>
                <w:sz w:val="1"/>
                <w:szCs w:val="1"/>
                <w:color w:val="auto"/>
              </w:rPr>
            </w:pPr>
          </w:p>
        </w:tc>
      </w:tr>
      <w:tr>
        <w:trPr>
          <w:trHeight w:val="257"/>
        </w:trPr>
        <w:tc>
          <w:tcPr>
            <w:tcW w:w="8800" w:type="dxa"/>
            <w:vAlign w:val="bottom"/>
            <w:gridSpan w:val="4"/>
          </w:tcPr>
          <w:p>
            <w:pPr>
              <w:ind w:left="82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1,598,115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1,551,536</w:t>
            </w:r>
          </w:p>
        </w:tc>
        <w:tc>
          <w:tcPr>
            <w:tcW w:w="0" w:type="dxa"/>
            <w:vAlign w:val="bottom"/>
          </w:tcPr>
          <w:p>
            <w:pPr>
              <w:spacing w:after="0"/>
              <w:rPr>
                <w:sz w:val="1"/>
                <w:szCs w:val="1"/>
                <w:color w:val="auto"/>
              </w:rPr>
            </w:pPr>
          </w:p>
        </w:tc>
      </w:tr>
      <w:tr>
        <w:trPr>
          <w:trHeight w:val="20"/>
        </w:trPr>
        <w:tc>
          <w:tcPr>
            <w:tcW w:w="8800" w:type="dxa"/>
            <w:vAlign w:val="bottom"/>
            <w:gridSpan w:val="4"/>
            <w:vMerge w:val="restart"/>
          </w:tcPr>
          <w:p>
            <w:pPr>
              <w:jc w:val="center"/>
              <w:ind w:left="2530"/>
              <w:spacing w:after="0"/>
              <w:rPr>
                <w:sz w:val="20"/>
                <w:szCs w:val="20"/>
                <w:color w:val="auto"/>
              </w:rPr>
            </w:pPr>
            <w:r>
              <w:rPr>
                <w:rFonts w:ascii="Arial" w:cs="Arial" w:eastAsia="Arial" w:hAnsi="Arial"/>
                <w:sz w:val="18"/>
                <w:szCs w:val="18"/>
                <w:color w:val="auto"/>
                <w:w w:val="89"/>
              </w:rPr>
              <w:t>See accompanying notes to the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880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0" w:type="dxa"/>
            <w:vAlign w:val="bottom"/>
            <w:gridSpan w:val="4"/>
          </w:tcPr>
          <w:p>
            <w:pPr>
              <w:jc w:val="center"/>
              <w:ind w:left="2530"/>
              <w:spacing w:after="0"/>
              <w:rPr>
                <w:sz w:val="20"/>
                <w:szCs w:val="20"/>
                <w:color w:val="auto"/>
              </w:rPr>
            </w:pPr>
            <w:r>
              <w:rPr>
                <w:rFonts w:ascii="Arial" w:cs="Arial" w:eastAsia="Arial" w:hAnsi="Arial"/>
                <w:sz w:val="18"/>
                <w:szCs w:val="18"/>
                <w:b w:val="1"/>
                <w:bCs w:val="1"/>
                <w:color w:val="auto"/>
                <w:w w:val="90"/>
              </w:rPr>
              <w:t>Euronet Worldwide, Inc. and Subsidiaries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4"/>
          </w:tcPr>
          <w:p>
            <w:pPr>
              <w:jc w:val="center"/>
              <w:ind w:left="2550"/>
              <w:spacing w:after="0"/>
              <w:rPr>
                <w:sz w:val="20"/>
                <w:szCs w:val="20"/>
                <w:color w:val="auto"/>
              </w:rPr>
            </w:pPr>
            <w:r>
              <w:rPr>
                <w:rFonts w:ascii="Arial" w:cs="Arial" w:eastAsia="Arial" w:hAnsi="Arial"/>
                <w:sz w:val="18"/>
                <w:szCs w:val="18"/>
                <w:b w:val="1"/>
                <w:bCs w:val="1"/>
                <w:color w:val="auto"/>
                <w:w w:val="88"/>
              </w:rPr>
              <w:t>Consolidated Statements of Income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0" w:type="dxa"/>
            <w:vAlign w:val="bottom"/>
            <w:gridSpan w:val="4"/>
          </w:tcPr>
          <w:p>
            <w:pPr>
              <w:jc w:val="center"/>
              <w:ind w:left="25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7100" w:type="dxa"/>
            <w:vAlign w:val="bottom"/>
          </w:tcPr>
          <w:p>
            <w:pPr>
              <w:spacing w:after="0"/>
              <w:rPr>
                <w:sz w:val="24"/>
                <w:szCs w:val="24"/>
                <w:color w:val="auto"/>
              </w:rPr>
            </w:pPr>
          </w:p>
        </w:tc>
        <w:tc>
          <w:tcPr>
            <w:tcW w:w="3060" w:type="dxa"/>
            <w:vAlign w:val="bottom"/>
            <w:tcBorders>
              <w:bottom w:val="single" w:sz="8" w:color="auto"/>
            </w:tcBorders>
            <w:gridSpan w:val="7"/>
          </w:tcPr>
          <w:p>
            <w:pPr>
              <w:jc w:val="center"/>
              <w:ind w:left="1228"/>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100" w:type="dxa"/>
            <w:vAlign w:val="bottom"/>
          </w:tcPr>
          <w:p>
            <w:pPr>
              <w:spacing w:after="0"/>
              <w:rPr>
                <w:sz w:val="22"/>
                <w:szCs w:val="22"/>
                <w:color w:val="auto"/>
              </w:rPr>
            </w:pP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47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47320"/>
                    </a:xfrm>
                    <a:prstGeom prst="rect">
                      <a:avLst/>
                    </a:prstGeom>
                    <a:noFill/>
                  </pic:spPr>
                </pic:pic>
              </a:graphicData>
            </a:graphic>
          </wp:anchor>
        </w:drawing>
      </w:r>
    </w:p>
    <w:p>
      <w:pPr>
        <w:sectPr>
          <w:pgSz w:w="11900" w:h="16888" w:orient="portrait"/>
          <w:cols w:equalWidth="0" w:num="1">
            <w:col w:w="11420"/>
          </w:cols>
          <w:pgMar w:left="240" w:top="125" w:right="239" w:bottom="0" w:gutter="0" w:footer="0" w:header="0"/>
        </w:sectPr>
      </w:pPr>
    </w:p>
    <w:p>
      <w:pPr>
        <w:spacing w:after="0" w:line="148" w:lineRule="exact"/>
        <w:rPr>
          <w:sz w:val="20"/>
          <w:szCs w:val="20"/>
          <w:color w:val="auto"/>
        </w:rPr>
      </w:pPr>
    </w:p>
    <w:p>
      <w:pPr>
        <w:ind w:left="40"/>
        <w:spacing w:after="0"/>
        <w:tabs>
          <w:tab w:leader="none" w:pos="7100" w:val="left"/>
          <w:tab w:leader="none" w:pos="7620" w:val="left"/>
          <w:tab w:leader="none" w:pos="8600" w:val="left"/>
          <w:tab w:leader="none" w:pos="9100" w:val="left"/>
          <w:tab w:leader="none" w:pos="10060" w:val="left"/>
          <w:tab w:leader="none" w:pos="10580" w:val="left"/>
        </w:tabs>
        <w:rPr>
          <w:sz w:val="20"/>
          <w:szCs w:val="20"/>
          <w:color w:val="auto"/>
        </w:rPr>
      </w:pPr>
      <w:r>
        <w:rPr>
          <w:rFonts w:ascii="Arial" w:cs="Arial" w:eastAsia="Arial" w:hAnsi="Arial"/>
          <w:sz w:val="18"/>
          <w:szCs w:val="18"/>
          <w:color w:val="auto"/>
        </w:rPr>
        <w:t>Revenues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1,413,169</w:t>
        <w:tab/>
        <w:t>$</w:t>
      </w:r>
      <w:r>
        <w:rPr>
          <w:sz w:val="20"/>
          <w:szCs w:val="20"/>
          <w:color w:val="auto"/>
        </w:rPr>
        <w:tab/>
      </w:r>
      <w:r>
        <w:rPr>
          <w:rFonts w:ascii="Arial" w:cs="Arial" w:eastAsia="Arial" w:hAnsi="Arial"/>
          <w:sz w:val="18"/>
          <w:szCs w:val="18"/>
          <w:color w:val="auto"/>
        </w:rPr>
        <w:t>1,267,601</w:t>
        <w:tab/>
        <w:t>$</w:t>
      </w:r>
      <w:r>
        <w:rPr>
          <w:sz w:val="20"/>
          <w:szCs w:val="20"/>
          <w:color w:val="auto"/>
        </w:rPr>
        <w:tab/>
      </w:r>
      <w:r>
        <w:rPr>
          <w:rFonts w:ascii="Arial" w:cs="Arial" w:eastAsia="Arial" w:hAnsi="Arial"/>
          <w:sz w:val="16"/>
          <w:szCs w:val="16"/>
          <w:color w:val="auto"/>
        </w:rPr>
        <w:t>1,161,304</w:t>
      </w:r>
    </w:p>
    <w:p>
      <w:pPr>
        <w:sectPr>
          <w:pgSz w:w="11900" w:h="16888" w:orient="portrait"/>
          <w:cols w:equalWidth="0" w:num="1">
            <w:col w:w="11420"/>
          </w:cols>
          <w:pgMar w:left="240" w:top="125" w:right="239" w:bottom="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30"/>
        </w:trPr>
        <w:tc>
          <w:tcPr>
            <w:tcW w:w="71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892,928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812,059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740,729</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2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208,244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184,055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168,474</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129,427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112,507</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 gain</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65,053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64,167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60,457</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1,294,758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1,209,596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1,082,167</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118,411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58,005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79,137</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5,749</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(21,385)</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Income from unconsolidated affiliates</w:t>
            </w:r>
          </w:p>
        </w:tc>
        <w:tc>
          <w:tcPr>
            <w:tcW w:w="2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1,852</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gains, net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Loss on early retirement of debt</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(1,899)</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exchange gain (loss), net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r>
      <w:tr>
        <w:trPr>
          <w:trHeight w:val="237"/>
        </w:trPr>
        <w:tc>
          <w:tcPr>
            <w:tcW w:w="7100" w:type="dxa"/>
            <w:vAlign w:val="bottom"/>
          </w:tcPr>
          <w:p>
            <w:pPr>
              <w:ind w:left="60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(16,345)</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115,085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62,792</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(24,704)</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87,353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38,088</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Less: Net loss (income) attributable to noncontrolling interests</w:t>
            </w:r>
          </w:p>
        </w:tc>
        <w:tc>
          <w:tcPr>
            <w:tcW w:w="2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(1,127)</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87,986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20,535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36,961</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7"/>
        </w:trPr>
        <w:tc>
          <w:tcPr>
            <w:tcW w:w="7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attributable to Euronet Worldwide, Inc. stockholders: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304"/>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0.73</w:t>
            </w:r>
          </w:p>
        </w:tc>
      </w:tr>
      <w:tr>
        <w:trPr>
          <w:trHeight w:val="251"/>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0.71</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2"/>
        </w:trPr>
        <w:tc>
          <w:tcPr>
            <w:tcW w:w="7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304"/>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49,964,819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50,529,476</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50,944,349</w:t>
            </w:r>
          </w:p>
        </w:tc>
      </w:tr>
      <w:tr>
        <w:trPr>
          <w:trHeight w:val="251"/>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51,982,620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51,412,510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51,729,513</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540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93"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w w:val="93"/>
              </w:rPr>
              <w:t>Year Ended December 31,</w:t>
            </w:r>
          </w:p>
        </w:tc>
        <w:tc>
          <w:tcPr>
            <w:tcW w:w="920" w:type="dxa"/>
            <w:vAlign w:val="bottom"/>
            <w:tcBorders>
              <w:bottom w:val="single" w:sz="8" w:color="auto"/>
            </w:tcBorders>
          </w:tcPr>
          <w:p>
            <w:pPr>
              <w:spacing w:after="0"/>
              <w:rPr>
                <w:sz w:val="16"/>
                <w:szCs w:val="16"/>
                <w:color w:val="auto"/>
              </w:rPr>
            </w:pPr>
          </w:p>
        </w:tc>
      </w:tr>
      <w:tr>
        <w:trPr>
          <w:trHeight w:val="264"/>
        </w:trPr>
        <w:tc>
          <w:tcPr>
            <w:tcW w:w="7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2011</w:t>
            </w: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87,353</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38,088</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10,947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(26,714)</w:t>
            </w:r>
          </w:p>
        </w:tc>
      </w:tr>
      <w:tr>
        <w:trPr>
          <w:trHeight w:val="237"/>
        </w:trPr>
        <w:tc>
          <w:tcPr>
            <w:tcW w:w="716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88,111</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31,344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11,374</w:t>
            </w:r>
          </w:p>
        </w:tc>
      </w:tr>
      <w:tr>
        <w:trPr>
          <w:trHeight w:val="27"/>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loss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57"/>
        </w:trPr>
        <w:tc>
          <w:tcPr>
            <w:tcW w:w="7160" w:type="dxa"/>
            <w:vAlign w:val="bottom"/>
          </w:tcPr>
          <w:p>
            <w:pPr>
              <w:ind w:left="180"/>
              <w:spacing w:after="0"/>
              <w:rPr>
                <w:sz w:val="20"/>
                <w:szCs w:val="20"/>
                <w:color w:val="auto"/>
              </w:rPr>
            </w:pPr>
            <w:r>
              <w:rPr>
                <w:rFonts w:ascii="Arial" w:cs="Arial" w:eastAsia="Arial" w:hAnsi="Arial"/>
                <w:sz w:val="18"/>
                <w:szCs w:val="18"/>
                <w:color w:val="auto"/>
              </w:rPr>
              <w:t>Comprehensive income attributable to Euronet Worldwide, Inc.</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88,601</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31,435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10,431</w:t>
            </w:r>
          </w:p>
        </w:tc>
      </w:tr>
      <w:tr>
        <w:trPr>
          <w:trHeight w:val="20"/>
        </w:trPr>
        <w:tc>
          <w:tcPr>
            <w:tcW w:w="7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20"/>
          </w:cols>
          <w:pgMar w:left="240" w:top="125" w:right="6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No. of</w:t>
            </w:r>
          </w:p>
        </w:tc>
        <w:tc>
          <w:tcPr>
            <w:tcW w:w="220" w:type="dxa"/>
            <w:vAlign w:val="bottom"/>
          </w:tcPr>
          <w:p>
            <w:pPr>
              <w:spacing w:after="0"/>
              <w:rPr>
                <w:sz w:val="14"/>
                <w:szCs w:val="14"/>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4"/>
                <w:szCs w:val="14"/>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Treasury</w:t>
            </w:r>
          </w:p>
        </w:tc>
        <w:tc>
          <w:tcPr>
            <w:tcW w:w="180" w:type="dxa"/>
            <w:vAlign w:val="bottom"/>
          </w:tcPr>
          <w:p>
            <w:pPr>
              <w:spacing w:after="0"/>
              <w:rPr>
                <w:sz w:val="14"/>
                <w:szCs w:val="14"/>
                <w:color w:val="auto"/>
              </w:rPr>
            </w:pPr>
          </w:p>
        </w:tc>
        <w:tc>
          <w:tcPr>
            <w:tcW w:w="10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5"/>
              </w:rPr>
              <w:t>Accumulated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Paid-in</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Stock</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6"/>
                <w:szCs w:val="16"/>
                <w:color w:val="auto"/>
              </w:rPr>
            </w:pPr>
          </w:p>
        </w:tc>
        <w:tc>
          <w:tcPr>
            <w:tcW w:w="1080" w:type="dxa"/>
            <w:vAlign w:val="bottom"/>
          </w:tcPr>
          <w:p>
            <w:pPr>
              <w:jc w:val="right"/>
              <w:ind w:right="334"/>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2010</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50,979,356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753,183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(241,511)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36,961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481,589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2,912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260" w:type="dxa"/>
            <w:vAlign w:val="bottom"/>
          </w:tcPr>
          <w:p>
            <w:pPr>
              <w:jc w:val="right"/>
              <w:spacing w:after="0"/>
              <w:rPr>
                <w:sz w:val="20"/>
                <w:szCs w:val="20"/>
                <w:color w:val="auto"/>
              </w:rPr>
            </w:pPr>
            <w:r>
              <w:rPr>
                <w:rFonts w:ascii="Arial" w:cs="Arial" w:eastAsia="Arial" w:hAnsi="Arial"/>
                <w:sz w:val="18"/>
                <w:szCs w:val="18"/>
                <w:color w:val="auto"/>
              </w:rPr>
              <w:t>(1,022,159)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December 31, 2011</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50,438,786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767,222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(204,550)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20,535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868,054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11,790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(1,984,240)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2012</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49,322,600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783,508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(184,015)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87,986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1,079,217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15,665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Shares issued in connection with acquisition</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224,425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5,292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noncontrolling interest</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50,626,242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809,640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(96,029)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Changes in Equity (continued)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352"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Interests</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2010</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518,877</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38,088</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(26,714)</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Stock issued under employee stock plans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10,758</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Repurchase of shares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(15,996)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Balance as of December 31, 2011</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526,745</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20,397</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10,900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10,947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issued under employee stock plans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11,790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Repurchase of shares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(42,853)</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(3,892)</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2012</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526,540</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87,353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Stock issued under employee stock plans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14,892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11,463</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Shares issued in connection with acquisition</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of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638,455</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219"/>
          </w:cols>
          <w:pgMar w:left="240" w:top="125" w:right="1440"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2011</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87,353</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38,088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65,053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64,167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60,457</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11,463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11,823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10,756</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foreign exchange (gain) loss,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Non-cash impairment of goodwill and acquired intangible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18,425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28,740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 gain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gains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(4,388)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Income from unconsolidated affiliates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of convertible debentures discount and amortization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11,952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Loss on early retirement of debt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1,899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Income taxes payable,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7,160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(7,969)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32,719</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Inventory — PINs and other</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5,482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(62,103)</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(20,559)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103,279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31,926</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5,177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32,028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(37,671)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4,163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7,596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(5,732)</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169,332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184,695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97,878</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(30,847)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(78,688)</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(40,903)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(46,212)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(46,002)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other long-term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Proceeds from sale of equity method investment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7,609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3,809</w:t>
            </w:r>
          </w:p>
        </w:tc>
      </w:tr>
      <w:tr>
        <w:trPr>
          <w:trHeight w:val="237"/>
        </w:trPr>
        <w:tc>
          <w:tcPr>
            <w:tcW w:w="708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(69,474)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(69,163)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(124,064)</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Proceeds from issuance of shares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12,809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2,884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2,397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shares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(42,853)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(15,996)</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1,991,664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1,016,852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529,305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(2,077,774)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(888,733)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(442,111)</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Proceeds from long-term debt obligations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80,000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(172,352)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(128,000)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Repayments of capital lease obligations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(2,880)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borrowing from short-term debt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Purchase of subsidiary shares from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(7,878)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acquisition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(5,455)</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(3,645)</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(91,216)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(92,576)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13,917</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Increase (decrease)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24,108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201,435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177,327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195,272</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209,826</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201,435</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177,327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7080" w:type="dxa"/>
            <w:vAlign w:val="bottom"/>
          </w:tcPr>
          <w:p>
            <w:pPr>
              <w:ind w:left="180"/>
              <w:spacing w:after="0"/>
              <w:rPr>
                <w:sz w:val="20"/>
                <w:szCs w:val="20"/>
                <w:color w:val="auto"/>
              </w:rPr>
            </w:pPr>
            <w:r>
              <w:rPr>
                <w:rFonts w:ascii="Arial" w:cs="Arial" w:eastAsia="Arial" w:hAnsi="Arial"/>
                <w:sz w:val="18"/>
                <w:szCs w:val="18"/>
                <w:color w:val="auto"/>
              </w:rPr>
              <w:t>Interest paid during the period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7,720</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12,502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11,883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paid during the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28,400</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27,275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32,944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issued in connection with acquisition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5,296</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Contingent consideration in connection with acquisition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21,725</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125" w:right="239" w:bottom="0" w:gutter="0" w:footer="0" w:header="0"/>
        </w:sectPr>
      </w:pPr>
    </w:p>
    <w:bookmarkStart w:id="76" w:name="page77"/>
    <w:bookmarkEnd w:id="76"/>
    <w:p>
      <w:pPr>
        <w:jc w:val="center"/>
        <w:spacing w:after="0"/>
        <w:rPr>
          <w:sz w:val="20"/>
          <w:szCs w:val="20"/>
          <w:color w:val="auto"/>
        </w:rPr>
      </w:pPr>
      <w:r>
        <w:rPr>
          <w:rFonts w:ascii="Arial" w:cs="Arial" w:eastAsia="Arial" w:hAnsi="Arial"/>
          <w:sz w:val="16"/>
          <w:szCs w:val="16"/>
          <w:color w:val="auto"/>
        </w:rPr>
        <w:t>See accompanying notes to the Consolidated Financial Statements.</w:t>
      </w:r>
    </w:p>
    <w:p>
      <w:pPr>
        <w:sectPr>
          <w:pgSz w:w="11900" w:h="16838" w:orient="portrait"/>
          <w:cols w:equalWidth="0" w:num="1">
            <w:col w:w="9019"/>
          </w:cols>
          <w:pgMar w:left="1440" w:top="341"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9019"/>
          </w:cols>
          <w:pgMar w:left="1440" w:top="341" w:right="1440"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Euronet Worldwide, Inc. (the “Company” or “Euronet”) was established as a Delaware corporation on December 13, 1997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electronic distribution of prepaid mobile airtime and other electronic payment products, and global consumer money transfer services.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Preparation</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(“U.S. GAAP”) and pursuant to the rules and regulations of the Securities and Exchange Commission (“SEC”). The consolidated financial statements include the accounts of Euronet and its wholly owned and majority owned subsidiaries and all significant intercompany balances and transactions have been eliminated. Euronet's investments in companies that it does not control, but has the ability to significantly influence, are accounted for under the equity method. Euronet is not involved with any variable interest entities. Results from operations related to entities acquired during the periods covered by the consolidated financial statements are reflected from the effective date of acquisition. Certain amounts in prior years have been reclassified to conform to the current year's presentation.</w:t>
      </w:r>
    </w:p>
    <w:p>
      <w:pPr>
        <w:spacing w:after="0" w:line="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preparation of the consolidated financial statements in conformity with U.S. GAAP requires that management make a number of estimates and assumptions relating to the reported amounts of assets and liabilities, the disclosure of contingent assets and liabilities and the reported amounts of revenues and expenses. Significant items subject to such estimates and assumptions include computing income taxes, contingent purchase price consideration, estimating the useful lives and potential impairment of long-lived assets and goodwill, as well as allocating the purchase price to assets acquired and liabilities assumed in acquisitions and revenue recognition. Actual results could differ from those estimates.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Euronet’s EFT and epay segments are significantly impacted by seasonality during the fourth quarter and first quarter of each year due to higher transaction levels during the holiday season and lower levels following the holiday season. Additionally, mostly in Europe, the EFT business experiences its heaviest demand for dynamic currency conversion services during the third quarter of the fiscal year, coinciding with the tourist season.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our lowest transaction levels during the first quarter of the year.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and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1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Assets and liabilities denominated in currencies other than the functional currency of a subsidiary are remeasured at rates of exchange on the balance sheet date. Resulting gains and losses on foreign currency transactions are included in the Consolidated Statements of Income.</w:t>
      </w:r>
    </w:p>
    <w:p>
      <w:pPr>
        <w:spacing w:after="0" w:line="3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financial statements of foreign subsidiaries where the functional currency is not the U.S. dollar are translated to U.S. dollars using (i) exchange rates in effect at period end for assets and liabilities, and (ii) weighted average exchange rates during the period for revenues and expenses. Adjustments resulting from translation of such financial statements are reflected in accumulated other comprehensive income (loss) as a separate component of consolidated equity.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and certificates of deposit, which may be withdrawn at any time at the discretion of the Company without penalty, to be cash equivalents.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 PINs and other</w:t>
      </w:r>
    </w:p>
    <w:p>
      <w:pPr>
        <w:spacing w:after="0" w:line="225"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Inventory - PINs and other is valued at the lower of cost or market value and primarily represents prepaid personal identification number (“PIN”) inventory for prepaid mobile airtime related to the epay Segment. PIN inventory is generally managed on a specific identification basis that approximates first in, first out for the respective denomination of prepaid mobile airtime sold. Inventory also includes vouchers, merchandise for physical reward fulfillment and other electronic payment products. Additionally, from time to time, Inventory - PINs and other may include POS terminals, mobile phone handsets and ATMs held by the Company for resale.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Property and equipment acquired in acquisitions have been recorded at estimated fair values as of the acquisition date.</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Depreciation is generally calculated using the straight-line method over the estimated useful lives of the respective assets. Depreciation and amortization rates are generally as follows:</w:t>
      </w:r>
    </w:p>
    <w:p>
      <w:pPr>
        <w:spacing w:after="0" w:line="200" w:lineRule="exact"/>
        <w:rPr>
          <w:sz w:val="20"/>
          <w:szCs w:val="20"/>
          <w:color w:val="auto"/>
        </w:rPr>
      </w:pP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ATMs or ATM upgrades</w:t>
            </w:r>
          </w:p>
        </w:tc>
        <w:tc>
          <w:tcPr>
            <w:tcW w:w="6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5 - 7 years</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Computers and software</w:t>
            </w:r>
          </w:p>
        </w:tc>
        <w:tc>
          <w:tcPr>
            <w:tcW w:w="618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7"/>
        </w:trPr>
        <w:tc>
          <w:tcPr>
            <w:tcW w:w="4340" w:type="dxa"/>
            <w:vAlign w:val="bottom"/>
          </w:tcPr>
          <w:p>
            <w:pPr>
              <w:spacing w:after="0"/>
              <w:rPr>
                <w:sz w:val="2"/>
                <w:szCs w:val="2"/>
                <w:color w:val="auto"/>
              </w:rPr>
            </w:pPr>
          </w:p>
        </w:tc>
        <w:tc>
          <w:tcPr>
            <w:tcW w:w="61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 terminals</w:t>
            </w:r>
          </w:p>
        </w:tc>
        <w:tc>
          <w:tcPr>
            <w:tcW w:w="6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Vehicles and office equipment</w:t>
            </w:r>
          </w:p>
        </w:tc>
        <w:tc>
          <w:tcPr>
            <w:tcW w:w="6180" w:type="dxa"/>
            <w:vAlign w:val="bottom"/>
          </w:tcPr>
          <w:p>
            <w:pPr>
              <w:jc w:val="right"/>
              <w:spacing w:after="0"/>
              <w:rPr>
                <w:sz w:val="20"/>
                <w:szCs w:val="20"/>
                <w:color w:val="auto"/>
              </w:rPr>
            </w:pPr>
            <w:r>
              <w:rPr>
                <w:rFonts w:ascii="Arial" w:cs="Arial" w:eastAsia="Arial" w:hAnsi="Arial"/>
                <w:sz w:val="18"/>
                <w:szCs w:val="18"/>
                <w:color w:val="auto"/>
              </w:rPr>
              <w:t>2 - 10 years</w:t>
            </w:r>
          </w:p>
        </w:tc>
      </w:tr>
      <w:tr>
        <w:trPr>
          <w:trHeight w:val="27"/>
        </w:trPr>
        <w:tc>
          <w:tcPr>
            <w:tcW w:w="4340" w:type="dxa"/>
            <w:vAlign w:val="bottom"/>
          </w:tcPr>
          <w:p>
            <w:pPr>
              <w:spacing w:after="0"/>
              <w:rPr>
                <w:sz w:val="2"/>
                <w:szCs w:val="2"/>
                <w:color w:val="auto"/>
              </w:rPr>
            </w:pPr>
          </w:p>
        </w:tc>
        <w:tc>
          <w:tcPr>
            <w:tcW w:w="6180" w:type="dxa"/>
            <w:vAlign w:val="bottom"/>
          </w:tcPr>
          <w:p>
            <w:pPr>
              <w:spacing w:after="0"/>
              <w:rPr>
                <w:sz w:val="2"/>
                <w:szCs w:val="2"/>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6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the lesser of the lease term or estimated useful life</w:t>
            </w:r>
          </w:p>
        </w:tc>
      </w:tr>
      <w:tr>
        <w:trPr>
          <w:trHeight w:val="27"/>
        </w:trPr>
        <w:tc>
          <w:tcPr>
            <w:tcW w:w="4340" w:type="dxa"/>
            <w:vAlign w:val="bottom"/>
            <w:shd w:val="clear" w:color="auto" w:fill="CCEEFF"/>
          </w:tcPr>
          <w:p>
            <w:pPr>
              <w:spacing w:after="0"/>
              <w:rPr>
                <w:sz w:val="2"/>
                <w:szCs w:val="2"/>
                <w:color w:val="auto"/>
              </w:rPr>
            </w:pPr>
          </w:p>
        </w:tc>
        <w:tc>
          <w:tcPr>
            <w:tcW w:w="6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The Company accounts for goodwill and other intangible assets in accordance with Financial Accounting Standards Board (“FASB”) Accounting Standards Codification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ASC Topic 350 requires that the Company test for impairment on an annual basis and whenever events or circumstances dictate. Goodwill is allocated among and evaluated for impairment at the reporting unit level, which is defined as an operating segment or one level below an operating segment.</w:t>
      </w:r>
    </w:p>
    <w:p>
      <w:pPr>
        <w:spacing w:after="0" w:line="7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September 2011, the FASB issued Accounting Standards Update ("ASU") 2011-08, </w:t>
      </w:r>
      <w:r>
        <w:rPr>
          <w:rFonts w:ascii="Arial" w:cs="Arial" w:eastAsia="Arial" w:hAnsi="Arial"/>
          <w:sz w:val="16"/>
          <w:szCs w:val="16"/>
          <w:i w:val="1"/>
          <w:iCs w:val="1"/>
          <w:color w:val="auto"/>
        </w:rPr>
        <w:t>Intangibles - Goodwill and Other ("Topic 350)": Testing Goodwill for</w:t>
      </w:r>
      <w:r>
        <w:rPr>
          <w:rFonts w:ascii="Arial" w:cs="Arial" w:eastAsia="Arial" w:hAnsi="Arial"/>
          <w:sz w:val="16"/>
          <w:szCs w:val="16"/>
          <w:color w:val="auto"/>
        </w:rPr>
        <w:t xml:space="preserve"> </w:t>
      </w:r>
      <w:r>
        <w:rPr>
          <w:rFonts w:ascii="Arial" w:cs="Arial" w:eastAsia="Arial" w:hAnsi="Arial"/>
          <w:sz w:val="16"/>
          <w:szCs w:val="16"/>
          <w:i w:val="1"/>
          <w:iCs w:val="1"/>
          <w:color w:val="auto"/>
        </w:rPr>
        <w:t>Impairment</w:t>
      </w:r>
      <w:r>
        <w:rPr>
          <w:rFonts w:ascii="Arial" w:cs="Arial" w:eastAsia="Arial" w:hAnsi="Arial"/>
          <w:sz w:val="16"/>
          <w:szCs w:val="16"/>
          <w:color w:val="auto"/>
        </w:rPr>
        <w:t>. The guidance provides an entity the option to first assess qualitative factors to determine whether the existence of events or circumstances leads</w:t>
      </w:r>
      <w:r>
        <w:rPr>
          <w:rFonts w:ascii="Arial" w:cs="Arial" w:eastAsia="Arial" w:hAnsi="Arial"/>
          <w:sz w:val="16"/>
          <w:szCs w:val="16"/>
          <w:i w:val="1"/>
          <w:iCs w:val="1"/>
          <w:color w:val="auto"/>
        </w:rPr>
        <w:t xml:space="preserve"> </w:t>
      </w:r>
      <w:r>
        <w:rPr>
          <w:rFonts w:ascii="Arial" w:cs="Arial" w:eastAsia="Arial" w:hAnsi="Arial"/>
          <w:sz w:val="16"/>
          <w:szCs w:val="16"/>
          <w:color w:val="auto"/>
        </w:rPr>
        <w:t>to a determination that it is more likely than not (more than 50%) that the estimated fair value of a reporting unit is less than its carrying amount. If an entity elects to perform a qualitative assessment and determines that an impairment is more likely than not, the entity is then required to perform the existing two-step quantitative impairment test (described below), otherwise no further analysis is required. An entity also may elect not to perform the qualitative assessment and, instead, proceed directly to the two-step quantitative impairment test. The ultimate outcome of the goodwill impairment review for a reporting unit should be the same whether an entity chooses to perform the qualitative assessment or proceeds directly to the two-step quantitative impairment test. The Company adopted ASU 2011-08 effective January 1, 2012, and as a result, instituted a policy for its annual review of goodwill to perform the qualitative assessment for all reporting units not subjected directly to the two-step quantitative impairment test.</w:t>
      </w:r>
    </w:p>
    <w:p>
      <w:pPr>
        <w:spacing w:after="0" w:line="5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Under the qualitative assessment, various events and circumstances (or factors) that would affect the estimated fair value of a reporting unit are identified (similar to impairment indicators). These factors are then classified by the type of impact they would have on the estimated fair value using positive, neutral, and adverse categories based on current business conditions. Furthermore, the Company considers the results of the most recent two-step quantitative impairment test completed for a reporting unit and compares, among other factors, the weighted average cost of capital ("WACC") between the current and prior years for each reporting unit.</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2013 annual goodwill impairment test, the Company performed the qualitative assessment for eleven reporting units and concluded that it was more likely than not that the estimated fair values of eight reporting units were more than their carrying values. As such, no further analysis was required. For the remaining three reporting units, the Company concluded that it was more likely than not that the fair values of the reporting units were less than their carrying values; therefore, the Company proceeded to the two-step quantitative impairment test.</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Under the two-step quantitative impairment test, the evaluation of impairment involves comparing the current fair value of each reporting unit to its carrying value, including goodwill. The Company uses weighted results from the discounted cash flow model ("DCF model") and guideline public company method ("Market Approach model") to estimate the current fair value of its reporting units when testing for impairment, as management believes forecasted cash flows and EBITDA are the best indicator of such fair value. A number of significant assumptions and estimates are involved in the application of the DCF model to forecast operating cash flows, including sales volumes and gross margins, tax rates, capital spending, discount rates and working capital changes. Most of these assumptions vary significantly among the reporting units. Significant assumptions in the Market Approach model are projected EBITDA, selected market multiple, and the estimated control premium.</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event the estimated fair value of a reporting unit is less than the carrying value, additional analysis is required. The additional analysis would compare the carrying amount of the reporting unit's goodwill with the implied fair value of that goodwill. The implied fair value of goodwill is the excess of the fair value of the reporting unit over the fair value amounts assigned to all of the assets and liabilities of that unit as if the reporting unit was acquired in a business combination and the fair value of the reporting unit represented the purchase price. If the carrying value of goodwill exceeds its implied fair value, an impairment loss equal to such excess would be recognized.</w:t>
      </w:r>
    </w:p>
    <w:p>
      <w:pPr>
        <w:spacing w:after="0" w:line="8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During the 2013 annual goodwill impairment test, the Company completed the two-step quantitative impairment test for nine reporting units. As a result, the Company recorded a non-cash goodwill impairment charge of $18.4 million with respect to the epay Australia and epay Spain reporting units.</w:t>
      </w:r>
    </w:p>
    <w:p>
      <w:pPr>
        <w:spacing w:after="0" w:line="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2012 annual goodwill impairment test, the Company completed the two-step quantitative impairment test for eight reporting units. As a result, the Company recorded a non-cash goodwill impairment charge of $23.5 million with respect to the epay Brazil reporting unit.</w:t>
      </w:r>
    </w:p>
    <w:p>
      <w:pPr>
        <w:spacing w:after="0" w:line="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u w:val="single" w:color="auto"/>
          <w:color w:val="auto"/>
        </w:rPr>
        <w:t>Other Intangibles</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ASC Topic 350, intangible assets with finite lives are amortized over their estimated useful lives. Unless otherwise noted, amortization is calculated using the straight-line method over the estimated useful lives of the assets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4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4660" w:type="dxa"/>
            <w:vAlign w:val="bottom"/>
          </w:tcPr>
          <w:p>
            <w:pPr>
              <w:jc w:val="right"/>
              <w:spacing w:after="0"/>
              <w:rPr>
                <w:sz w:val="20"/>
                <w:szCs w:val="20"/>
                <w:color w:val="auto"/>
              </w:rPr>
            </w:pPr>
            <w:r>
              <w:rPr>
                <w:rFonts w:ascii="Arial" w:cs="Arial" w:eastAsia="Arial" w:hAnsi="Arial"/>
                <w:sz w:val="18"/>
                <w:szCs w:val="18"/>
                <w:color w:val="auto"/>
              </w:rPr>
              <w:t>2 - 20 years</w:t>
            </w:r>
          </w:p>
        </w:tc>
      </w:tr>
      <w:tr>
        <w:trPr>
          <w:trHeight w:val="27"/>
        </w:trPr>
        <w:tc>
          <w:tcPr>
            <w:tcW w:w="586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4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3 - 10 years</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4660" w:type="dxa"/>
            <w:vAlign w:val="bottom"/>
          </w:tcPr>
          <w:p>
            <w:pPr>
              <w:jc w:val="right"/>
              <w:spacing w:after="0"/>
              <w:rPr>
                <w:sz w:val="20"/>
                <w:szCs w:val="20"/>
                <w:color w:val="auto"/>
              </w:rPr>
            </w:pPr>
            <w:r>
              <w:rPr>
                <w:rFonts w:ascii="Arial" w:cs="Arial" w:eastAsia="Arial" w:hAnsi="Arial"/>
                <w:sz w:val="18"/>
                <w:szCs w:val="18"/>
                <w:color w:val="auto"/>
              </w:rPr>
              <w:t>6 - 12 years</w:t>
            </w:r>
          </w:p>
        </w:tc>
      </w:tr>
    </w:tbl>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reviews its long-lived assets for impairment whenever events or changes in circumstances indicate that the carrying amount of an asset may not be recoverable. If such events or changes in circumstances are present, a loss is recognized if the carrying value of the asset is in excess of the sum of the undiscounted cash flows expected to result from the use of the asset and its eventual disposition. An impairment loss is measured as the amount by which the carrying amount of the asset exceeds the fair value of the asset. During 2012, the Company recorded a non-cash impairment charge of $5.2 million with respect to the customer relationships of the epay Brazil business. No impairment of long-lived assets was recorded during 2013.</w:t>
      </w:r>
    </w:p>
    <w:p>
      <w:pPr>
        <w:spacing w:after="0" w:line="158" w:lineRule="exact"/>
        <w:rPr>
          <w:sz w:val="20"/>
          <w:szCs w:val="20"/>
          <w:color w:val="auto"/>
        </w:rPr>
      </w:pPr>
    </w:p>
    <w:p>
      <w:pPr>
        <w:ind w:right="460"/>
        <w:spacing w:after="0" w:line="375" w:lineRule="auto"/>
        <w:rPr>
          <w:sz w:val="20"/>
          <w:szCs w:val="20"/>
          <w:color w:val="auto"/>
        </w:rPr>
      </w:pPr>
      <w:r>
        <w:rPr>
          <w:rFonts w:ascii="Arial" w:cs="Arial" w:eastAsia="Arial" w:hAnsi="Arial"/>
          <w:sz w:val="18"/>
          <w:szCs w:val="18"/>
          <w:color w:val="auto"/>
        </w:rPr>
        <w:t xml:space="preserve">See Note 8, Goodwill and Acquired Intangible Assets, Net, for additional information regarding the impairment of goodwill and other intangible assets. </w:t>
      </w:r>
      <w:r>
        <w:rPr>
          <w:rFonts w:ascii="Arial" w:cs="Arial" w:eastAsia="Arial" w:hAnsi="Arial"/>
          <w:sz w:val="18"/>
          <w:szCs w:val="18"/>
          <w:b w:val="1"/>
          <w:bCs w:val="1"/>
          <w:i w:val="1"/>
          <w:iCs w:val="1"/>
          <w:color w:val="auto"/>
        </w:rPr>
        <w:t>Other assets</w:t>
      </w:r>
    </w:p>
    <w:p>
      <w:pPr>
        <w:spacing w:after="0" w:line="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Other assets include deferred financing costs, investments in unconsolidated affiliates, capitalized software development costs and capitalized payments for new or renewed contracts, contract renewals and customer conversion costs. Deferred financing costs represent expenses incurred to obtain financing that have been deferred and are being amortized over the life of the loan. Euronet capitalizes initial payments for new or renewed contracts to the extent recoverable through future operations, contractual minimums and/or penalties in the case of early termination. The Company's accounting policy is to limit the amount of capitalized costs for a given contract to the lesser of the estimated ongoing net future cash flows related to the contract or the termination fees the Company would receive in the event of early termination of the contract by the customer.</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accounts for investments in affiliates using the equity method of accounting when it has the ability to exercise significant influence over the affiliate. Equity losses in affiliates are generally recognized until the Company's investment is zero. As of December 31, 2012, investments in affiliates, related to the Company's 40% investment in epay Malaysia was $4.7 million; undistributed earnings in epay Malaysia was $4.6 million. In July 2013, the Company completed the sale of its investment in epay Malaysia for $7.6 million, which resulted in the recognition of a $2.8 million gain. As of December 31, 2013, the Company had no material investments in unconsolidated affiliates.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5"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capitalization</w:t>
      </w:r>
    </w:p>
    <w:p>
      <w:pPr>
        <w:spacing w:after="0" w:line="11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u w:val="single" w:color="auto"/>
          <w:color w:val="auto"/>
        </w:rPr>
        <w:t>Computer software to be sold</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applies ASC Topic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and ASC Topic 985 in recording research and development costs. Research costs related to the discovery of new knowledge with the hope that such knowledge will be useful in developing a new product or service, or a new process or technique, or in bringing about significant improvement to an existing product or process, are expensed as incurred (also see Note 18, Computer Software to be Sold). Development costs aimed at the translation of research findings or other knowledge into a plan or design for a new product or process, or for a significant improvement to an existing product or process, whether intended for sale or use, are capitalized on a product-by-product basis when technological feasibility is established. Capitalization of computer software costs is discontinued when the computer software product is available to be sold, leased, or otherwise marketed.</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Technological feasibility of computer software products is established when the Company has completed all planning, designing, coding, and testing activities that are necessary to establish that the product can be produced to meet its design specifications including functions, features and technical performance requirements. Technological feasibility is evidenced by the existence of a working model of the product or by completion of a detail program design. The detail program design (i) establishes that the necessary skills, hardware, and software technology are available to produce the product, (ii) is complete and consistent with the product design, and (iii) has been reviewed for high-risk development issues, with any uncertainties related to identified high-risk development issues being adequately resolved.</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Capitalized software costs are included in other assets and are amortized on a product-by-product basis, equal to the greater of the amount computed using (i) the ratio that current gross revenues for a product bear to the total of current and anticipated future gross revenues for that product or (ii) the straight-line method over the remaining estimated economic life of the product, generally three years at inception. Amortization commences when the product is available for general release to customers.</w:t>
      </w:r>
    </w:p>
    <w:p>
      <w:pPr>
        <w:spacing w:after="0" w:line="7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u w:val="single" w:color="auto"/>
          <w:color w:val="auto"/>
        </w:rPr>
        <w:t>Software for internal use</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also develops software for internal use. These software development costs, as well as costs incurred for significant enhancements and upgrades, are capitalized based upon ASC 350-40. Internal-use software development costs are capitalized after the preliminary project stage is completed and management with the relevant authority authorizes and commits to funding a computer software project and it is probable that the project will be completed and the software will be used to perform the function intended. Costs incurred prior to meeting the qualifications are expensed as incurred. Capitalization ceases when the computer software project is substantially complete and ready for its intended use. Capitalized software for internal use is included in property and equipment.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debentures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The Company accounts for its convertible debt instruments that may be settled in cash upon conversion in accordance with ASC Topic 470, </w:t>
      </w:r>
      <w:r>
        <w:rPr>
          <w:rFonts w:ascii="Arial" w:cs="Arial" w:eastAsia="Arial" w:hAnsi="Arial"/>
          <w:sz w:val="17"/>
          <w:szCs w:val="17"/>
          <w:i w:val="1"/>
          <w:iCs w:val="1"/>
          <w:color w:val="auto"/>
        </w:rPr>
        <w:t>Debt</w:t>
      </w:r>
      <w:r>
        <w:rPr>
          <w:rFonts w:ascii="Arial" w:cs="Arial" w:eastAsia="Arial" w:hAnsi="Arial"/>
          <w:sz w:val="17"/>
          <w:szCs w:val="17"/>
          <w:color w:val="auto"/>
        </w:rPr>
        <w:t>, which requires the proceeds from the issuance of such convertible debt instruments to be allocated between debt and equity components so that debt is discounted to reflect the Company's nonconvertible debt borrowing rate. Further, the Company applies ASC 470-20-35-13, which requires the debt discount to be amortized over the period the convertible debt is expected to be outstanding as additional non-cash interest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Company accounts for noncontrolling interests in its consolidated financial statements according to ASC Topic 810, </w:t>
      </w:r>
      <w:r>
        <w:rPr>
          <w:rFonts w:ascii="Arial" w:cs="Arial" w:eastAsia="Arial" w:hAnsi="Arial"/>
          <w:sz w:val="18"/>
          <w:szCs w:val="18"/>
          <w:i w:val="1"/>
          <w:iCs w:val="1"/>
          <w:color w:val="auto"/>
        </w:rPr>
        <w:t>Consolidations</w:t>
      </w:r>
      <w:r>
        <w:rPr>
          <w:rFonts w:ascii="Arial" w:cs="Arial" w:eastAsia="Arial" w:hAnsi="Arial"/>
          <w:sz w:val="18"/>
          <w:szCs w:val="18"/>
          <w:color w:val="auto"/>
        </w:rPr>
        <w:t>, which requires noncontrolling interests to be reported as a component of equity.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The Company accounts for business combinations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which requires most identifiable assets, liabilities, noncontrolling interests and goodwill acquired in a business combination to be recorded at “full fair value” at the acquisition date. Additionally, ASC Topic 805 requires transaction-related costs to be expensed in the period incurred.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8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 xml:space="preserve">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the Company's policy is to record estimated interest and penalties related to the underpayment of income taxes as income tax expense in the Consolidated Statements of Income. See Note 13, Taxes, for further discussion regarding these provisions.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taxes collected and remitted to governmental authorities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presents taxes collected and remitted to governmental authorities on a net basis in the accompanying Consolidated Statements of Income.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Company applies the provisions of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regarding fair value measurements for assets and liabilities. ASC Topic 820 defines fair value, establishes a framework for measuring fair value and requires certain disclosures about fair value measurements. The provisions apply whenever other accounting pronouncements require or permit fair value measurements. See Note 17, Financial Instruments and Fair Value Measurements, for the required fair value disclosures.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 instruments and hedging activities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Company accounts for derivative instruments and hedging activities in accordance with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which requires that all derivative instruments be recognized as either assets or liabilities on the balance sheet at fair value. Primarily in the Money Transfer Segment, the Company enters into foreign currency derivative contracts, mainly forward contracts, to offset foreign currency exposure related to the notional value of money transfer settlement assets and liabilities in currencies other than the U.S. dollar. These contracts are considered derivative instruments under the provisions of ASC Topic 815; however, the Company does not designate such instruments as hedges for accounting purposes. Accordingly, changes in the value of these contracts are recognized immediately as a component of foreign currency exchange gain (loss), net in the Consolidated Statements of Income. The impact of changes in value of these contracts, together with the impact of the change in value of the related foreign currency denominated settlement asset or liability, on the Company's Consolidated Statements of Income and Consolidated Balance Sheets is not significant.</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flows resulting from derivative instruments are included in operating activities in the Company's Consolidated Statements of Cash Flows. The Company enters into derivative instruments with highly credit-worthy financial institutions and does not use derivative instruments for trading or speculative purposes. See Note 11, Derivative Instruments and Hedging Activities, for further discussion of derivative instruments.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recognizes revenue when persuasive evidence of an arrangement exists, delivery has occurred or services have been rendered, the price is fixed or determinable and collection is reasonably assured. The majority of the Company's revenues are comprised of monthly recurring management fees and transaction-based fees. A description of the major components of revenue by business segment is as follows:</w:t>
      </w:r>
    </w:p>
    <w:p>
      <w:pPr>
        <w:spacing w:after="0" w:line="73"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u w:val="single" w:color="auto"/>
          <w:color w:val="auto"/>
        </w:rPr>
        <w:t>EFT Processing</w:t>
      </w:r>
      <w:r>
        <w:rPr>
          <w:rFonts w:ascii="Arial" w:cs="Arial" w:eastAsia="Arial" w:hAnsi="Arial"/>
          <w:sz w:val="17"/>
          <w:szCs w:val="17"/>
          <w:color w:val="auto"/>
        </w:rPr>
        <w:t xml:space="preserve"> - Revenues in the EFT Processing Segment are primarily derived from transaction and management fees and foreign currency exchange margin from owned and outsourced ATM, POS and card processing networks and from the sale of EFT software solutions for electronic payment and transaction delivery systems, and fees or margin earned from value added services, including dynamic currency conversion.</w:t>
      </w:r>
    </w:p>
    <w:p>
      <w:pPr>
        <w:spacing w:after="0" w:line="5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Transaction-based fees include charges for cash withdrawals, debit or credit card transactions, balance inquiries, transactions not completed because the relevant card issuer does not give authorization and prepaid mobile airtime recharges. Outsourcing services are generally billed on the basis of a fixed monthly fee per ATM, plus a transaction-based fee. Transaction-based fees are recognized at the time the transactions are processed and outsourcing management fees are recognized ratably over the contract period.</w:t>
      </w:r>
    </w:p>
    <w:p>
      <w:pPr>
        <w:spacing w:after="0" w:line="7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Certain of the Company's non-cancelable customer contracts provide for the receipt of up-front fees from the customer and/or decreasing or increasing fee schedules over the agreement term for substantially the same level of services to be provided by the Company. As prescribed in SEC Staff Accounting Bulletin (“SAB”) 101, “Revenue Recognition in Financial Statements,” as amended by SAB 104, “Revenue Recognition,” the Company recognizes revenue under these contracts based on proportional performance of services over the term of the contract. This generally results in “straight-line” (i.e., consistent value per period) revenue recognition of the contracts' total cash flows, including any up-front payment received from the customer.</w:t>
      </w:r>
    </w:p>
    <w:p>
      <w:pPr>
        <w:spacing w:after="0" w:line="5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Revenues from the sale of EFT software solutions represent software license fees, professional installation and customization fees, ongoing software maintenance fees, hardware sales and transaction fees. The Company recognizes professional service fee revenue in accordance with the provisions of ASC Topic 985, </w:t>
      </w:r>
      <w:r>
        <w:rPr>
          <w:rFonts w:ascii="Arial" w:cs="Arial" w:eastAsia="Arial" w:hAnsi="Arial"/>
          <w:sz w:val="17"/>
          <w:szCs w:val="17"/>
          <w:i w:val="1"/>
          <w:iCs w:val="1"/>
          <w:color w:val="auto"/>
        </w:rPr>
        <w:t>Software</w:t>
      </w:r>
      <w:r>
        <w:rPr>
          <w:rFonts w:ascii="Arial" w:cs="Arial" w:eastAsia="Arial" w:hAnsi="Arial"/>
          <w:sz w:val="17"/>
          <w:szCs w:val="17"/>
          <w:color w:val="auto"/>
        </w:rPr>
        <w:t xml:space="preserve"> and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Topic 985 generally requires revenue earned on software arrangements involving multiple elements to be allocated to each element based on the relative fair values of those elements.</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Revenues from software licensing agreement contracts are recognized over the professional services portion of the contract term using the percentage-of-completion method, following the guidance in ASC Topic 605, as prescribed by ASC Topic 985. Software maintenance revenue is recognized over the contractual period or as the maintenance-related service is performed. Revenues from the sale of hardware are generally recognized when title passes to the customer. Revenues in excess of billings on software licensing agreements were $0.8 million and $1.1 million as of December 31, 2013 and 2012, respectively, and are recorded in prepaid expenses and other current assets. Billings in excess of revenues on software license agreements were $2.4 million and $2.5 million as of December 31, 2013 and 2012, respectively, and are recorded as deferred revenue until such time the revenue recognition criteria are met.</w:t>
      </w:r>
    </w:p>
    <w:p>
      <w:pPr>
        <w:spacing w:after="0" w:line="8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u w:val="single" w:color="auto"/>
          <w:color w:val="auto"/>
        </w:rPr>
        <w:t>epay</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Revenue generated in the epay Segment is primarily derived from commissions or processing fees associated with distribution and/or processing of prepaid mobile airtime and other electronic payment products. These fees and commissions are received from mobile phone and other telecommunication operators, top-up distributors, other product vendors or distributors or from retailers. In accordance with ASC Topic 605, commissions received are recognized as revenue during the period in which the Company provides the service. The portion of the commission that is paid to retailers is generally recorded as a direct operating cost. However, in circumstances where the Company is not the primary obligor in the distribution of the electronic payment products, those commissions are recorded as a reduction of revenue. In selling certain products, the Company is the primary obligor in the arrangements; accordingly, the gross sales value of the products are recorded as revenue and the purchase cost as direct operating cost. Transactions are processed through a network of POS terminals and direct connections to the electronic payment systems of retailers. Transaction processing fees are recognized at the time the transactions are processed.</w:t>
      </w:r>
    </w:p>
    <w:p>
      <w:pPr>
        <w:spacing w:after="0" w:line="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Money Transfer</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ASC Topic 605, revenues for money transfer and other services represent a transaction fee in addition to a margin earned from purchasing currency at wholesale exchange rates and selling the currency to consumers at retail exchange rates. Revenues and the associated direct operating cost are recognized at the time the transaction is processed. The Company has origination and distribution agents in place, which each earn a fee for the respective service. These fees are reflected as direct operating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 xml:space="preserve">The Company follows the provisions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for equity classified awards, which requires the determination of the fair value of the share-based compensation at the grant date and subsequent recognition of the related expense over the period in which the share-based compensation is earned (“requisite service period”).</w:t>
      </w:r>
    </w:p>
    <w:p>
      <w:pPr>
        <w:spacing w:after="0" w:line="7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amount of future compensation expense related to awards of nonvested shares or nonvested share units (“restricted stock”) is based on the market price for Euronet Common Stock at the grant date. The grant date is the date at which all key terms and conditions of the grant have been determined and the Company becomes contingently obligated to transfer equity to the employee who renders the requisite service, generally the date at which grants are approved by the Company's Board of Directors or Compensation Committee thereof. Share-based compensation expense for awards with only service conditions is generally recognized as expense on a “straight-line” basis over the requisite service period. For awards that vest based on achieving periodic performance conditions, expense is recognized on a “graded attribution method.” The graded attribution method results in expense recognition on a straight-line basis over the requisite service period for each separately vesting portion of an award. The Company has elected to use the “with and without method” when calculating the income tax benefit associated with its share-based payment arrangements. See Note 15, Stock Plans, for further disclosure.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the potential dilution of options to purchase the Company's Common Stock, assumed vesting of restricted stock and the assumed conversion of the Company's convertible debentures.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computation of diluted weighted average number of common shares outstanding:</w:t>
      </w:r>
    </w:p>
    <w:p>
      <w:pPr>
        <w:spacing w:after="0" w:line="230"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23495</wp:posOffset>
            </wp:positionV>
            <wp:extent cx="26327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2011</w:t>
            </w: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49,964,819</w:t>
            </w:r>
          </w:p>
        </w:tc>
        <w:tc>
          <w:tcPr>
            <w:tcW w:w="1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50,529,476</w:t>
            </w:r>
          </w:p>
        </w:tc>
        <w:tc>
          <w:tcPr>
            <w:tcW w:w="1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50,944,349</w:t>
            </w:r>
          </w:p>
        </w:tc>
      </w:tr>
      <w:tr>
        <w:trPr>
          <w:trHeight w:val="27"/>
        </w:trPr>
        <w:tc>
          <w:tcPr>
            <w:tcW w:w="6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Incremental shares from assumed exercise of stock options and vesting of restricted stock</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1,953,484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883,034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785,164</w:t>
            </w:r>
          </w:p>
        </w:tc>
      </w:tr>
      <w:tr>
        <w:trPr>
          <w:trHeight w:val="243"/>
        </w:trPr>
        <w:tc>
          <w:tcPr>
            <w:tcW w:w="6820" w:type="dxa"/>
            <w:vAlign w:val="bottom"/>
          </w:tcPr>
          <w:p>
            <w:pPr>
              <w:ind w:left="180"/>
              <w:spacing w:after="0"/>
              <w:rPr>
                <w:sz w:val="20"/>
                <w:szCs w:val="20"/>
                <w:color w:val="auto"/>
              </w:rPr>
            </w:pPr>
            <w:r>
              <w:rPr>
                <w:rFonts w:ascii="Arial" w:cs="Arial" w:eastAsia="Arial" w:hAnsi="Arial"/>
                <w:sz w:val="18"/>
                <w:szCs w:val="18"/>
                <w:color w:val="auto"/>
              </w:rPr>
              <w:t>Incremental shares from assumed conversion of convertible debentures</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64,317</w:t>
            </w:r>
          </w:p>
        </w:tc>
        <w:tc>
          <w:tcPr>
            <w:tcW w:w="1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8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weighted average shares outstanding</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51,982,620</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51,412,510</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51,729,513</w:t>
            </w:r>
          </w:p>
        </w:tc>
      </w:tr>
      <w:tr>
        <w:trPr>
          <w:trHeight w:val="20"/>
        </w:trPr>
        <w:tc>
          <w:tcPr>
            <w:tcW w:w="6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table includes all stock options and restricted stock that are dilutive to the Company's weighted average common shares outstanding during the period. The calculation of diluted earnings per share excludes stock options or shares of restricted stock that are anti-dilutive to the Company's weighted average common shares outstanding for the years ended December 31, 2013, 2012 and 2011 of approximately 438,000, 3,679,000 and 1,956,000, respectively.</w:t>
      </w:r>
    </w:p>
    <w:p>
      <w:pPr>
        <w:spacing w:after="0" w:line="3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The Company had convertible debentures that, if converted, would have had a potentially dilutive effect on its Common Stock. In September 2013, the Company repurchased at par the remaining $3.6 million of principal amount of the convertible debentures outstanding. As required by ASC Topic 260, </w:t>
      </w:r>
      <w:r>
        <w:rPr>
          <w:rFonts w:ascii="Arial" w:cs="Arial" w:eastAsia="Arial" w:hAnsi="Arial"/>
          <w:sz w:val="17"/>
          <w:szCs w:val="17"/>
          <w:i w:val="1"/>
          <w:iCs w:val="1"/>
          <w:color w:val="auto"/>
        </w:rPr>
        <w:t xml:space="preserve">Earnings per Share, </w:t>
      </w:r>
      <w:r>
        <w:rPr>
          <w:rFonts w:ascii="Arial" w:cs="Arial" w:eastAsia="Arial" w:hAnsi="Arial"/>
          <w:sz w:val="17"/>
          <w:szCs w:val="17"/>
          <w:color w:val="auto"/>
        </w:rPr>
        <w:t>if dilutive, the impact of the contingently issuable shares must be included in the calculation of diluted earnings per share under the “if-converted” method, regardless of whether the conditions upon which the debentures would be convertible into shares of the Company’s Common Stock have been met. Under the if-converted method, the dilutive effect of the assumed conversion of the debentures was 64,317 shares for the year ended December 31, 2013. The assumed conversion of the debentures was anti-dilutive for the years ended December 31, 2012 and 2011.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25"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In August 2011, the Board of Directors authorized a stock repurchase program ("2011 Program") allowing the Company to repurchase up to $100 million in value or 5.0 million shares of its Common Stock. During 2011 and 2012, the Company repurchased 1.0 million shares for a total value of $16.0 million and 2.0 million shares for a total value of $42.9 million, respectively, under the 2011 Program. The average purchase price per share was $15.65 and $21.60 for the years ended December 31, 2011 and 2012, respectively. The 2011 program expired in August 2013.</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September 2013, the Board of Directors authorized a stock repurchase program through September 19, 2015 ("2013 program") allowing the Company to repurchase up to $100 million in value or 5.0 million shares of its Common Stock. Because of constraints established in the Company's Credit Agreement, repurchases may only begin after December 31, 2013. Repurchases under the 2013 Program may take place in the open market or in privately negotiated transactions, including derivative transactions, and may be made under a Rule 10b5-1 plan.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authority to issue up to 10 million shares of preferred stock, of which no shares are currently issued or outstanding.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Rights Agreement</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March 26, 2013, the Company entered into a new Rights Agreement (the "Rights Agreement") with Computershare Trust Company, N.A., as Rights Agent. The Rights Agreement became effective at the close of business on April 3, 2013, immediately following the expiration of the prior rights agreement, and has a three year term. In connection with its approval of the Rights Agreement, the Board of Directors also declared a dividend of one "Right" for each outstanding share of Euronet's common stock, payable on April 3, 2013 to stockholders of record at the close of business on April 3, 2013. As long as the Rights are attached to the common shares, the Company will issue one Right (subject to adjustment) with each new common share that is issued so that all such shares will have attached Rights. When exercisable, each Right will initially entitle the registered holder to purchase from the Company one one-hundredth of a share of Series A Junior Participating Preferred Stock at a price of $125 per one one-hundredth of a share, subject to adjustment. Upon occurrence of a trigger event under the Rights Agreement, each holder of a Right (excluding certain holders) thereafter would have the right to receive upon exercise a number of common shares having a market value of two times the then current price of the Right.</w:t>
      </w: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40"/>
          </w:cols>
          <w:pgMar w:left="240" w:top="125" w:right="31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Rights are not exercisable until the earlier of (i) ten business days following a public announcement that (or a majority of the Board of Directors of the Company becoming aware that) a person or group of affiliated or associated persons or any person acting in concert therewith, has acquired, or obtained the right to acquire beneficial ownership of 20% or more of the Company's common shares (as defined in the Rights Agreement), or (ii) ten business days following the commencement or announcement of an intention to make a tender offer or exchange offer, the consummation of which would result in any person becoming an acquiring person (as defined in the Rights Agreement), unless the Board of Directors sets a later date in either event. The Rights Agreement is intended to encourage a potential acquiring person to negotiate directly with the Board of Directors, but may have certain anti-takeover effects. The Rights Agreement could significantly dilute the interests in the Company of an acquiring person. The Rights may therefore have the effect of delaying, deterring or preventing a change in control of the Company. The Rights have a de minimus fair value and expire on April 3, 2016.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December 31, 2013 and 2012, accumulated other comprehensive loss consists entirely of foreign currency translation adjustments. The Company recorded a foreign currency translation gain of $0.8 million and $10.9 million for the years ended December 31, 2013 and 2012, respectively. For the year ended December 31, 2011, the Company recorded a foreign currency translation loss of $26.7 million. During 2013, the Company reclassified $0.3 million of foreign currency translation into the Consolidated Statements of Income. There were no reclassifications of foreign currency translation into the Consolidated Statements of Income for the years ending December 31, 2012 and 2011.</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accordance with ASC Topic 805, the Company allocates the purchase price of its acquisitions to the tangible assets, liabilities and intangible assets acquired based on fair values. Any excess purchase price over those fair values is recorded as goodwill. The fair value assigned to intangible assets acquired is supported by valuations using estimates and assumptions provided by management. Generally, for certain large acquisitions, management engages an appraiser to assist in the valuation process.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Acquisitions</w:t>
      </w:r>
    </w:p>
    <w:p>
      <w:pPr>
        <w:spacing w:after="0" w:line="117"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On January 4, 2013, the Company acquired all of the common stock of an Australian company, Pure Commerce Pty Limited (“Pure Commerce”), which offers industry leading currency conversion and multi-currency acquiring products to global, local and online merchant acquirers, banks and retailers. The purchase price consisted of cash of approximately $31.3 million, subject to customary purchase price adjustments, and $5.3 million of the Company's common stock. With respect to the stock portion of the purchase price and pursuant to the acquisition agreement, the Company issued at closing</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224,425 shares of common stock to the shareholders of Pure Commerce. The common stock will be held in escrow through September 2014 to secure certain obligations of the sellers. Further, Euronet agreed, pursuant to an earnout provision, to pay additional purchase consideration of up to $30.0 million Australian dollars, with half due in cash and the remaining half payable in Euronet common stock in March 2014, if certain performance targets were met during the measurement period ending December 31, 2013. As of the acquisition date, the fair value of the contingent consideration liability was $21.7 million. As of December 31, 2013, the Company forecasted that Pure Commerce will not meet the minimum performance targets necessary to require the Company to pay contingent consideration. See Note 17, Financial Instruments and Fair Value Measurements, for additional information related to the contingent consideration liability.</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5"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the acquired net assets at the acquisition date: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3"/>
          </w:tcPr>
          <w:p>
            <w:pPr>
              <w:jc w:val="center"/>
              <w:ind w:right="390"/>
              <w:spacing w:after="0"/>
              <w:rPr>
                <w:sz w:val="20"/>
                <w:szCs w:val="20"/>
                <w:color w:val="auto"/>
              </w:rPr>
            </w:pPr>
            <w:r>
              <w:rPr>
                <w:rFonts w:ascii="Arial" w:cs="Arial" w:eastAsia="Arial" w:hAnsi="Arial"/>
                <w:sz w:val="14"/>
                <w:szCs w:val="14"/>
                <w:b w:val="1"/>
                <w:bCs w:val="1"/>
                <w:color w:val="auto"/>
                <w:w w:val="92"/>
              </w:rPr>
              <w:t>Estimated</w:t>
            </w:r>
          </w:p>
        </w:tc>
        <w:tc>
          <w:tcPr>
            <w:tcW w:w="880" w:type="dxa"/>
            <w:vAlign w:val="bottom"/>
          </w:tcPr>
          <w:p>
            <w:pPr>
              <w:spacing w:after="0"/>
              <w:rPr>
                <w:sz w:val="14"/>
                <w:szCs w:val="14"/>
                <w:color w:val="auto"/>
              </w:rPr>
            </w:pPr>
          </w:p>
        </w:tc>
      </w:tr>
      <w:tr>
        <w:trPr>
          <w:trHeight w:val="192"/>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480" w:type="dxa"/>
            <w:vAlign w:val="bottom"/>
            <w:tcBorders>
              <w:bottom w:val="single" w:sz="8" w:color="CCEEFF"/>
            </w:tcBorders>
            <w:gridSpan w:val="2"/>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30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4,805</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Property and equipment</w:t>
            </w:r>
          </w:p>
        </w:tc>
        <w:tc>
          <w:tcPr>
            <w:tcW w:w="2300" w:type="dxa"/>
            <w:vAlign w:val="bottom"/>
            <w:gridSpan w:val="3"/>
          </w:tcPr>
          <w:p>
            <w:pPr>
              <w:jc w:val="center"/>
              <w:ind w:right="410"/>
              <w:spacing w:after="0"/>
              <w:rPr>
                <w:sz w:val="20"/>
                <w:szCs w:val="20"/>
                <w:color w:val="auto"/>
              </w:rPr>
            </w:pPr>
            <w:r>
              <w:rPr>
                <w:rFonts w:ascii="Arial" w:cs="Arial" w:eastAsia="Arial" w:hAnsi="Arial"/>
                <w:sz w:val="18"/>
                <w:szCs w:val="18"/>
                <w:color w:val="auto"/>
                <w:w w:val="89"/>
              </w:rPr>
              <w:t>2 - 8 years</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331</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300" w:type="dxa"/>
            <w:vAlign w:val="bottom"/>
            <w:tcBorders>
              <w:bottom w:val="single" w:sz="8" w:color="CCEEFF"/>
            </w:tcBorders>
            <w:gridSpan w:val="3"/>
            <w:shd w:val="clear" w:color="auto" w:fill="CCEEFF"/>
          </w:tcPr>
          <w:p>
            <w:pPr>
              <w:jc w:val="center"/>
              <w:ind w:right="410"/>
              <w:spacing w:after="0"/>
              <w:rPr>
                <w:sz w:val="20"/>
                <w:szCs w:val="20"/>
                <w:color w:val="auto"/>
              </w:rPr>
            </w:pPr>
            <w:r>
              <w:rPr>
                <w:rFonts w:ascii="Arial" w:cs="Arial" w:eastAsia="Arial" w:hAnsi="Arial"/>
                <w:sz w:val="18"/>
                <w:szCs w:val="18"/>
                <w:color w:val="auto"/>
                <w:w w:val="88"/>
              </w:rPr>
              <w:t>4 years</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Proprietary software</w:t>
            </w:r>
          </w:p>
        </w:tc>
        <w:tc>
          <w:tcPr>
            <w:tcW w:w="2300" w:type="dxa"/>
            <w:vAlign w:val="bottom"/>
            <w:gridSpan w:val="3"/>
          </w:tcPr>
          <w:p>
            <w:pPr>
              <w:jc w:val="center"/>
              <w:ind w:right="410"/>
              <w:spacing w:after="0"/>
              <w:rPr>
                <w:sz w:val="20"/>
                <w:szCs w:val="20"/>
                <w:color w:val="auto"/>
              </w:rPr>
            </w:pPr>
            <w:r>
              <w:rPr>
                <w:rFonts w:ascii="Arial" w:cs="Arial" w:eastAsia="Arial" w:hAnsi="Arial"/>
                <w:sz w:val="18"/>
                <w:szCs w:val="18"/>
                <w:color w:val="auto"/>
                <w:w w:val="86"/>
              </w:rPr>
              <w:t>10 years</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11,912</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300" w:type="dxa"/>
            <w:vAlign w:val="bottom"/>
            <w:tcBorders>
              <w:bottom w:val="single" w:sz="8" w:color="CCEEFF"/>
            </w:tcBorders>
            <w:gridSpan w:val="3"/>
            <w:shd w:val="clear" w:color="auto" w:fill="CCEEFF"/>
          </w:tcPr>
          <w:p>
            <w:pPr>
              <w:jc w:val="center"/>
              <w:ind w:right="410"/>
              <w:spacing w:after="0"/>
              <w:rPr>
                <w:sz w:val="20"/>
                <w:szCs w:val="20"/>
                <w:color w:val="auto"/>
              </w:rPr>
            </w:pPr>
            <w:r>
              <w:rPr>
                <w:rFonts w:ascii="Arial" w:cs="Arial" w:eastAsia="Arial" w:hAnsi="Arial"/>
                <w:sz w:val="18"/>
                <w:szCs w:val="18"/>
                <w:color w:val="auto"/>
                <w:w w:val="86"/>
              </w:rPr>
              <w:t>12 years</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18,230</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Trademarks and trade names</w:t>
            </w:r>
          </w:p>
        </w:tc>
        <w:tc>
          <w:tcPr>
            <w:tcW w:w="2300" w:type="dxa"/>
            <w:vAlign w:val="bottom"/>
            <w:gridSpan w:val="3"/>
          </w:tcPr>
          <w:p>
            <w:pPr>
              <w:jc w:val="center"/>
              <w:ind w:right="410"/>
              <w:spacing w:after="0"/>
              <w:rPr>
                <w:sz w:val="20"/>
                <w:szCs w:val="20"/>
                <w:color w:val="auto"/>
              </w:rPr>
            </w:pPr>
            <w:r>
              <w:rPr>
                <w:rFonts w:ascii="Arial" w:cs="Arial" w:eastAsia="Arial" w:hAnsi="Arial"/>
                <w:sz w:val="18"/>
                <w:szCs w:val="18"/>
                <w:color w:val="auto"/>
                <w:w w:val="86"/>
              </w:rPr>
              <w:t>20 years</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2,382</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300" w:type="dxa"/>
            <w:vAlign w:val="bottom"/>
            <w:tcBorders>
              <w:bottom w:val="single" w:sz="8" w:color="CCEEFF"/>
            </w:tcBorders>
            <w:gridSpan w:val="3"/>
            <w:shd w:val="clear" w:color="auto" w:fill="CCEEFF"/>
          </w:tcPr>
          <w:p>
            <w:pPr>
              <w:jc w:val="center"/>
              <w:ind w:right="390"/>
              <w:spacing w:after="0"/>
              <w:rPr>
                <w:sz w:val="20"/>
                <w:szCs w:val="20"/>
                <w:color w:val="auto"/>
              </w:rPr>
            </w:pPr>
            <w:r>
              <w:rPr>
                <w:rFonts w:ascii="Arial" w:cs="Arial" w:eastAsia="Arial" w:hAnsi="Arial"/>
                <w:sz w:val="18"/>
                <w:szCs w:val="18"/>
                <w:color w:val="auto"/>
                <w:w w:val="95"/>
              </w:rPr>
              <w:t>Indefinite</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27,917</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402</w:t>
            </w: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assets</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66,734</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(4,783)</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(3,683)</w:t>
            </w:r>
          </w:p>
        </w:tc>
      </w:tr>
      <w:tr>
        <w:trPr>
          <w:trHeight w:val="257"/>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Net assets acquired</w:t>
            </w:r>
          </w:p>
        </w:tc>
        <w:tc>
          <w:tcPr>
            <w:tcW w:w="1920" w:type="dxa"/>
            <w:vAlign w:val="bottom"/>
            <w:gridSpan w:val="2"/>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58,268</w:t>
            </w: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Acquisitions</w:t>
      </w:r>
    </w:p>
    <w:p>
      <w:pPr>
        <w:spacing w:after="0" w:line="117"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In January 2012, the Company acquired the remaining 51% of the common stock of Euronet Middle East W.L.L. which it did not previously own. The purchase price of approximately $6.4 million was paid from cash on hand. Accordingly, the assets and liabilities of Euronet Middle East W.L.L. were recorded at fair value, which resulted in a $4.4 million pre-tax gain on the 49% interest previously owned.</w:t>
      </w:r>
    </w:p>
    <w:p>
      <w:pPr>
        <w:spacing w:after="0" w:line="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November 2012, the Company acquired certain assets and retail contracts of ezi-pay Limited ("ezi-pay"), which added additional product offerings, and processing and distribution services for New Zealand-specific brands to the Company's epay operations in Europe. The purchase price of approximately $19.7 million was paid from cash on hand. Additionally, $3.3 million in cash is being held in escrow to secure certain obligations of the sellers under the Sale and Purchase Agreement.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the acquired net assets at the respective acquisition dates: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3"/>
          </w:tcPr>
          <w:p>
            <w:pPr>
              <w:jc w:val="center"/>
              <w:ind w:right="390"/>
              <w:spacing w:after="0"/>
              <w:rPr>
                <w:sz w:val="20"/>
                <w:szCs w:val="20"/>
                <w:color w:val="auto"/>
              </w:rPr>
            </w:pPr>
            <w:r>
              <w:rPr>
                <w:rFonts w:ascii="Arial" w:cs="Arial" w:eastAsia="Arial" w:hAnsi="Arial"/>
                <w:sz w:val="14"/>
                <w:szCs w:val="14"/>
                <w:b w:val="1"/>
                <w:bCs w:val="1"/>
                <w:color w:val="auto"/>
                <w:w w:val="92"/>
              </w:rPr>
              <w:t>Estimated</w:t>
            </w:r>
          </w:p>
        </w:tc>
        <w:tc>
          <w:tcPr>
            <w:tcW w:w="880" w:type="dxa"/>
            <w:vAlign w:val="bottom"/>
          </w:tcPr>
          <w:p>
            <w:pPr>
              <w:spacing w:after="0"/>
              <w:rPr>
                <w:sz w:val="14"/>
                <w:szCs w:val="14"/>
                <w:color w:val="auto"/>
              </w:rPr>
            </w:pPr>
          </w:p>
        </w:tc>
      </w:tr>
      <w:tr>
        <w:trPr>
          <w:trHeight w:val="192"/>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480" w:type="dxa"/>
            <w:vAlign w:val="bottom"/>
            <w:tcBorders>
              <w:bottom w:val="single" w:sz="8" w:color="CCEEFF"/>
            </w:tcBorders>
            <w:gridSpan w:val="2"/>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30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9,504</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Property and equipment</w:t>
            </w:r>
          </w:p>
        </w:tc>
        <w:tc>
          <w:tcPr>
            <w:tcW w:w="2300" w:type="dxa"/>
            <w:vAlign w:val="bottom"/>
            <w:gridSpan w:val="3"/>
          </w:tcPr>
          <w:p>
            <w:pPr>
              <w:jc w:val="center"/>
              <w:ind w:right="410"/>
              <w:spacing w:after="0"/>
              <w:rPr>
                <w:sz w:val="20"/>
                <w:szCs w:val="20"/>
                <w:color w:val="auto"/>
              </w:rPr>
            </w:pPr>
            <w:r>
              <w:rPr>
                <w:rFonts w:ascii="Arial" w:cs="Arial" w:eastAsia="Arial" w:hAnsi="Arial"/>
                <w:sz w:val="18"/>
                <w:szCs w:val="18"/>
                <w:color w:val="auto"/>
                <w:w w:val="89"/>
              </w:rPr>
              <w:t>2 - 5 years</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1,098</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300" w:type="dxa"/>
            <w:vAlign w:val="bottom"/>
            <w:tcBorders>
              <w:bottom w:val="single" w:sz="8" w:color="CCEEFF"/>
            </w:tcBorders>
            <w:gridSpan w:val="3"/>
            <w:shd w:val="clear" w:color="auto" w:fill="CCEEFF"/>
          </w:tcPr>
          <w:p>
            <w:pPr>
              <w:jc w:val="center"/>
              <w:ind w:right="410"/>
              <w:spacing w:after="0"/>
              <w:rPr>
                <w:sz w:val="20"/>
                <w:szCs w:val="20"/>
                <w:color w:val="auto"/>
              </w:rPr>
            </w:pPr>
            <w:r>
              <w:rPr>
                <w:rFonts w:ascii="Arial" w:cs="Arial" w:eastAsia="Arial" w:hAnsi="Arial"/>
                <w:sz w:val="18"/>
                <w:szCs w:val="18"/>
                <w:color w:val="auto"/>
                <w:w w:val="89"/>
              </w:rPr>
              <w:t>2 - 4 years</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Trademarks and trade names</w:t>
            </w:r>
          </w:p>
        </w:tc>
        <w:tc>
          <w:tcPr>
            <w:tcW w:w="2300" w:type="dxa"/>
            <w:vAlign w:val="bottom"/>
            <w:gridSpan w:val="3"/>
          </w:tcPr>
          <w:p>
            <w:pPr>
              <w:jc w:val="center"/>
              <w:ind w:right="410"/>
              <w:spacing w:after="0"/>
              <w:rPr>
                <w:sz w:val="20"/>
                <w:szCs w:val="20"/>
                <w:color w:val="auto"/>
              </w:rPr>
            </w:pPr>
            <w:r>
              <w:rPr>
                <w:rFonts w:ascii="Arial" w:cs="Arial" w:eastAsia="Arial" w:hAnsi="Arial"/>
                <w:sz w:val="18"/>
                <w:szCs w:val="18"/>
                <w:color w:val="auto"/>
                <w:w w:val="88"/>
              </w:rPr>
              <w:t>4 years</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372</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300" w:type="dxa"/>
            <w:vAlign w:val="bottom"/>
            <w:tcBorders>
              <w:bottom w:val="single" w:sz="8" w:color="CCEEFF"/>
            </w:tcBorders>
            <w:gridSpan w:val="3"/>
            <w:shd w:val="clear" w:color="auto" w:fill="CCEEFF"/>
          </w:tcPr>
          <w:p>
            <w:pPr>
              <w:jc w:val="center"/>
              <w:ind w:right="410"/>
              <w:spacing w:after="0"/>
              <w:rPr>
                <w:sz w:val="20"/>
                <w:szCs w:val="20"/>
                <w:color w:val="auto"/>
              </w:rPr>
            </w:pPr>
            <w:r>
              <w:rPr>
                <w:rFonts w:ascii="Arial" w:cs="Arial" w:eastAsia="Arial" w:hAnsi="Arial"/>
                <w:sz w:val="18"/>
                <w:szCs w:val="18"/>
                <w:color w:val="auto"/>
                <w:w w:val="88"/>
              </w:rPr>
              <w:t>8 years</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9,896</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300" w:type="dxa"/>
            <w:vAlign w:val="bottom"/>
            <w:gridSpan w:val="3"/>
          </w:tcPr>
          <w:p>
            <w:pPr>
              <w:jc w:val="center"/>
              <w:ind w:right="390"/>
              <w:spacing w:after="0"/>
              <w:rPr>
                <w:sz w:val="20"/>
                <w:szCs w:val="20"/>
                <w:color w:val="auto"/>
              </w:rPr>
            </w:pPr>
            <w:r>
              <w:rPr>
                <w:rFonts w:ascii="Arial" w:cs="Arial" w:eastAsia="Arial" w:hAnsi="Arial"/>
                <w:sz w:val="18"/>
                <w:szCs w:val="18"/>
                <w:color w:val="auto"/>
                <w:w w:val="95"/>
              </w:rPr>
              <w:t>Indefinite</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12,812</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37"/>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Fair value of assets</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34,341</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r>
      <w:tr>
        <w:trPr>
          <w:trHeight w:val="257"/>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Net assets acquired</w:t>
            </w:r>
          </w:p>
        </w:tc>
        <w:tc>
          <w:tcPr>
            <w:tcW w:w="1920" w:type="dxa"/>
            <w:vAlign w:val="bottom"/>
            <w:gridSpan w:val="2"/>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32,191</w:t>
            </w: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Acquisitions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September 16, 2011, the Company acquired all the common stock of cadooz Holding GmbH and its wholly owned operating subsidiaries ("cadooz"), which added additional product offerings to the Company's epay operations in Europe. The purchase price of approximately $54.7 million was paid from cash on hand. In addition, we established a liability for additional purchase price consideration to be paid based upon the level of revenue achieved by one of cadooz's subsidiaries for the three-year period ending in February 2014. Additionally, $4.1 million in cash is being held in escrow to secure certain obligations of the sellers under the Sale and Purchase Agreement.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December 2011, the Company acquired Smart PayNetwork SA, an ATM and card processing company in Romania, for $18.3 million in cash. In November 2011, the Company acquired an integrated network of ATMs in Poland, known as cash4you, for $5.3 million in cash. In June 2011, the Company also acquired the net assets of a Canada-based check-cashing company for approximately $3.4 million in cash.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the acquired net assets at the respective acquisition dates: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Estimated</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59"/>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28,292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Property and equipment</w:t>
            </w:r>
          </w:p>
        </w:tc>
        <w:tc>
          <w:tcPr>
            <w:tcW w:w="440" w:type="dxa"/>
            <w:vAlign w:val="bottom"/>
          </w:tcPr>
          <w:p>
            <w:pPr>
              <w:spacing w:after="0"/>
              <w:rPr>
                <w:sz w:val="21"/>
                <w:szCs w:val="21"/>
                <w:color w:val="auto"/>
              </w:rPr>
            </w:pPr>
          </w:p>
        </w:tc>
        <w:tc>
          <w:tcPr>
            <w:tcW w:w="1480" w:type="dxa"/>
            <w:vAlign w:val="bottom"/>
            <w:gridSpan w:val="4"/>
          </w:tcPr>
          <w:p>
            <w:pPr>
              <w:jc w:val="center"/>
              <w:ind w:right="560"/>
              <w:spacing w:after="0"/>
              <w:rPr>
                <w:sz w:val="20"/>
                <w:szCs w:val="20"/>
                <w:color w:val="auto"/>
              </w:rPr>
            </w:pPr>
            <w:r>
              <w:rPr>
                <w:rFonts w:ascii="Arial" w:cs="Arial" w:eastAsia="Arial" w:hAnsi="Arial"/>
                <w:sz w:val="18"/>
                <w:szCs w:val="18"/>
                <w:color w:val="auto"/>
                <w:w w:val="88"/>
              </w:rPr>
              <w:t>3 - 13 years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center"/>
              <w:ind w:right="680"/>
              <w:spacing w:after="0"/>
              <w:rPr>
                <w:sz w:val="20"/>
                <w:szCs w:val="20"/>
                <w:color w:val="auto"/>
              </w:rPr>
            </w:pPr>
            <w:r>
              <w:rPr>
                <w:rFonts w:ascii="Arial" w:cs="Arial" w:eastAsia="Arial" w:hAnsi="Arial"/>
                <w:sz w:val="18"/>
                <w:szCs w:val="18"/>
                <w:color w:val="auto"/>
                <w:w w:val="88"/>
              </w:rPr>
              <w:t>3 years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440" w:type="dxa"/>
            <w:vAlign w:val="bottom"/>
          </w:tcPr>
          <w:p>
            <w:pPr>
              <w:spacing w:after="0"/>
              <w:rPr>
                <w:sz w:val="21"/>
                <w:szCs w:val="21"/>
                <w:color w:val="auto"/>
              </w:rPr>
            </w:pPr>
          </w:p>
        </w:tc>
        <w:tc>
          <w:tcPr>
            <w:tcW w:w="1480" w:type="dxa"/>
            <w:vAlign w:val="bottom"/>
            <w:gridSpan w:val="4"/>
          </w:tcPr>
          <w:p>
            <w:pPr>
              <w:jc w:val="center"/>
              <w:ind w:right="560"/>
              <w:spacing w:after="0"/>
              <w:rPr>
                <w:sz w:val="20"/>
                <w:szCs w:val="20"/>
                <w:color w:val="auto"/>
              </w:rPr>
            </w:pPr>
            <w:r>
              <w:rPr>
                <w:rFonts w:ascii="Arial" w:cs="Arial" w:eastAsia="Arial" w:hAnsi="Arial"/>
                <w:sz w:val="18"/>
                <w:szCs w:val="18"/>
                <w:color w:val="auto"/>
                <w:w w:val="88"/>
              </w:rPr>
              <w:t>8 - 12 years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Trademarks and trade names</w:t>
            </w:r>
          </w:p>
        </w:tc>
        <w:tc>
          <w:tcPr>
            <w:tcW w:w="1920" w:type="dxa"/>
            <w:vAlign w:val="bottom"/>
            <w:tcBorders>
              <w:bottom w:val="single" w:sz="8" w:color="CCEEFF"/>
            </w:tcBorders>
            <w:gridSpan w:val="5"/>
            <w:shd w:val="clear" w:color="auto" w:fill="CCEEFF"/>
          </w:tcPr>
          <w:p>
            <w:pPr>
              <w:jc w:val="center"/>
              <w:ind w:right="100"/>
              <w:spacing w:after="0"/>
              <w:rPr>
                <w:sz w:val="20"/>
                <w:szCs w:val="20"/>
                <w:color w:val="auto"/>
              </w:rPr>
            </w:pPr>
            <w:r>
              <w:rPr>
                <w:rFonts w:ascii="Arial" w:cs="Arial" w:eastAsia="Arial" w:hAnsi="Arial"/>
                <w:sz w:val="18"/>
                <w:szCs w:val="18"/>
                <w:color w:val="auto"/>
                <w:w w:val="89"/>
              </w:rPr>
              <w:t>10 - 20 years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21"/>
                <w:szCs w:val="21"/>
                <w:color w:val="auto"/>
              </w:rPr>
            </w:pPr>
          </w:p>
        </w:tc>
        <w:tc>
          <w:tcPr>
            <w:tcW w:w="1480" w:type="dxa"/>
            <w:vAlign w:val="bottom"/>
            <w:gridSpan w:val="4"/>
          </w:tcPr>
          <w:p>
            <w:pPr>
              <w:jc w:val="center"/>
              <w:ind w:right="540"/>
              <w:spacing w:after="0"/>
              <w:rPr>
                <w:sz w:val="20"/>
                <w:szCs w:val="20"/>
                <w:color w:val="auto"/>
              </w:rPr>
            </w:pPr>
            <w:r>
              <w:rPr>
                <w:rFonts w:ascii="Arial" w:cs="Arial" w:eastAsia="Arial" w:hAnsi="Arial"/>
                <w:sz w:val="18"/>
                <w:szCs w:val="18"/>
                <w:color w:val="auto"/>
                <w:w w:val="95"/>
              </w:rPr>
              <w:t>Indefinite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56,855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Fair value of assets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120,764</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(28,118)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Deferred income tax liability</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Net assets acquired</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81,620</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Restricted Cash</w:t>
            </w: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24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40" w:type="dxa"/>
            <w:vAlign w:val="bottom"/>
            <w:gridSpan w:val="3"/>
          </w:tcPr>
          <w:p>
            <w:pPr>
              <w:spacing w:after="0"/>
              <w:rPr>
                <w:sz w:val="20"/>
                <w:szCs w:val="20"/>
                <w:color w:val="auto"/>
              </w:rPr>
            </w:pPr>
            <w:r>
              <w:rPr>
                <w:rFonts w:ascii="Arial" w:cs="Arial" w:eastAsia="Arial" w:hAnsi="Arial"/>
                <w:sz w:val="18"/>
                <w:szCs w:val="18"/>
                <w:color w:val="auto"/>
              </w:rPr>
              <w:t>The restricted cash balances as of December 31, 2013 and 2012 were as follows: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5"/>
          </w:tcPr>
          <w:p>
            <w:pPr>
              <w:ind w:left="5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held in trust and/or cash held on behalf of others</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71,003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Collateral on bank credit arrangements and other</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6,984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16,446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77,987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71,608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Cash held in trust and/or cash held on behalf of others is in connection with the administration of the customer collection and vendor remittance activities by certain subsidiaries within the Company's epay and EFT Segments. Amounts collected on behalf of certain mobile phone operators and/or merchants are deposited into a restricted cash account. The bank credit arrangements primarily represent cash collateral on deposit with commercial banks to cover guarantees.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(7)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property and equipment, net of accumulated depreciation and amortization as of December 31, 2013 and 2012 are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132,315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119,238</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POS terminals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49,427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49,118</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Vehicles and office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48,829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47,221</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Computers and software</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116,289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106,541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and buildings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639</w:t>
            </w:r>
          </w:p>
        </w:tc>
      </w:tr>
      <w:tr>
        <w:trPr>
          <w:trHeight w:val="237"/>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347,557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322,757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(231,327)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(207,282)</w:t>
            </w:r>
          </w:p>
        </w:tc>
      </w:tr>
      <w:tr>
        <w:trPr>
          <w:trHeight w:val="257"/>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116,230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115,475</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including property and equipment recorded under capital leases, for the years ended December 31, 2013, 2012 and 2011 was $39.7 million, $38.7 million and $35.4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Acquired Intangible Assets, Net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Goodwill represents the excess of the purchase price of the acquired business over the estimated fair value of the underlying net tangible and intangible assets acquired. The following table summarizes intangible assets as of December 31, 2013 and 2012:</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As of December 31, 2013</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As of December 31, 2012</w:t>
            </w: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Gross Carrying</w:t>
            </w:r>
          </w:p>
        </w:tc>
        <w:tc>
          <w:tcPr>
            <w:tcW w:w="180" w:type="dxa"/>
            <w:vAlign w:val="bottom"/>
          </w:tcPr>
          <w:p>
            <w:pPr>
              <w:spacing w:after="0"/>
              <w:rPr>
                <w:sz w:val="13"/>
                <w:szCs w:val="13"/>
                <w:color w:val="auto"/>
              </w:rPr>
            </w:pPr>
          </w:p>
        </w:tc>
        <w:tc>
          <w:tcPr>
            <w:tcW w:w="13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3"/>
                <w:szCs w:val="13"/>
                <w:color w:val="auto"/>
              </w:rPr>
            </w:pPr>
          </w:p>
        </w:tc>
        <w:tc>
          <w:tcPr>
            <w:tcW w:w="12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Gross Carrying</w:t>
            </w:r>
          </w:p>
        </w:tc>
        <w:tc>
          <w:tcPr>
            <w:tcW w:w="180" w:type="dxa"/>
            <w:vAlign w:val="bottom"/>
          </w:tcPr>
          <w:p>
            <w:pPr>
              <w:spacing w:after="0"/>
              <w:rPr>
                <w:sz w:val="13"/>
                <w:szCs w:val="13"/>
                <w:color w:val="auto"/>
              </w:rPr>
            </w:pPr>
          </w:p>
        </w:tc>
        <w:tc>
          <w:tcPr>
            <w:tcW w:w="1080" w:type="dxa"/>
            <w:vAlign w:val="bottom"/>
          </w:tcPr>
          <w:p>
            <w:pPr>
              <w:jc w:val="right"/>
              <w:ind w:right="155"/>
              <w:spacing w:after="0" w:line="157"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88"/>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96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Amortization</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162,585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(109,964)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172,280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(120,117)</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Trademarks and trade names</w:t>
            </w:r>
          </w:p>
        </w:tc>
        <w:tc>
          <w:tcPr>
            <w:tcW w:w="1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46,129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(15,806)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44,226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(13,742)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15,514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1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225,953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(132,927)</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224,218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(140,829)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85</w:t>
            </w: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8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and amortizable intangible assets activity for the years ended December 31, 2012 and 2013: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Acquired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40" w:type="dxa"/>
            <w:vAlign w:val="bottom"/>
          </w:tcPr>
          <w:p>
            <w:pPr>
              <w:spacing w:after="0"/>
              <w:rPr>
                <w:sz w:val="12"/>
                <w:szCs w:val="12"/>
                <w:color w:val="auto"/>
              </w:rPr>
            </w:pPr>
          </w:p>
        </w:tc>
        <w:tc>
          <w:tcPr>
            <w:tcW w:w="10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Goodwill</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January 1, 2012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99,878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488,628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588,506</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2012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23,668</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Impairment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(28,740)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(22,129)</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3,825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2012</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83,389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481,760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565,149</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2013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33,279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61,196</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Impairment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(18,425)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(21,116)</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7,183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93,026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498,435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591,461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The Company performs its annual goodwill impairment test during the fourth quarter of each year. As a result of the 2013 and 2012 annual goodwill impairment tests, the Company recorded non-cash goodwill impairment charges of $18.4 million and $23.5 million, respectively. The annual goodwill impairment test completed during the fourth quarter of 2011 resulted in no impairment charge.</w:t>
      </w:r>
    </w:p>
    <w:p>
      <w:pPr>
        <w:spacing w:after="0" w:line="7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performing the annual goodwill impairment test, management must apply judgment in determining the estimated fair value of a business and uses all available information to make these fair value determinations, including discounted projected future cash flow analysis using discount rates commensurate with the risks involved in the assets, together with comparable sales prices that the Company or another purchaser would likely pay for the respective assets.</w:t>
      </w:r>
    </w:p>
    <w:p>
      <w:pPr>
        <w:spacing w:after="0" w:line="39"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Of the total goodwill balance of $498.4 million as of December 31, 2013, $246.3 million relates to the Money Transfer Segment, $187.7 million relates to the epay Segment and the remaining $64.5 million relates to the EFT Processing Segment. Amortization expense for intangible assets with finite lives was $21.1 million, $22.1 million and $22.2 million for the years ended December 31, 2013, 2012 and 2011, respectively. Estimated annual amortization expense, before income taxes, on intangible assets with finite lives as of December 31, 2013, is expected to total $18.2 million for 2014, $12.9 million for 2015, $11.3 million for 2016, $9.5 million for 2017 and $7.1 million for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Impairment Charges</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As a result of the 2013 annual goodwill impairment test, the Company recorded non-cash goodwill impairment charges related to its epay reporting units in Australia and Spain of $12.3 million and $6.1 million, respectively. The goodwill impairment charge in Australia was the result of continuing declines in the demand for mobile top-up services, caused by certain large retailers (which have a significant share of the retail market) negotiating direct agreements with two mobile operators and certain mobile operators modifying their distribution strategies to drive consumer demand for top-up services to on-line or mobile device channels. In Spain, the goodwill impairment charge was the result of the longer term effect of poor economic conditions, including continued high levels of unemployment and increased competitive pressures. In response to the business challenges in Australia and Spain, the Company has continued to sell additional products and services to mobile operators and develop strategies to increase the distribution of other prepaid products. However, in the fourth quarter of 2013, the Company concluded that while future cash flows from existing agreements with mobile operators and from the launch of new products would likely grow steadily over time, the growth would not add the level of cash flows previously forecasted. Based upon these revised future cash flow forecasts, the Company concluded that the resulting valuations were not sufficient to support the goodwill carrying values of epay Australia and epay Spain. Therefore, the impairment charges were recorded in the period. There are no remaining goodwill or acquired intangible assets in the epay Australia and Spain reporting units as of December 31, 2013.</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Impairment Charges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fourth quarter of 2012, epay Brazil recorded a goodwill impairment charge of $23.5 million and an additional $5.2 million impairment charge of other acquired intangibles assets, specifically customer relationships. The impairment charges were the cumulative result of a culmination of several factors in Brazil including, but not necessarily limited to, changes in mobile operator distribution strategies, delays in non-mobile product distribution and operating costs.</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initial factor contributing to the impairment charges was changes in certain mobile operators' distribution strategies throughout 2012. These changes limited our ability to distribute certain mobile operators' products in certain markets and had a negative impact on epay Brazil's 2012 results. While the changes affected the 2012 results, we continued to negotiate alternative arrangements with the mobile operators in order to regain profitability in Brazil. In the fourth quarter of 2012, we determined that these negotiations were not likely to result in arrangements that would restore our profitability from those products in the future.</w:t>
      </w:r>
    </w:p>
    <w:p>
      <w:pPr>
        <w:spacing w:after="0" w:line="8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While these distribution changes were occurring, the Company was also establishing plans to introduce other electronic payment products in the Brazilian market which was expected to increase profitability. As the plans became more concrete in the fourth quarter of 2012, the Company's assessment was that the added profitability from these new products would likely grow steadily over time, but would not add significant earnings as quickly as originally projected.</w:t>
      </w:r>
    </w:p>
    <w:p>
      <w:pPr>
        <w:spacing w:after="0" w:line="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Simultaneously with the changes in the mobile operators' distribution strategies, epay Brazil undertook efforts to align costs with revenues. While significant progress was made in reducing costs during 2012, the extent of that progress was constrained by the investments needed to launch the new electronic payment products. In the fourth quarter of 2012, the revised cost structure, which aligns costs with the decreased mobile revenues and supports the new products, was solidified and resulted in cost savings which were less than initially expected.</w:t>
      </w:r>
    </w:p>
    <w:p>
      <w:pPr>
        <w:spacing w:after="0" w:line="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Further, the changes in the mobile operators' distribution strategies accelerated efforts to pursue other distribution channels. In the fourth quarter of 2012, epay Brazil acquired new partners in these other channels which provided insight to the profit potential of these channels. The Company's assessment of the opportunity in these channels was that while these channels are expected to be profitable, they are not likely to have profit margins as great as the ones lost with the changes in mobile operators' distribution strategies previously discussed.</w:t>
      </w:r>
    </w:p>
    <w:p>
      <w:pPr>
        <w:spacing w:after="0" w:line="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described above, the Company had several initiatives to improve profitability which were evolving during the year. The collective impact of those initiatives was the key consideration to determining if the epay Brazil business could return to or exceed its previous profitability. While each initiative had the potential to significantly contribute to that goal, during the fourth quarter of 2012, the Company determined that each initiative was likely to contribute less than what was previously expected. The culmination of these various factors in the fourth quarter of 2012 led the Company to conclude that the resulting valuation was not sufficient to support the recorded value of its investment in epay Brazil and, therefore, it recorded the goodwill and other acquired intangible assets impairment charges in the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balances as of December 31, 2013 and 2012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5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7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84,511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69,648</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w w:val="94"/>
              </w:rPr>
              <w:t>Accrued amounts due to mobile operators and other content providers</w:t>
            </w:r>
          </w:p>
        </w:tc>
        <w:tc>
          <w:tcPr>
            <w:tcW w:w="3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78,398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64,715</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transfer settlement obligations</w:t>
            </w:r>
          </w:p>
        </w:tc>
        <w:tc>
          <w:tcPr>
            <w:tcW w:w="3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49,757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47,358</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213,284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183,406</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bottom w:val="single" w:sz="8" w:color="CCEEFF"/>
            </w:tcBorders>
            <w:vMerge w:val="restart"/>
          </w:tcPr>
          <w:p>
            <w:pPr>
              <w:jc w:val="right"/>
              <w:ind w:right="2810"/>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34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consist of the following as of December 31, 2013 and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As of December 31,</w:t>
            </w:r>
          </w:p>
        </w:tc>
      </w:tr>
      <w:tr>
        <w:trPr>
          <w:trHeight w:val="250"/>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Term loan, due 2016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68,000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74,500</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Revolving credit agreements, due 2016</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129,010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215,117</w:t>
            </w:r>
          </w:p>
        </w:tc>
      </w:tr>
      <w:tr>
        <w:trPr>
          <w:trHeight w:val="237"/>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197,010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289,617</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3.50% convertible debentures, unsecured, due 2025</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3,586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Obligations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1,051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r>
      <w:tr>
        <w:trPr>
          <w:trHeight w:val="297"/>
        </w:trPr>
        <w:tc>
          <w:tcPr>
            <w:tcW w:w="88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debt obligations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199,413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294,254</w:t>
            </w:r>
          </w:p>
        </w:tc>
      </w:tr>
      <w:tr>
        <w:trPr>
          <w:trHeight w:val="251"/>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Long-term debt obligations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188,510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286,703</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2013, aggregate annual maturities of long-term debt are $10.9 million in 2014, $11.5 million in 2015, $177.0 million in 2016 and none thereafter. This maturity schedule reflects the term loan and revolving credit facilities maturing in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August 18, 2011, the Company and certain of its subsidiaries entered into an Amended and Restated Credit Agreement (the "Credit Agreement") with a lending syndicate consisting of nine banks (the "Lenders") with Bank of America, N.A. serving as Administrative Agent and Collateral Agent and U.S. Bank National Association serving as Syndication Agent. Under the Credit Agreement, the Lenders have made available a $355 million senior secured credit facility (the "Credit Facility") consisting of a $265 million five-year revolving credit facility, a $10 million five-year India revolving credit facility and an $80 million five-year term loan which was fully drawn at closing. The revolving credit facility allows for borrowings in U.S. dollars, euro, British pound sterling, Australian dollars and/or Indian rupees. In connection with entering into the Credit Agreement, $1.7 million of previously capitalized finance costs were written off during the year ended December 31, 2011 and included in loss on early retirement of debt in the Consolidated Statement of Income.</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revolving credit facility contains a $200 million sublimit for the issuance of letters of credit and a $25 million sublimit for swingline loans. Subject to certain conditions, the Company has the option to increase the Credit Facility by up to an additional $205 million by requesting additional commitments from existing or new lenders.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On October 11, 2012, the Company exercised this option and increased the aggregate commitments under the revolving credit facility from $275 million to</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$400 million as described in the Commitment Increase Agreement dated as of October 11, 2012. The Company remains entitled, subject to the arrangement of additional commitments with financial institutions, to increase the aggregate commitments under the senior secured revolving credit facility by an additional $80 million.</w:t>
      </w:r>
    </w:p>
    <w:p>
      <w:pPr>
        <w:spacing w:after="0" w:line="190"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Fees and interest on borrowings vary based upon the Company's consolidated total leverage ratio (as defined in the Credit Agreement) and will be based, in the case of letter of credit fees, on a margin, and in the case of interest, on a margin over London Inter-Bank Offered Rate (“LIBOR”) or a margin over the base rate, as selected by the Company, with the applicable margin ranging from 1.5% to 2.5% (or 0.5% to 1.5% for base rate loans). The base rate is the highest of (i) the Bank of America prime rate, (ii) the Federal Funds rate plus 0.50% or (iii) the Fixed LIBOR rate plus 1.00%. The term loan is subject to scheduled quarterly amortization payments, as set forth in the Credit Agreement. The maturity date for the Credit Facility is August 18, 2016, at which time the outstanding principal balance and all accrued interest will be due and payable in full. The weighted average interest rate of the Company's borrowings under the term loan and revolving credit facility was 1.7% as of December 31, 2013, and 2.0% and 2.5% as of December 31, 2012, respectively. Financing costs of $5.6 million have been deferred and are being amortized over the terms of the respective loans.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2013 and 2012, the Company had stand-by letters of credit/bank guarantees outstanding against the revolving credit facility of $58.7 million and $47.5 million, respectively. Stand-by letters of credit/bank guarantees reduce our borrowing capacity under the revolving credit facility and are generally used to secure trade credit and performance obligations. The Company pays an interest rate for stand-by letters of credit/bank guarantees at a rate that adjusts each quarter based upon the Company's consolidated total leverage ratio. As of December 31, 2013 and 2012, the stand-by letters of credit interest charges were 1.50% and 1.75% per annum, respectively.</w:t>
      </w:r>
    </w:p>
    <w:p>
      <w:pPr>
        <w:spacing w:after="0" w:line="18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Credit Agreement contains customary affirmative and negative covenants, events of default and financial covenants, including (all as defined in the Credit Agreement): (i) a Consolidated Total Leverage Ratio not to exceed 4.0 to 1.0; (ii) a Consolidated Senior Secured Leverage Ratio not to exceed 3.0 to 1.0; and (iii) a Consolidated Fixed Charge Coverage Ratio of not less than 1.5 to 1.0. Subject to meeting certain leverage ratio and liquidity requirements (as defined in the Credit Agreement), the Company is permitted to pay dividends, repurchase common stock and repurchase subordinated debt.</w:t>
      </w:r>
    </w:p>
    <w:p>
      <w:pPr>
        <w:spacing w:after="0" w:line="154"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Company and certain subsidiaries have guaranteed the repayment of obligations under the Credit Facility and have granted pledges of the shares of certain subsidiaries along with a security interest in certain other personal property collateral of the Company and certain subsidiaries.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Debentures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October 4, 2005, the Company completed the sale of $175.0 million of Contingent Convertible Debentures Due 2025 (“Convertible Debentures”). The Convertible Debentures had an interest rate of 3.50% per annum payable semi-annually in April and October, and were convertible into shares of Euronet Common Stock at a conversion price of $40.48 per share if certain conditions are met (relating to the closing prices of Euronet Common Stock exceeding certain thresholds for specified periods). Holders of the Convertible Debentures had the option to require the Company to purchase their debentures at par on October 15, 2012, and had additional options to require the Company to purchase their debentures at par on October 15, 2015 and 2020, or upon a change in control of the Company. In connection with the issuance of the Convertible Debentures, the Company recorded $5.1 million in debt issuance costs, which were amortized through October 15, 2012.</w:t>
      </w:r>
    </w:p>
    <w:p>
      <w:pPr>
        <w:spacing w:after="0" w:line="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September 2011, the Company repurchased $3.6 million in principal amount of Convertible Debentures, which resulted in a loss on early retirement of debt of $0.2 million.</w:t>
      </w:r>
    </w:p>
    <w:p>
      <w:pPr>
        <w:spacing w:after="0" w:line="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October 2012, holders of the Convertible Debentures exercised their option to require the Company to purchase at par $167.9 million of Convertible Debentures.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2013, the Company repurchased at par the remaining principal amount of Convertible Debentures outstanding.</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Contractual interest expense was $0.1 million, $4.8 million and $6.1 million for the years ended December 31, 2013, 2012 and 2011, respectively. The effective interest rate was 8.4% for all periods through October 15, 2012, and 3.5% thereafter. As of December 31, 2011, unamortized discounts were $6.3 million, and were fully amortized through October 15, 2012. Discount accretion expense was $6.3 million and $7.6 million for the years ended December 31, 2012 and 2011,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Certain of the Company's foreign subsidiaries have available lines of credit and an overdraft credit facility that provides for short-term borrowings that are used from time to time for working capital purposes. As of December 31, 2013 and 2012, borrowings under these arrangements were $2.4 million and $1.1 million,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 and Hedging Activities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As of December 31, 2013 and 2012, the Company had foreign currency forward contracts outstanding with a notional value of $127.9 million and $128.2 million, respectively, primarily in Australian dollars, euros, Mexican Pesos and U.S. dollars, which were not designated as hedges and had a weighted average remaining maturity of three days. Although the Company enters into foreign currency contracts to offset foreign currency exposure related to the notional value of money transfer transactions collected in currencies other than the U.S. dollar and, on occasion, short-term loans payable in currencies other than the U.S. Dollar, these contracts are not designated as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This is mainly due to the relatively short duration of the contracts, typically 1 to 14 days, and the frequency with which the Company enters into them. Due to the short duration of the contracts and the Company’s credit profile, the Company is generally not required to post collateral with respect to its foreign currency forward contracts.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 required tabular disclosures for derivative instruments are as follows:</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2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w w:val="95"/>
              </w:rPr>
              <w:t>Gross Amount of Recognized Assets</w:t>
            </w:r>
          </w:p>
        </w:tc>
        <w:tc>
          <w:tcPr>
            <w:tcW w:w="120" w:type="dxa"/>
            <w:vAlign w:val="bottom"/>
            <w:vMerge w:val="restart"/>
          </w:tcPr>
          <w:p>
            <w:pPr>
              <w:spacing w:after="0"/>
              <w:rPr>
                <w:sz w:val="14"/>
                <w:szCs w:val="14"/>
                <w:color w:val="auto"/>
              </w:rPr>
            </w:pPr>
          </w:p>
        </w:tc>
        <w:tc>
          <w:tcPr>
            <w:tcW w:w="26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Gross Amount of Offset in the</w:t>
            </w:r>
          </w:p>
        </w:tc>
        <w:tc>
          <w:tcPr>
            <w:tcW w:w="2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Net Amount of Assets Presented in the</w:t>
            </w:r>
          </w:p>
        </w:tc>
        <w:tc>
          <w:tcPr>
            <w:tcW w:w="0" w:type="dxa"/>
            <w:vAlign w:val="bottom"/>
          </w:tcPr>
          <w:p>
            <w:pPr>
              <w:spacing w:after="0"/>
              <w:rPr>
                <w:sz w:val="1"/>
                <w:szCs w:val="1"/>
                <w:color w:val="auto"/>
              </w:rPr>
            </w:pPr>
          </w:p>
        </w:tc>
      </w:tr>
      <w:tr>
        <w:trPr>
          <w:trHeight w:val="192"/>
        </w:trPr>
        <w:tc>
          <w:tcPr>
            <w:tcW w:w="1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5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Consolidated Balance Sheets</w:t>
            </w:r>
          </w:p>
        </w:tc>
        <w:tc>
          <w:tcPr>
            <w:tcW w:w="100" w:type="dxa"/>
            <w:vAlign w:val="bottom"/>
          </w:tcPr>
          <w:p>
            <w:pPr>
              <w:spacing w:after="0"/>
              <w:rPr>
                <w:sz w:val="16"/>
                <w:szCs w:val="16"/>
                <w:color w:val="auto"/>
              </w:rPr>
            </w:pP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Consolidated Balance Sheets</w:t>
            </w:r>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2180" w:type="dxa"/>
            <w:vAlign w:val="bottom"/>
          </w:tcPr>
          <w:p>
            <w:pPr>
              <w:jc w:val="center"/>
              <w:ind w:left="388"/>
              <w:spacing w:after="0" w:line="153" w:lineRule="exact"/>
              <w:rPr>
                <w:sz w:val="20"/>
                <w:szCs w:val="20"/>
                <w:color w:val="auto"/>
              </w:rPr>
            </w:pPr>
            <w:r>
              <w:rPr>
                <w:rFonts w:ascii="Arial" w:cs="Arial" w:eastAsia="Arial" w:hAnsi="Arial"/>
                <w:sz w:val="14"/>
                <w:szCs w:val="14"/>
                <w:b w:val="1"/>
                <w:bCs w:val="1"/>
                <w:color w:val="auto"/>
                <w:w w:val="90"/>
              </w:rPr>
              <w:t>Consolidated Balance</w:t>
            </w:r>
          </w:p>
        </w:tc>
        <w:tc>
          <w:tcPr>
            <w:tcW w:w="13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December 31, 2013</w:t>
            </w:r>
          </w:p>
        </w:tc>
        <w:tc>
          <w:tcPr>
            <w:tcW w:w="1260" w:type="dxa"/>
            <w:vAlign w:val="bottom"/>
            <w:gridSpan w:val="2"/>
          </w:tcPr>
          <w:p>
            <w:pPr>
              <w:jc w:val="right"/>
              <w:ind w:right="260"/>
              <w:spacing w:after="0" w:line="153" w:lineRule="exact"/>
              <w:rPr>
                <w:sz w:val="20"/>
                <w:szCs w:val="20"/>
                <w:color w:val="auto"/>
              </w:rPr>
            </w:pPr>
            <w:r>
              <w:rPr>
                <w:rFonts w:ascii="Arial" w:cs="Arial" w:eastAsia="Arial" w:hAnsi="Arial"/>
                <w:sz w:val="14"/>
                <w:szCs w:val="14"/>
                <w:b w:val="1"/>
                <w:bCs w:val="1"/>
                <w:color w:val="auto"/>
              </w:rPr>
              <w:t>December 31,</w:t>
            </w:r>
          </w:p>
        </w:tc>
        <w:tc>
          <w:tcPr>
            <w:tcW w:w="1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2013</w:t>
            </w: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2013</w:t>
            </w: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20"/>
                <w:szCs w:val="20"/>
                <w:color w:val="auto"/>
              </w:rPr>
            </w:pPr>
            <w:r>
              <w:rPr>
                <w:rFonts w:ascii="Arial" w:cs="Arial" w:eastAsia="Arial" w:hAnsi="Arial"/>
                <w:sz w:val="14"/>
                <w:szCs w:val="14"/>
                <w:color w:val="auto"/>
              </w:rPr>
              <w:t>(in thousands)</w:t>
            </w:r>
          </w:p>
        </w:tc>
        <w:tc>
          <w:tcPr>
            <w:tcW w:w="2180" w:type="dxa"/>
            <w:vAlign w:val="bottom"/>
          </w:tcPr>
          <w:p>
            <w:pPr>
              <w:jc w:val="center"/>
              <w:ind w:left="388"/>
              <w:spacing w:after="0"/>
              <w:rPr>
                <w:sz w:val="20"/>
                <w:szCs w:val="20"/>
                <w:color w:val="auto"/>
              </w:rPr>
            </w:pPr>
            <w:r>
              <w:rPr>
                <w:rFonts w:ascii="Arial" w:cs="Arial" w:eastAsia="Arial" w:hAnsi="Arial"/>
                <w:sz w:val="14"/>
                <w:szCs w:val="14"/>
                <w:b w:val="1"/>
                <w:bCs w:val="1"/>
                <w:color w:val="auto"/>
                <w:w w:val="91"/>
              </w:rPr>
              <w:t>Sheet Location</w:t>
            </w:r>
          </w:p>
        </w:tc>
        <w:tc>
          <w:tcPr>
            <w:tcW w:w="1380" w:type="dxa"/>
            <w:vAlign w:val="bottom"/>
            <w:vMerge w:val="continue"/>
          </w:tcPr>
          <w:p>
            <w:pPr>
              <w:spacing w:after="0"/>
              <w:rPr>
                <w:sz w:val="16"/>
                <w:szCs w:val="16"/>
                <w:color w:val="auto"/>
              </w:rPr>
            </w:pPr>
          </w:p>
        </w:tc>
        <w:tc>
          <w:tcPr>
            <w:tcW w:w="1140" w:type="dxa"/>
            <w:vAlign w:val="bottom"/>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140" w:type="dxa"/>
            <w:vAlign w:val="bottom"/>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140" w:type="dxa"/>
            <w:vAlign w:val="bottom"/>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currency</w:t>
            </w:r>
          </w:p>
        </w:tc>
        <w:tc>
          <w:tcPr>
            <w:tcW w:w="12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Other Current</w:t>
            </w:r>
          </w:p>
        </w:tc>
        <w:tc>
          <w:tcPr>
            <w:tcW w:w="12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vMerge w:val="restart"/>
            <w:shd w:val="clear" w:color="auto" w:fill="CCEEFF"/>
          </w:tcPr>
          <w:p>
            <w:pPr>
              <w:jc w:val="right"/>
              <w:ind w:right="282"/>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40" w:type="dxa"/>
            <w:vAlign w:val="bottom"/>
            <w:tcBorders>
              <w:top w:val="single" w:sz="8" w:color="auto"/>
            </w:tcBorders>
            <w:vMerge w:val="restart"/>
            <w:shd w:val="clear" w:color="auto" w:fill="CCEEFF"/>
          </w:tcPr>
          <w:p>
            <w:pPr>
              <w:spacing w:after="0"/>
              <w:rPr>
                <w:sz w:val="20"/>
                <w:szCs w:val="20"/>
                <w:color w:val="auto"/>
              </w:rPr>
            </w:pPr>
          </w:p>
        </w:tc>
        <w:tc>
          <w:tcPr>
            <w:tcW w:w="100" w:type="dxa"/>
            <w:vAlign w:val="bottom"/>
            <w:tcBorders>
              <w:top w:val="single" w:sz="8" w:color="CCEEFF"/>
            </w:tcBorders>
            <w:vMerge w:val="restart"/>
            <w:shd w:val="clear" w:color="auto" w:fill="CCEEFF"/>
          </w:tcPr>
          <w:p>
            <w:pPr>
              <w:spacing w:after="0"/>
              <w:rPr>
                <w:sz w:val="20"/>
                <w:szCs w:val="20"/>
                <w:color w:val="auto"/>
              </w:rPr>
            </w:pPr>
          </w:p>
        </w:tc>
        <w:tc>
          <w:tcPr>
            <w:tcW w:w="4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vMerge w:val="restart"/>
            <w:shd w:val="clear" w:color="auto" w:fill="CCEEFF"/>
          </w:tcPr>
          <w:p>
            <w:pPr>
              <w:spacing w:after="0"/>
              <w:rPr>
                <w:sz w:val="20"/>
                <w:szCs w:val="2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derivative contracts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Assets</w:t>
            </w: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gridSpan w:val="3"/>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gridSpan w:val="3"/>
            <w:vMerge w:val="continue"/>
            <w:shd w:val="clear" w:color="auto" w:fill="CCEEFF"/>
          </w:tcPr>
          <w:p>
            <w:pPr>
              <w:spacing w:after="0"/>
              <w:rPr>
                <w:sz w:val="20"/>
                <w:szCs w:val="20"/>
                <w:color w:val="auto"/>
              </w:rPr>
            </w:pPr>
          </w:p>
        </w:tc>
        <w:tc>
          <w:tcPr>
            <w:tcW w:w="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7"/>
            <w:vMerge w:val="restart"/>
          </w:tcPr>
          <w:p>
            <w:pPr>
              <w:ind w:left="60"/>
              <w:spacing w:after="0"/>
              <w:rPr>
                <w:sz w:val="20"/>
                <w:szCs w:val="20"/>
                <w:color w:val="auto"/>
              </w:rPr>
            </w:pPr>
            <w:r>
              <w:rPr>
                <w:rFonts w:ascii="Arial" w:cs="Arial" w:eastAsia="Arial" w:hAnsi="Arial"/>
                <w:sz w:val="14"/>
                <w:szCs w:val="14"/>
                <w:b w:val="1"/>
                <w:bCs w:val="1"/>
                <w:color w:val="auto"/>
                <w:w w:val="91"/>
              </w:rPr>
              <w:t>Gross Amount of Recognized Liabilities</w:t>
            </w:r>
          </w:p>
        </w:tc>
        <w:tc>
          <w:tcPr>
            <w:tcW w:w="1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8"/>
              </w:rPr>
              <w:t>Gross Amount of Offset in the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9"/>
          </w:tcPr>
          <w:p>
            <w:pPr>
              <w:jc w:val="center"/>
              <w:spacing w:after="0"/>
              <w:rPr>
                <w:sz w:val="20"/>
                <w:szCs w:val="20"/>
                <w:color w:val="auto"/>
              </w:rPr>
            </w:pPr>
            <w:r>
              <w:rPr>
                <w:rFonts w:ascii="Arial" w:cs="Arial" w:eastAsia="Arial" w:hAnsi="Arial"/>
                <w:sz w:val="14"/>
                <w:szCs w:val="14"/>
                <w:b w:val="1"/>
                <w:bCs w:val="1"/>
                <w:color w:val="auto"/>
                <w:w w:val="93"/>
              </w:rPr>
              <w:t>Net Amount of Liabilities Presented in</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Borders>
              <w:bottom w:val="single" w:sz="8" w:color="auto"/>
            </w:tcBorders>
            <w:gridSpan w:val="7"/>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w w:val="97"/>
              </w:rPr>
              <w:t>Consolidated Balance Sheets</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89"/>
              </w:rPr>
              <w:t>the Consolidated Balance Sheets</w:t>
            </w: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Consolidated Balance</w:t>
            </w: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5"/>
              </w:rPr>
              <w:t>December 31, 2013</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4"/>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December 31, 2013</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3"/>
          </w:tcPr>
          <w:p>
            <w:pPr>
              <w:jc w:val="right"/>
              <w:ind w:right="120"/>
              <w:spacing w:after="0" w:line="153" w:lineRule="exact"/>
              <w:rPr>
                <w:sz w:val="20"/>
                <w:szCs w:val="20"/>
                <w:color w:val="auto"/>
              </w:rPr>
            </w:pPr>
            <w:r>
              <w:rPr>
                <w:rFonts w:ascii="Arial" w:cs="Arial" w:eastAsia="Arial" w:hAnsi="Arial"/>
                <w:sz w:val="14"/>
                <w:szCs w:val="14"/>
                <w:b w:val="1"/>
                <w:bCs w:val="1"/>
                <w:color w:val="auto"/>
                <w:w w:val="90"/>
              </w:rPr>
              <w:t>December 31,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5"/>
              </w:rPr>
              <w:t>December 31, 2013</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right"/>
              <w:ind w:right="57"/>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Sheet Location</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2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w:t>
            </w:r>
          </w:p>
        </w:tc>
        <w:tc>
          <w:tcPr>
            <w:tcW w:w="1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Other Current</w:t>
            </w:r>
          </w:p>
        </w:tc>
        <w:tc>
          <w:tcPr>
            <w:tcW w:w="48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142</w:t>
            </w:r>
          </w:p>
        </w:tc>
        <w:tc>
          <w:tcPr>
            <w:tcW w:w="40" w:type="dxa"/>
            <w:vAlign w:val="bottom"/>
            <w:vMerge w:val="restart"/>
            <w:shd w:val="clear" w:color="auto" w:fill="CCEEFF"/>
          </w:tcPr>
          <w:p>
            <w:pPr>
              <w:spacing w:after="0"/>
              <w:rPr>
                <w:sz w:val="19"/>
                <w:szCs w:val="19"/>
                <w:color w:val="auto"/>
              </w:rPr>
            </w:pPr>
          </w:p>
        </w:tc>
        <w:tc>
          <w:tcPr>
            <w:tcW w:w="100" w:type="dxa"/>
            <w:vAlign w:val="bottom"/>
            <w:vMerge w:val="restart"/>
            <w:shd w:val="clear" w:color="auto" w:fill="CCEEFF"/>
          </w:tcPr>
          <w:p>
            <w:pPr>
              <w:spacing w:after="0"/>
              <w:rPr>
                <w:sz w:val="19"/>
                <w:szCs w:val="19"/>
                <w:color w:val="auto"/>
              </w:rPr>
            </w:pPr>
          </w:p>
        </w:tc>
        <w:tc>
          <w:tcPr>
            <w:tcW w:w="4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derivative contracts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Liabilities</w:t>
            </w:r>
          </w:p>
        </w:tc>
        <w:tc>
          <w:tcPr>
            <w:tcW w:w="4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gridSpan w:val="3"/>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gridSpan w:val="3"/>
            <w:vMerge w:val="continue"/>
            <w:shd w:val="clear" w:color="auto" w:fill="CCEEFF"/>
          </w:tcPr>
          <w:p>
            <w:pPr>
              <w:spacing w:after="0"/>
              <w:rPr>
                <w:sz w:val="20"/>
                <w:szCs w:val="20"/>
                <w:color w:val="auto"/>
              </w:rPr>
            </w:pPr>
          </w:p>
        </w:tc>
        <w:tc>
          <w:tcPr>
            <w:tcW w:w="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9"/>
          </w:tcPr>
          <w:p>
            <w:pPr>
              <w:jc w:val="center"/>
              <w:ind w:right="337"/>
              <w:spacing w:after="0"/>
              <w:rPr>
                <w:sz w:val="20"/>
                <w:szCs w:val="20"/>
                <w:color w:val="auto"/>
              </w:rPr>
            </w:pPr>
            <w:r>
              <w:rPr>
                <w:rFonts w:ascii="Arial" w:cs="Arial" w:eastAsia="Arial" w:hAnsi="Arial"/>
                <w:sz w:val="14"/>
                <w:szCs w:val="14"/>
                <w:b w:val="1"/>
                <w:bCs w:val="1"/>
                <w:color w:val="auto"/>
                <w:w w:val="90"/>
              </w:rPr>
              <w:t>Amount of Loss Recognized</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8"/>
          </w:tcPr>
          <w:p>
            <w:pPr>
              <w:jc w:val="center"/>
              <w:ind w:left="224"/>
              <w:spacing w:after="0"/>
              <w:rPr>
                <w:sz w:val="20"/>
                <w:szCs w:val="20"/>
                <w:color w:val="auto"/>
              </w:rPr>
            </w:pPr>
            <w:r>
              <w:rPr>
                <w:rFonts w:ascii="Arial" w:cs="Arial" w:eastAsia="Arial" w:hAnsi="Arial"/>
                <w:sz w:val="14"/>
                <w:szCs w:val="14"/>
                <w:b w:val="1"/>
                <w:bCs w:val="1"/>
                <w:color w:val="auto"/>
                <w:w w:val="94"/>
              </w:rPr>
              <w:t>in Income on Derivative</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Location of Loss</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9"/>
          </w:tcPr>
          <w:p>
            <w:pPr>
              <w:jc w:val="center"/>
              <w:ind w:right="337"/>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gridSpan w:val="4"/>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Recognized in Income</w:t>
            </w: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gridSpan w:val="3"/>
            <w:vMerge w:val="restart"/>
          </w:tcPr>
          <w:p>
            <w:pPr>
              <w:jc w:val="right"/>
              <w:ind w:right="24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1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on Derivative</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gridSpan w:val="12"/>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hedging instruments under ASC Topic 815</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9"/>
          </w:tcPr>
          <w:p>
            <w:pPr>
              <w:jc w:val="center"/>
              <w:ind w:right="420"/>
              <w:spacing w:after="0"/>
              <w:rPr>
                <w:sz w:val="20"/>
                <w:szCs w:val="20"/>
                <w:color w:val="auto"/>
              </w:rPr>
            </w:pPr>
            <w:r>
              <w:rPr>
                <w:rFonts w:ascii="Arial" w:cs="Arial" w:eastAsia="Arial" w:hAnsi="Arial"/>
                <w:sz w:val="18"/>
                <w:szCs w:val="18"/>
                <w:color w:val="auto"/>
                <w:w w:val="90"/>
              </w:rPr>
              <w:t>Foreign currency exchange gain</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4"/>
          </w:tcPr>
          <w:p>
            <w:pPr>
              <w:ind w:left="40"/>
              <w:spacing w:after="0"/>
              <w:rPr>
                <w:sz w:val="20"/>
                <w:szCs w:val="20"/>
                <w:color w:val="auto"/>
              </w:rPr>
            </w:pPr>
            <w:r>
              <w:rPr>
                <w:rFonts w:ascii="Arial" w:cs="Arial" w:eastAsia="Arial" w:hAnsi="Arial"/>
                <w:sz w:val="18"/>
                <w:szCs w:val="18"/>
                <w:color w:val="auto"/>
              </w:rPr>
              <w:t>Foreign currency derivative contracts</w:t>
            </w: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(loss), net</w:t>
            </w:r>
          </w:p>
        </w:tc>
        <w:tc>
          <w:tcPr>
            <w:tcW w:w="14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gridSpan w:val="3"/>
          </w:tcPr>
          <w:p>
            <w:pPr>
              <w:ind w:left="180"/>
              <w:spacing w:after="0"/>
              <w:rPr>
                <w:sz w:val="20"/>
                <w:szCs w:val="20"/>
                <w:color w:val="auto"/>
              </w:rPr>
            </w:pPr>
            <w:r>
              <w:rPr>
                <w:rFonts w:ascii="Arial" w:cs="Arial" w:eastAsia="Arial" w:hAnsi="Arial"/>
                <w:sz w:val="18"/>
                <w:szCs w:val="18"/>
                <w:color w:val="auto"/>
                <w:w w:val="99"/>
              </w:rPr>
              <w:t>(850)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gridSpan w:val="3"/>
          </w:tcPr>
          <w:p>
            <w:pPr>
              <w:jc w:val="center"/>
              <w:ind w:left="114"/>
              <w:spacing w:after="0"/>
              <w:rPr>
                <w:sz w:val="20"/>
                <w:szCs w:val="20"/>
                <w:color w:val="auto"/>
              </w:rPr>
            </w:pPr>
            <w:r>
              <w:rPr>
                <w:rFonts w:ascii="Arial" w:cs="Arial" w:eastAsia="Arial" w:hAnsi="Arial"/>
                <w:sz w:val="18"/>
                <w:szCs w:val="18"/>
                <w:color w:val="auto"/>
                <w:w w:val="95"/>
              </w:rPr>
              <w:t>(618)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17, Financial Instruments and Fair Value Measurements, for the determination of the fair values of derivatives.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leases certain of its ATMs, computer equipment and vehicles under capital lease agreements that expire between the years of 2014 and 2018 and bear interest at rates between 2.2% and 14.4%. The lessors for these leases hold a security interest in the equipment leased under the respective capital lease agreements. Lease installments are paid on a monthly, quarterly or semi-annual basis. Certain leases contain a bargain purchase option at the conclusion of the lease period.</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gross amount of the assets and related accumulated amortization recorded within property and equipment and subject to capital leases as of December 31, 2013 and 2012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2012</w:t>
            </w: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13,101</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3,165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3,019</w:t>
            </w: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16,120</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(8,030)</w:t>
            </w: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7,001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8,090</w:t>
            </w:r>
          </w:p>
        </w:tc>
      </w:tr>
      <w:tr>
        <w:trPr>
          <w:trHeight w:val="20"/>
        </w:trPr>
        <w:tc>
          <w:tcPr>
            <w:tcW w:w="9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color w:val="auto"/>
        </w:rPr>
        <w:t xml:space="preserve">Non-cash financing and investing activities for the years ended December 31, 2013, 2012 and 2011 represented </w:t>
      </w:r>
      <w:r>
        <w:rPr>
          <w:rFonts w:ascii="Arial" w:cs="Arial" w:eastAsia="Arial" w:hAnsi="Arial"/>
          <w:sz w:val="18"/>
          <w:szCs w:val="18"/>
          <w:b w:val="1"/>
          <w:bCs w:val="1"/>
          <w:color w:val="auto"/>
        </w:rPr>
        <w:t>c</w:t>
      </w:r>
      <w:r>
        <w:rPr>
          <w:rFonts w:ascii="Arial" w:cs="Arial" w:eastAsia="Arial" w:hAnsi="Arial"/>
          <w:sz w:val="18"/>
          <w:szCs w:val="18"/>
          <w:color w:val="auto"/>
        </w:rPr>
        <w:t>apital lease obligations of $0.9 million, $3.4 million and $4.6 million, respectively, incurred when the Company entered into leases primarily for new ATMs, to upgrade ATMs or for data center computer equipment.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The Company has non-cancelable operating leases that expire between the years of 2014 and 2023. Certain of these leases contain renewal options and escalation provisions. The Company recognizes rent expense under the straight-line method over the term of the lease. Rent expense for the years ended December 31, 2013, 2012 and 2011 amounted to $54.0 million, $49.0 million and $40.4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lease payments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the capital leases and the non-cancelable operating leases (with initial lease terms in excess of one year)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433"/>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34"/>
              <w:spacing w:after="0"/>
              <w:rPr>
                <w:sz w:val="20"/>
                <w:szCs w:val="20"/>
                <w:color w:val="auto"/>
              </w:rPr>
            </w:pPr>
            <w:r>
              <w:rPr>
                <w:rFonts w:ascii="Arial" w:cs="Arial" w:eastAsia="Arial" w:hAnsi="Arial"/>
                <w:sz w:val="14"/>
                <w:szCs w:val="14"/>
                <w:b w:val="1"/>
                <w:bCs w:val="1"/>
                <w:color w:val="auto"/>
              </w:rPr>
              <w:t>Operating</w:t>
            </w:r>
          </w:p>
        </w:tc>
      </w:tr>
      <w:tr>
        <w:trPr>
          <w:trHeight w:val="192"/>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Leases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Leases</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2,573</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39,694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34,019</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28,686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21,226</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14,411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12,433</w:t>
            </w:r>
          </w:p>
        </w:tc>
      </w:tr>
      <w:tr>
        <w:trPr>
          <w:trHeight w:val="297"/>
        </w:trPr>
        <w:tc>
          <w:tcPr>
            <w:tcW w:w="83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 minimum lease payments</w:t>
            </w:r>
          </w:p>
        </w:tc>
        <w:tc>
          <w:tcPr>
            <w:tcW w:w="320" w:type="dxa"/>
            <w:vAlign w:val="bottom"/>
            <w:tcBorders>
              <w:top w:val="single" w:sz="8" w:color="auto"/>
              <w:bottom w:val="single" w:sz="8" w:color="CCEEFF"/>
            </w:tcBorders>
          </w:tcPr>
          <w:p>
            <w:pPr>
              <w:spacing w:after="0"/>
              <w:rPr>
                <w:sz w:val="24"/>
                <w:szCs w:val="24"/>
                <w:color w:val="auto"/>
              </w:rPr>
            </w:pPr>
          </w:p>
        </w:tc>
        <w:tc>
          <w:tcPr>
            <w:tcW w:w="1160" w:type="dxa"/>
            <w:vAlign w:val="bottom"/>
            <w:tcBorders>
              <w:top w:val="single" w:sz="8" w:color="auto"/>
              <w:bottom w:val="single" w:sz="8" w:color="CCEEFF"/>
            </w:tcBorders>
          </w:tcPr>
          <w:p>
            <w:pPr>
              <w:jc w:val="right"/>
              <w:ind w:right="13"/>
              <w:spacing w:after="0"/>
              <w:rPr>
                <w:sz w:val="20"/>
                <w:szCs w:val="20"/>
                <w:color w:val="auto"/>
              </w:rPr>
            </w:pPr>
            <w:r>
              <w:rPr>
                <w:rFonts w:ascii="Arial" w:cs="Arial" w:eastAsia="Arial" w:hAnsi="Arial"/>
                <w:sz w:val="18"/>
                <w:szCs w:val="18"/>
                <w:color w:val="auto"/>
              </w:rPr>
              <w:t>5,673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150,469</w:t>
            </w: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amounts representing interest</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Present value of net minimum capital lease payments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 of obligations under capital leases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r>
      <w:tr>
        <w:trPr>
          <w:trHeight w:val="257"/>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Obligations under capital leases, less current portion</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sources of income (loss) before income taxes for the years ended December 31, 2013, 2012 and 2011 are presented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taxes:</w:t>
            </w:r>
          </w:p>
        </w:tc>
        <w:tc>
          <w:tcPr>
            <w:tcW w:w="3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5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18,560</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(3,002)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(9,300)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96,525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50,336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72,092</w:t>
            </w:r>
          </w:p>
        </w:tc>
        <w:tc>
          <w:tcPr>
            <w:tcW w:w="0" w:type="dxa"/>
            <w:vAlign w:val="bottom"/>
          </w:tcPr>
          <w:p>
            <w:pPr>
              <w:spacing w:after="0"/>
              <w:rPr>
                <w:sz w:val="1"/>
                <w:szCs w:val="1"/>
                <w:color w:val="auto"/>
              </w:rPr>
            </w:pPr>
          </w:p>
        </w:tc>
      </w:tr>
      <w:tr>
        <w:trPr>
          <w:trHeight w:val="257"/>
        </w:trPr>
        <w:tc>
          <w:tcPr>
            <w:tcW w:w="4160" w:type="dxa"/>
            <w:vAlign w:val="bottom"/>
          </w:tcPr>
          <w:p>
            <w:pPr>
              <w:ind w:left="280"/>
              <w:spacing w:after="0"/>
              <w:rPr>
                <w:sz w:val="20"/>
                <w:szCs w:val="20"/>
                <w:color w:val="auto"/>
              </w:rPr>
            </w:pPr>
            <w:r>
              <w:rPr>
                <w:rFonts w:ascii="Arial" w:cs="Arial" w:eastAsia="Arial" w:hAnsi="Arial"/>
                <w:sz w:val="18"/>
                <w:szCs w:val="18"/>
                <w:color w:val="auto"/>
              </w:rPr>
              <w:t>Total income before income taxes</w:t>
            </w:r>
          </w:p>
        </w:tc>
        <w:tc>
          <w:tcPr>
            <w:tcW w:w="3280" w:type="dxa"/>
            <w:vAlign w:val="bottom"/>
            <w:gridSpan w:val="2"/>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115,085</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47,334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62,792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160" w:type="dxa"/>
            <w:vAlign w:val="bottom"/>
            <w:vMerge w:val="restart"/>
          </w:tcPr>
          <w:p>
            <w:pPr>
              <w:jc w:val="right"/>
              <w:ind w:right="143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6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Company's income tax expense for the years ended December 31, 2013, 2012 and 2011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2,114</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6,363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1,367</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31,791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23,679</w:t>
            </w:r>
          </w:p>
        </w:tc>
      </w:tr>
      <w:tr>
        <w:trPr>
          <w:trHeight w:val="237"/>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Total current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33,905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32,942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25,046</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1,206</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r>
      <w:tr>
        <w:trPr>
          <w:trHeight w:val="237"/>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Total deferred</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tax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27,732</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26,937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24,704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federal statutory income tax rate of 35% to the effective income tax rate for 2013, 2012 and 2011: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2011</w:t>
            </w: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income tax expense at applicable statutory rate</w:t>
            </w:r>
          </w:p>
        </w:tc>
        <w:tc>
          <w:tcPr>
            <w:tcW w:w="2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40,280</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16,567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21,977</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Tax effect of:</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income tax expense at statutory rates</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1,756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238</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Non-deductible expenses</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4,926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2,838</w:t>
            </w:r>
          </w:p>
        </w:tc>
      </w:tr>
      <w:tr>
        <w:trPr>
          <w:trHeight w:val="27"/>
        </w:trPr>
        <w:tc>
          <w:tcPr>
            <w:tcW w:w="4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Other permanent differences</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(1,442)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(1,771)</w:t>
            </w:r>
          </w:p>
        </w:tc>
      </w:tr>
      <w:tr>
        <w:trPr>
          <w:trHeight w:val="27"/>
        </w:trPr>
        <w:tc>
          <w:tcPr>
            <w:tcW w:w="4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Difference between U.S. federal and foreign tax rates</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(5,140)</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Provision in excess of statutory rates</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1,180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1,285</w:t>
            </w:r>
          </w:p>
        </w:tc>
      </w:tr>
      <w:tr>
        <w:trPr>
          <w:trHeight w:val="27"/>
        </w:trPr>
        <w:tc>
          <w:tcPr>
            <w:tcW w:w="4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federal and foreign valuation allowance</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5,900</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Impairment of goodwill and acquired intangible assets</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4,460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8,149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 gain</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Other</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2,624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1,764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(547)</w:t>
            </w:r>
          </w:p>
        </w:tc>
      </w:tr>
      <w:tr>
        <w:trPr>
          <w:trHeight w:val="27"/>
        </w:trPr>
        <w:tc>
          <w:tcPr>
            <w:tcW w:w="496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income tax expense</w:t>
            </w:r>
          </w:p>
        </w:tc>
        <w:tc>
          <w:tcPr>
            <w:tcW w:w="2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27,732</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26,937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24,704</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496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702"/>
        </w:trPr>
        <w:tc>
          <w:tcPr>
            <w:tcW w:w="4960" w:type="dxa"/>
            <w:vAlign w:val="bottom"/>
          </w:tcPr>
          <w:p>
            <w:pPr>
              <w:spacing w:after="0"/>
              <w:rPr>
                <w:sz w:val="24"/>
                <w:szCs w:val="24"/>
                <w:color w:val="auto"/>
              </w:rPr>
            </w:pPr>
          </w:p>
        </w:tc>
        <w:tc>
          <w:tcPr>
            <w:tcW w:w="2160" w:type="dxa"/>
            <w:vAlign w:val="bottom"/>
          </w:tcPr>
          <w:p>
            <w:pPr>
              <w:jc w:val="right"/>
              <w:ind w:right="123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tax effect of temporary differences and carryforwards that give rise to deferred tax assets and liabilities from continuing operations are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Tax loss carryforwards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27,602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28,285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6,344</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12,855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7,109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5,221</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Goodwill and intangible amortization</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37,221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37,265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9,532</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12,338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14,945</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110,480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108,701</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(80,995)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(89,863)</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18,838</w:t>
            </w: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Intangibles related to purchase accounting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(11,365)</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Goodwill and intangible amortization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(4,735)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(7,707)</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Intercompany notes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Capitalized 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(5,899)</w:t>
            </w: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(39,201)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(35,116)</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deferred tax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(16,278)</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Subsequently recognized tax benefits relating to the valuation allowance for deferred tax assets as of December 31, 2013 are expected to be allocated to income taxes in the Consolidated Statements of Income with the following exception. The tax benefit of net operating losses generated from share-based compensation have been excluded from the amounts disclosed for tax loss carryforwards and valuation allowance to the extent the benefit will be recognized in equity if realized. The excluded tax benefit of $22.8 million will be allocated to additional paid-in capital when utilized to offset taxable income.</w:t>
      </w:r>
    </w:p>
    <w:p>
      <w:pPr>
        <w:spacing w:after="0" w:line="1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2013, and 2012, the Company's U.S. federal and foreign tax loss carryforwards were $155.8 million and $152.1 million, respectively, and U.S. state tax loss carryforwards were $56.4 million and $50.3 million, respectively.</w:t>
      </w:r>
    </w:p>
    <w:p>
      <w:pPr>
        <w:spacing w:after="0" w:line="170"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the Company will only realize the benefits of these deductible differences, net of the existing valuation allowances, at December 31, 2013.</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2013, the Company had U.S. federal and foreign tax net operating loss carryforwards of $155.8 million, which will expire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8"/>
              </w:rPr>
              <w:t>Tax Effected</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140</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5,317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1,200</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3,926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641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111,905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36,499</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Unlimited</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26,969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5,726</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155,813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45,550</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Company's state tax net operating loss carryforwards of $56.4 million will expire periodically from 2014 through 2033.</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No provision has been made in the accounts as of December 31, 2013 for U.S. federal and state income taxes which would be payable if the gross undistributed earnings of the foreign subsidiaries were distributed to the Company since management has determined that the earnings are permanently reinvested. Gross undistributed earnings reinvested indefinitely in foreign subsidiaries aggregated $542.3 million as of December 31, 2013. The determination of the amount of unrecognized deferred U.S. income tax liabilities and foreign tax credits, if any, is not practicable to calculate at this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unrecognized tax benefits for the years ended December 31, 2013 and 2012 is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12,045</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5,570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1,293</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(1,208)</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14,242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11,370</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2013 and 2012, approximately $9.2 million and $5.7 million, respectively, of the unrecognized tax benefits would impact the Company's provision for income taxes and effective income tax rate, if recognized. Total estimated accrued interest and penalties related to the underpayment of income taxes was $2.2 million and $2.4 million as of December 31, 2013 and 2012, respectively. The following income tax years remain open in the Company's major jurisdictions as of December 31, 2013:</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ind w:left="40"/>
              <w:spacing w:after="0"/>
              <w:rPr>
                <w:sz w:val="20"/>
                <w:szCs w:val="20"/>
                <w:color w:val="auto"/>
              </w:rPr>
            </w:pPr>
            <w:r>
              <w:rPr>
                <w:rFonts w:ascii="Arial" w:cs="Arial" w:eastAsia="Arial" w:hAnsi="Arial"/>
                <w:sz w:val="18"/>
                <w:szCs w:val="18"/>
                <w:b w:val="1"/>
                <w:bCs w:val="1"/>
                <w:color w:val="auto"/>
              </w:rPr>
              <w:t>Jurisdictions</w:t>
            </w:r>
          </w:p>
        </w:tc>
        <w:tc>
          <w:tcPr>
            <w:tcW w:w="7040" w:type="dxa"/>
            <w:vAlign w:val="bottom"/>
          </w:tcPr>
          <w:p>
            <w:pPr>
              <w:ind w:left="320"/>
              <w:spacing w:after="0"/>
              <w:rPr>
                <w:sz w:val="20"/>
                <w:szCs w:val="20"/>
                <w:color w:val="auto"/>
              </w:rPr>
            </w:pPr>
            <w:r>
              <w:rPr>
                <w:rFonts w:ascii="Arial" w:cs="Arial" w:eastAsia="Arial" w:hAnsi="Arial"/>
                <w:sz w:val="18"/>
                <w:szCs w:val="18"/>
                <w:b w:val="1"/>
                <w:bCs w:val="1"/>
                <w:color w:val="auto"/>
              </w:rPr>
              <w:t>Periods</w:t>
            </w:r>
          </w:p>
        </w:tc>
      </w:tr>
      <w:tr>
        <w:trPr>
          <w:trHeight w:val="27"/>
        </w:trPr>
        <w:tc>
          <w:tcPr>
            <w:tcW w:w="1400" w:type="dxa"/>
            <w:vAlign w:val="bottom"/>
            <w:tcBorders>
              <w:bottom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r>
      <w:tr>
        <w:trPr>
          <w:trHeight w:val="244"/>
        </w:trPr>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7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2000 through 2002, 2004 through 2006, and 2010 through 2013</w:t>
            </w:r>
          </w:p>
        </w:tc>
      </w:tr>
      <w:tr>
        <w:trPr>
          <w:trHeight w:val="243"/>
        </w:trPr>
        <w:tc>
          <w:tcPr>
            <w:tcW w:w="1400" w:type="dxa"/>
            <w:vAlign w:val="bottom"/>
          </w:tcPr>
          <w:p>
            <w:pPr>
              <w:ind w:left="40"/>
              <w:spacing w:after="0"/>
              <w:rPr>
                <w:sz w:val="20"/>
                <w:szCs w:val="20"/>
                <w:color w:val="auto"/>
              </w:rPr>
            </w:pPr>
            <w:r>
              <w:rPr>
                <w:rFonts w:ascii="Arial" w:cs="Arial" w:eastAsia="Arial" w:hAnsi="Arial"/>
                <w:sz w:val="18"/>
                <w:szCs w:val="18"/>
                <w:color w:val="auto"/>
              </w:rPr>
              <w:t>Spain</w:t>
            </w:r>
          </w:p>
        </w:tc>
        <w:tc>
          <w:tcPr>
            <w:tcW w:w="7040" w:type="dxa"/>
            <w:vAlign w:val="bottom"/>
          </w:tcPr>
          <w:p>
            <w:pPr>
              <w:ind w:left="320"/>
              <w:spacing w:after="0"/>
              <w:rPr>
                <w:sz w:val="20"/>
                <w:szCs w:val="20"/>
                <w:color w:val="auto"/>
              </w:rPr>
            </w:pPr>
            <w:r>
              <w:rPr>
                <w:rFonts w:ascii="Arial" w:cs="Arial" w:eastAsia="Arial" w:hAnsi="Arial"/>
                <w:sz w:val="18"/>
                <w:szCs w:val="18"/>
                <w:color w:val="auto"/>
              </w:rPr>
              <w:t>2005 through 2013</w:t>
            </w:r>
          </w:p>
        </w:tc>
      </w:tr>
      <w:tr>
        <w:trPr>
          <w:trHeight w:val="27"/>
        </w:trPr>
        <w:tc>
          <w:tcPr>
            <w:tcW w:w="1400" w:type="dxa"/>
            <w:vAlign w:val="bottom"/>
          </w:tcPr>
          <w:p>
            <w:pPr>
              <w:spacing w:after="0"/>
              <w:rPr>
                <w:sz w:val="2"/>
                <w:szCs w:val="2"/>
                <w:color w:val="auto"/>
              </w:rPr>
            </w:pPr>
          </w:p>
        </w:tc>
        <w:tc>
          <w:tcPr>
            <w:tcW w:w="704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w:t>
            </w:r>
          </w:p>
        </w:tc>
        <w:tc>
          <w:tcPr>
            <w:tcW w:w="7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2009 through 2013</w:t>
            </w:r>
          </w:p>
        </w:tc>
      </w:tr>
      <w:tr>
        <w:trPr>
          <w:trHeight w:val="243"/>
        </w:trPr>
        <w:tc>
          <w:tcPr>
            <w:tcW w:w="1400" w:type="dxa"/>
            <w:vAlign w:val="bottom"/>
          </w:tcPr>
          <w:p>
            <w:pPr>
              <w:ind w:left="40"/>
              <w:spacing w:after="0"/>
              <w:rPr>
                <w:sz w:val="20"/>
                <w:szCs w:val="20"/>
                <w:color w:val="auto"/>
              </w:rPr>
            </w:pPr>
            <w:r>
              <w:rPr>
                <w:rFonts w:ascii="Arial" w:cs="Arial" w:eastAsia="Arial" w:hAnsi="Arial"/>
                <w:sz w:val="18"/>
                <w:szCs w:val="18"/>
                <w:color w:val="auto"/>
              </w:rPr>
              <w:t>U.K.</w:t>
            </w:r>
          </w:p>
        </w:tc>
        <w:tc>
          <w:tcPr>
            <w:tcW w:w="7040" w:type="dxa"/>
            <w:vAlign w:val="bottom"/>
          </w:tcPr>
          <w:p>
            <w:pPr>
              <w:ind w:left="320"/>
              <w:spacing w:after="0"/>
              <w:rPr>
                <w:sz w:val="20"/>
                <w:szCs w:val="20"/>
                <w:color w:val="auto"/>
              </w:rPr>
            </w:pPr>
            <w:r>
              <w:rPr>
                <w:rFonts w:ascii="Arial" w:cs="Arial" w:eastAsia="Arial" w:hAnsi="Arial"/>
                <w:sz w:val="18"/>
                <w:szCs w:val="18"/>
                <w:color w:val="auto"/>
              </w:rPr>
              <w:t>2008 through 2013</w:t>
            </w:r>
          </w:p>
        </w:tc>
      </w:tr>
      <w:tr>
        <w:trPr>
          <w:trHeight w:val="27"/>
        </w:trPr>
        <w:tc>
          <w:tcPr>
            <w:tcW w:w="1400" w:type="dxa"/>
            <w:vAlign w:val="bottom"/>
          </w:tcPr>
          <w:p>
            <w:pPr>
              <w:spacing w:after="0"/>
              <w:rPr>
                <w:sz w:val="2"/>
                <w:szCs w:val="2"/>
                <w:color w:val="auto"/>
              </w:rPr>
            </w:pPr>
          </w:p>
        </w:tc>
        <w:tc>
          <w:tcPr>
            <w:tcW w:w="704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7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2007 through 2013</w:t>
            </w:r>
          </w:p>
        </w:tc>
      </w:tr>
      <w:tr>
        <w:trPr>
          <w:trHeight w:val="675"/>
        </w:trPr>
        <w:tc>
          <w:tcPr>
            <w:tcW w:w="1400" w:type="dxa"/>
            <w:vAlign w:val="bottom"/>
          </w:tcPr>
          <w:p>
            <w:pPr>
              <w:spacing w:after="0"/>
              <w:rPr>
                <w:sz w:val="24"/>
                <w:szCs w:val="24"/>
                <w:color w:val="auto"/>
              </w:rPr>
            </w:pPr>
          </w:p>
        </w:tc>
        <w:tc>
          <w:tcPr>
            <w:tcW w:w="7040" w:type="dxa"/>
            <w:vAlign w:val="bottom"/>
          </w:tcPr>
          <w:p>
            <w:pPr>
              <w:ind w:left="4220"/>
              <w:spacing w:after="0"/>
              <w:rPr>
                <w:sz w:val="20"/>
                <w:szCs w:val="20"/>
                <w:color w:val="auto"/>
              </w:rPr>
            </w:pPr>
            <w:r>
              <w:rPr>
                <w:rFonts w:ascii="Arial" w:cs="Arial" w:eastAsia="Arial" w:hAnsi="Arial"/>
                <w:sz w:val="18"/>
                <w:szCs w:val="18"/>
                <w:color w:val="auto"/>
              </w:rPr>
              <w:t>94</w:t>
            </w:r>
          </w:p>
        </w:tc>
      </w:tr>
    </w:tbl>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application of ASC 740-10-25 and -30 requires significant judgment in assessing the outcome of future income tax examinations and their potential impact on the Company's estimated effective income tax rate and the value of deferred tax assets, such as those related to the Company's net operating loss carryforwards. It is reasonably possible that the balance of gross unrecognized tax benefits could significantly change within the next twelve months as a result of the resolution of audit examinations and expirations of certain statutes of limitations and, accordingly, materially affect our operating results. At this time, it is not possible to estimate the range of change due to the uncertainty of potential outcomes.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Valuation and Qualifying Accounts</w:t>
      </w:r>
    </w:p>
    <w:p>
      <w:pPr>
        <w:spacing w:after="0" w:line="229"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Accounts receivable balances are stated net of allowance for doubtful accounts. Historically, the Company has not experienced significant write-offs. The Company records allowances for doubtful accounts when it is probable that the accounts receivable balance will not be collected. The following table provides a summary of the allowance for doubtful accounts balances and activity for the years ended December 31, 2013, 2012 and 2011:</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2011</w:t>
            </w: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balance-allowance for doubtful accounts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21,512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14,787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14,924</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Additions-charged to expense</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7,007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9,201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5,046</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Amounts written off</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(6,058)</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Other (primarily changes in foreign currency exchange rates)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875</w:t>
            </w: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balance-allowance for doubtful accounts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22,079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21,512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14,787</w:t>
            </w: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 Plans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has share-based compensation plans (“SCP”) that allow it to grant restricted shares, or options to purchase shares, of Common Stock to certain current and prospective key employees, directors and consultants of the Company. These awards generally vest over periods ranging from three to seven years from the date of grant, are generally exercisable during the shorter of a ten-year term or the term of employment with the Company. Certain stock option grants vest over a five-year period, subject to the achievement of pre-determined performance targets. With the exception of certain awards made to the Company's employees in Germany, awards under the SCP are settled through the issuance of new shares under the provisions of the SCP. For Company employees in Germany, certain awards are settled through the issuance of treasury shares, which also reduces the number of shares available for future issuance under the SCP. As of December 31, 2013, the Company has approximately 5.3 million in total shares remaining available for issuance under the SCP.</w:t>
      </w:r>
    </w:p>
    <w:p>
      <w:pPr>
        <w:spacing w:after="0" w:line="19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Share-based compensation expense was $11.5 million, $11.8 million and $10.8 million for the years ended December 31, 2013, 2012 and 2011, respectively, and is recorded in salaries and benefits expense in the accompanying Consolidated Statements of Income. The Company recorded a tax benefit of $0.6 million, $0.7 million and $0.6 million during the years ended December 31, 2013, 2012 and 2011, respectively, for the portion of this expense that relates to foreign tax jurisdictions in which an income tax benefit is expected to be derived.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Summary stock options activity is presented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06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0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0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 (1,937,245 shares exercisable)</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4,810,816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16.73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317,174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45.86</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(894,498)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15.74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(166,081)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18.14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4,067,411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19.16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116,691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Exercisable at December 31, 2013</w:t>
            </w: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1,839,633</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14.02</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tcPr>
          <w:p>
            <w:pPr>
              <w:jc w:val="right"/>
              <w:ind w:right="20"/>
              <w:spacing w:after="0"/>
              <w:rPr>
                <w:sz w:val="20"/>
                <w:szCs w:val="20"/>
                <w:color w:val="auto"/>
              </w:rPr>
            </w:pPr>
            <w:r>
              <w:rPr>
                <w:rFonts w:ascii="Arial" w:cs="Arial" w:eastAsia="Arial" w:hAnsi="Arial"/>
                <w:sz w:val="18"/>
                <w:szCs w:val="18"/>
                <w:color w:val="auto"/>
              </w:rPr>
              <w:t>62,239</w:t>
            </w:r>
          </w:p>
        </w:tc>
        <w:tc>
          <w:tcPr>
            <w:tcW w:w="0" w:type="dxa"/>
            <w:vAlign w:val="bottom"/>
          </w:tcPr>
          <w:p>
            <w:pPr>
              <w:spacing w:after="0"/>
              <w:rPr>
                <w:sz w:val="1"/>
                <w:szCs w:val="1"/>
                <w:color w:val="auto"/>
              </w:rPr>
            </w:pPr>
          </w:p>
        </w:tc>
      </w:tr>
      <w:tr>
        <w:trPr>
          <w:trHeight w:val="251"/>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expected to vest at December 31, 2013</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3,795,264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18.68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110,710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Options outstanding that are expected to vest are net of estimated future forfeitures. The Company received cash of $13.6 million, $5.2 million and $2.0 million in connection with stock options exercised in the years ended December 31, 2013, 2012 and 2011, respectively. The intrinsic value of these options exercised was $18.6 million, $7.4 million and $2.0 million in the years ended December 31, 2013, 2012 and 2011, respectively. As of December 31, 2013, unrecognized compensation expense related to nonvested stock options that are expected to vest totaled $14.3 million and will be recognized over the next 5 years, with an overall weighted-average period of 3.5 years. The following table provides the fair value of options granted under the SCP during 2013, 2012 and 2011, together with a description of the assumptions used to calculate the fair value using the Black-Scholes-Merton option-pricing model: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60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2011</w:t>
            </w: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Risk-free interest rate - weighted average</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 range</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(a)</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0.81% to 1.03%</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7"/>
              </w:rPr>
              <w:t>0.99% to 2.33%</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420" w:type="dxa"/>
            <w:vAlign w:val="bottom"/>
          </w:tcPr>
          <w:p>
            <w:pPr>
              <w:spacing w:after="0"/>
              <w:rPr>
                <w:sz w:val="21"/>
                <w:szCs w:val="21"/>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forfeitures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Expected lives</w:t>
            </w:r>
          </w:p>
        </w:tc>
        <w:tc>
          <w:tcPr>
            <w:tcW w:w="42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5.4 years</w:t>
            </w:r>
          </w:p>
        </w:tc>
        <w:tc>
          <w:tcPr>
            <w:tcW w:w="28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5.7 years</w:t>
            </w:r>
          </w:p>
        </w:tc>
        <w:tc>
          <w:tcPr>
            <w:tcW w:w="220" w:type="dxa"/>
            <w:vAlign w:val="bottom"/>
          </w:tcPr>
          <w:p>
            <w:pPr>
              <w:spacing w:after="0"/>
              <w:rPr>
                <w:sz w:val="21"/>
                <w:szCs w:val="21"/>
                <w:color w:val="auto"/>
              </w:rPr>
            </w:pP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5.4 years</w:t>
            </w:r>
          </w:p>
        </w:tc>
      </w:tr>
      <w:tr>
        <w:trPr>
          <w:trHeight w:val="27"/>
        </w:trPr>
        <w:tc>
          <w:tcPr>
            <w:tcW w:w="6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6.85</w:t>
            </w:r>
          </w:p>
        </w:tc>
      </w:tr>
      <w:tr>
        <w:trPr>
          <w:trHeight w:val="27"/>
        </w:trPr>
        <w:tc>
          <w:tcPr>
            <w:tcW w:w="6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(a) At the date of grant, the risk free rate for stock options awarded in 2013 was 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Restricted stock awards vest based on the achievement of time-based service conditions and/or performance-based conditions. For certain awards, vesting is based on the achievement of more than one condition of an award with multiple time-based and/or performance-based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Summary restricted stock activity is presented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CCEEFF"/>
            </w:tcBorders>
          </w:tcPr>
          <w:p>
            <w:pPr>
              <w:spacing w:after="0"/>
              <w:rPr>
                <w:sz w:val="16"/>
                <w:szCs w:val="16"/>
                <w:color w:val="auto"/>
              </w:rPr>
            </w:pPr>
          </w:p>
        </w:tc>
        <w:tc>
          <w:tcPr>
            <w:tcW w:w="47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1"/>
              </w:rPr>
              <w:t>Value Per Share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2012</w:t>
            </w:r>
          </w:p>
        </w:tc>
        <w:tc>
          <w:tcPr>
            <w:tcW w:w="60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1,106,129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Granted</w:t>
            </w:r>
          </w:p>
        </w:tc>
        <w:tc>
          <w:tcPr>
            <w:tcW w:w="6020" w:type="dxa"/>
            <w:vAlign w:val="bottom"/>
            <w:gridSpan w:val="2"/>
          </w:tcPr>
          <w:p>
            <w:pPr>
              <w:jc w:val="right"/>
              <w:ind w:right="48"/>
              <w:spacing w:after="0"/>
              <w:rPr>
                <w:sz w:val="20"/>
                <w:szCs w:val="20"/>
                <w:color w:val="auto"/>
              </w:rPr>
            </w:pPr>
            <w:r>
              <w:rPr>
                <w:rFonts w:ascii="Arial" w:cs="Arial" w:eastAsia="Arial" w:hAnsi="Arial"/>
                <w:sz w:val="18"/>
                <w:szCs w:val="18"/>
                <w:color w:val="auto"/>
              </w:rPr>
              <w:t>155,930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6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(195,834)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6020" w:type="dxa"/>
            <w:vAlign w:val="bottom"/>
            <w:gridSpan w:val="2"/>
          </w:tcPr>
          <w:p>
            <w:pPr>
              <w:jc w:val="right"/>
              <w:spacing w:after="0"/>
              <w:rPr>
                <w:sz w:val="20"/>
                <w:szCs w:val="20"/>
                <w:color w:val="auto"/>
              </w:rPr>
            </w:pPr>
            <w:r>
              <w:rPr>
                <w:rFonts w:ascii="Arial" w:cs="Arial" w:eastAsia="Arial" w:hAnsi="Arial"/>
                <w:sz w:val="18"/>
                <w:szCs w:val="18"/>
                <w:color w:val="auto"/>
              </w:rPr>
              <w:t>(137,237)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at December 31, 2013</w:t>
            </w:r>
          </w:p>
        </w:tc>
        <w:tc>
          <w:tcPr>
            <w:tcW w:w="60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928,988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bottom w:val="single" w:sz="8" w:color="CCEEFF"/>
            </w:tcBorders>
            <w:vMerge w:val="restart"/>
          </w:tcPr>
          <w:p>
            <w:pPr>
              <w:jc w:val="right"/>
              <w:ind w:right="2930"/>
              <w:spacing w:after="0"/>
              <w:rPr>
                <w:sz w:val="20"/>
                <w:szCs w:val="20"/>
                <w:color w:val="auto"/>
              </w:rPr>
            </w:pPr>
            <w:r>
              <w:rPr>
                <w:rFonts w:ascii="Arial" w:cs="Arial" w:eastAsia="Arial" w:hAnsi="Arial"/>
                <w:sz w:val="18"/>
                <w:szCs w:val="18"/>
                <w:color w:val="auto"/>
              </w:rPr>
              <w:t>96</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4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fair value of shares vested in the years ended December 31, 2013, 2012 and 2011 was $7.3 million, $6.9 million and $5.0 million, respectively. As of December 31, 2013, there was $6.1 million of total unrecognized compensation cost related to unvested time-based restricted stock, which is expected to be recognized over a weighted-average period of 3.6 years. As of December 31, 2013, there was $8.5 million of total unrecognized compensation costs related to unvested performance-based restricted stock, which is expected to be recognized based on Company performance over a weighted-average period of 1.9 years. The weighted average grant date fair value of restricted stock granted during the years ended December 31, 2013, 2012 and 2011 was $43.47, $21.99 and $16.55 per share,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2003, the Company established a qualified Employee Stock Purchase Plan (the “ESPP”), which allows qualified employees (as defined by the plan documents) to participate in the purchase of rights to purchase designated shares of the Company's Common Stock at a price equal to the lower of 85% of the closing price at the beginning or end of each quarterly offering period. The Company reserved 1,000,000 shares of Common Stock for purchase under the ESPP. Pursuant to the ESPP, during the years ended December 31, 2013, 2012 and 2011, the Company issued 44,323, 56,189 and 57,018 rights, respectively, to purchase shares of Common Stock at a weighted average price per share of $25.06, $15.42 and $12.77, respectively. The grant date fair value of the option to purchase shares at the lower of the closing price at the beginning or end of the quarterly period, plus the actual total discount provided, are recorded as compensation expense. Total compensation expense recorded was $0.2 million for each of the years ended December 31, 2013, 2012 and 2011. The following table provides the weighted-average fair value of the ESPP stock purchase rights during the years ended December 31, 2013, 2012 and 2011 and the assumptions used to calculate the fair value using the Black-Scholes-Merton option-pricing model:</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64"/>
        </w:trPr>
        <w:tc>
          <w:tcPr>
            <w:tcW w:w="43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2011</w:t>
            </w: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 - weighted average</w:t>
            </w:r>
          </w:p>
        </w:tc>
        <w:tc>
          <w:tcPr>
            <w:tcW w:w="1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Volatility - range</w:t>
            </w: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20.9% to 29.6%</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22.6% to 35.2%</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26.5% to 52.5%</w:t>
            </w:r>
          </w:p>
        </w:tc>
      </w:tr>
      <w:tr>
        <w:trPr>
          <w:trHeight w:val="27"/>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 weighted average</w:t>
            </w:r>
          </w:p>
        </w:tc>
        <w:tc>
          <w:tcPr>
            <w:tcW w:w="1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Risk-free interest rate - range</w:t>
            </w: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0.02% to 0.08%</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0.02% to 0.10%</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0.02% to 0.11%</w:t>
            </w:r>
          </w:p>
        </w:tc>
      </w:tr>
      <w:tr>
        <w:trPr>
          <w:trHeight w:val="27"/>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Expected lives</w:t>
            </w: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 months</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 months</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3 months</w:t>
            </w:r>
          </w:p>
        </w:tc>
      </w:tr>
      <w:tr>
        <w:trPr>
          <w:trHeight w:val="27"/>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w:t>
            </w:r>
          </w:p>
        </w:tc>
        <w:tc>
          <w:tcPr>
            <w:tcW w:w="1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3.70</w:t>
            </w:r>
          </w:p>
        </w:tc>
      </w:tr>
      <w:tr>
        <w:trPr>
          <w:trHeight w:val="729"/>
        </w:trPr>
        <w:tc>
          <w:tcPr>
            <w:tcW w:w="4320" w:type="dxa"/>
            <w:vAlign w:val="bottom"/>
          </w:tcPr>
          <w:p>
            <w:pPr>
              <w:spacing w:after="0"/>
              <w:rPr>
                <w:sz w:val="24"/>
                <w:szCs w:val="24"/>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Segment Information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20" w:hanging="648"/>
        <w:spacing w:after="0" w:line="25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cash withdrawal services, ATM network participation, outsourced ATM and POS management solutions, credit and debit card outsourcing, dynamic currency conversion and other value added services.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700" w:hanging="648"/>
        <w:spacing w:after="0" w:line="308"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Through the epay Segment, the Company provides distribution, processing and collection services for prepaid mobile airtime and other electronic payment products in Europe, the Middle East, Asia Pacific, the United States and South America.</w:t>
      </w:r>
    </w:p>
    <w:p>
      <w:pPr>
        <w:spacing w:after="0" w:line="38" w:lineRule="exact"/>
        <w:rPr>
          <w:rFonts w:ascii="Arial" w:cs="Arial" w:eastAsia="Arial" w:hAnsi="Arial"/>
          <w:sz w:val="17"/>
          <w:szCs w:val="17"/>
          <w:color w:val="auto"/>
        </w:rPr>
      </w:pPr>
    </w:p>
    <w:p>
      <w:pPr>
        <w:ind w:left="980" w:right="40" w:hanging="648"/>
        <w:spacing w:after="0" w:line="279"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Through the Money Transfer Segment, the Company provides global consumer-to-consumer money transfer services through a network of sending agents and Company-owned stores (primarily in North America and Europe), disbursing money transfers through a worldwide correspondent network. The Company also offers customers bill payment services, payment alternatives such as money orders and prepaid debit cards, comprehensive check cashing services, foreign currency exchange services and mobile top-up.</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years ended December 31, 2013, 2012 and 2011: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Year Ended December 31, 2013</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296,240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748,680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370,365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1,413,169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141,381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575,787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177,783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892,928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40,150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57,251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88,222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22,621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208,244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54,870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129,427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Acquisition-related contingent consideration gain</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(19,319)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18,425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29,537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16,756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18,395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65,053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214,890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709,219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339,270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31,379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1,294,758</w:t>
            </w:r>
          </w:p>
        </w:tc>
        <w:tc>
          <w:tcPr>
            <w:tcW w:w="0" w:type="dxa"/>
            <w:vAlign w:val="bottom"/>
          </w:tcPr>
          <w:p>
            <w:pPr>
              <w:spacing w:after="0"/>
              <w:rPr>
                <w:sz w:val="1"/>
                <w:szCs w:val="1"/>
                <w:color w:val="auto"/>
              </w:rPr>
            </w:pPr>
          </w:p>
        </w:tc>
      </w:tr>
      <w:tr>
        <w:trPr>
          <w:trHeight w:val="23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81,350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39,461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31,095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(33,495)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118,411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Income from unconsolidated affiliates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gains, net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Foreign currency exchange gain, net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115,085</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assets as of December 31, 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347,073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757,942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472,390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20,710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1,598,115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 as of December 31, 2013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64,972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27,176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23,768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116,230</w:t>
            </w:r>
          </w:p>
        </w:tc>
        <w:tc>
          <w:tcPr>
            <w:tcW w:w="0" w:type="dxa"/>
            <w:vAlign w:val="bottom"/>
          </w:tcPr>
          <w:p>
            <w:pPr>
              <w:spacing w:after="0"/>
              <w:rPr>
                <w:sz w:val="1"/>
                <w:szCs w:val="1"/>
                <w:color w:val="auto"/>
              </w:rPr>
            </w:pPr>
          </w:p>
        </w:tc>
      </w:tr>
      <w:tr>
        <w:trPr>
          <w:trHeight w:val="70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Year Ended December 31, 2012</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237,948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714,125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316,135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1,267,601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114,826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548,390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149,397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812,059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32,784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53,399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75,540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22,332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184,055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47,673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120,575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28,740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28,740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64,167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193,540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694,624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291,512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29,920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1,209,596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24,623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58,005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(19,653)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from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Other gains, net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exchange loss, net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47,334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Segment assets as of December 31, 2012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231,320</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840,513</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455,981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23,722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1,551,536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as of December 31, 2012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62,359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115,475</w:t>
            </w:r>
          </w:p>
        </w:tc>
        <w:tc>
          <w:tcPr>
            <w:tcW w:w="0" w:type="dxa"/>
            <w:vAlign w:val="bottom"/>
          </w:tcPr>
          <w:p>
            <w:pPr>
              <w:spacing w:after="0"/>
              <w:rPr>
                <w:sz w:val="1"/>
                <w:szCs w:val="1"/>
                <w:color w:val="auto"/>
              </w:rPr>
            </w:pPr>
          </w:p>
        </w:tc>
      </w:tr>
      <w:tr>
        <w:trPr>
          <w:trHeight w:val="89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Year Ended December 31, 2011</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199,249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677,051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285,299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1,161,304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95,739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514,429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130,783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740,729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29,487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48,386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70,603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19,998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168,474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38,711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46,441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112,507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21,017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18,751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20,346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60,457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166,041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620,277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268,173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27,676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1,082,167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33,208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56,774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17,126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(27,971)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79,137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5,749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(21,385)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Income from unconsolidated affiliates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gains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Loss on early retirement of debt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exchange loss, net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(16,345)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62,792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Segment assets as of December 31, 2011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203,494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803,897</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472,532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26,406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1,506,329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as of December 31, 2011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54,169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102,900</w:t>
            </w:r>
          </w:p>
        </w:tc>
        <w:tc>
          <w:tcPr>
            <w:tcW w:w="0" w:type="dxa"/>
            <w:vAlign w:val="bottom"/>
          </w:tcPr>
          <w:p>
            <w:pPr>
              <w:spacing w:after="0"/>
              <w:rPr>
                <w:sz w:val="1"/>
                <w:szCs w:val="1"/>
                <w:color w:val="auto"/>
              </w:rPr>
            </w:pPr>
          </w:p>
        </w:tc>
      </w:tr>
      <w:tr>
        <w:trPr>
          <w:trHeight w:val="89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Total revenues for the years ended December 31, 2013, 2012 and 2011, and property and equipment and total assets as of December 31, 2013 and 2012, summarized by geographic location,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4"/>
              </w:rPr>
              <w:t>Property and Equipment, net</w:t>
            </w: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 Assets</w:t>
            </w:r>
          </w:p>
        </w:tc>
        <w:tc>
          <w:tcPr>
            <w:tcW w:w="880" w:type="dxa"/>
            <w:vAlign w:val="bottom"/>
          </w:tcPr>
          <w:p>
            <w:pPr>
              <w:spacing w:after="0"/>
              <w:rPr>
                <w:sz w:val="16"/>
                <w:szCs w:val="16"/>
                <w:color w:val="auto"/>
              </w:rPr>
            </w:pPr>
          </w:p>
        </w:tc>
      </w:tr>
      <w:tr>
        <w:trPr>
          <w:trHeight w:val="276"/>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6"/>
          </w:tcPr>
          <w:p>
            <w:pPr>
              <w:jc w:val="center"/>
              <w:ind w:left="573"/>
              <w:spacing w:after="0"/>
              <w:rPr>
                <w:sz w:val="20"/>
                <w:szCs w:val="20"/>
                <w:color w:val="auto"/>
              </w:rPr>
            </w:pPr>
            <w:r>
              <w:rPr>
                <w:rFonts w:ascii="Arial" w:cs="Arial" w:eastAsia="Arial" w:hAnsi="Arial"/>
                <w:sz w:val="14"/>
                <w:szCs w:val="14"/>
                <w:b w:val="1"/>
                <w:bCs w:val="1"/>
                <w:color w:val="auto"/>
                <w:w w:val="92"/>
              </w:rPr>
              <w:t>For the year ended December 31,</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0"/>
              </w:rPr>
              <w:t>as of December 31,</w:t>
            </w:r>
          </w:p>
        </w:tc>
        <w:tc>
          <w:tcPr>
            <w:tcW w:w="280" w:type="dxa"/>
            <w:vAlign w:val="bottom"/>
          </w:tcPr>
          <w:p>
            <w:pPr>
              <w:spacing w:after="0"/>
              <w:rPr>
                <w:sz w:val="24"/>
                <w:szCs w:val="24"/>
                <w:color w:val="auto"/>
              </w:rPr>
            </w:pPr>
          </w:p>
        </w:tc>
        <w:tc>
          <w:tcPr>
            <w:tcW w:w="234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r>
      <w:tr>
        <w:trPr>
          <w:trHeight w:val="27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341,964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294,122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233,903</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19,255</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275,040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284,748</w:t>
            </w: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Germany</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336,551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276,862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166,687</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12,162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12,164</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366,695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353,947</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103,571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137,054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193,557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131,037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156,352</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Poland</w:t>
            </w:r>
          </w:p>
        </w:tc>
        <w:tc>
          <w:tcPr>
            <w:tcW w:w="2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103,147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89,873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81,232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41,907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39,736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96,160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79,010</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Kingdom</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95,127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104,496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123,387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139,172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126,393</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India</w:t>
            </w:r>
          </w:p>
        </w:tc>
        <w:tc>
          <w:tcPr>
            <w:tcW w:w="2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59,744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52,228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41,870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3,513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40,638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37,982</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Spain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65,188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80,196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79,909</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Italy</w:t>
            </w:r>
          </w:p>
        </w:tc>
        <w:tc>
          <w:tcPr>
            <w:tcW w:w="2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54,765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50,178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53,970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1,509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92,055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80,814</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Brazil</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58,654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27,263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41,119</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218,863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164,786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142,856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24,397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26,535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349,859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311,262</w:t>
            </w:r>
          </w:p>
        </w:tc>
      </w:tr>
      <w:tr>
        <w:trPr>
          <w:trHeight w:val="27"/>
        </w:trPr>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foreign</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1,071,205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973,479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927,401</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93,674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96,220</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1,323,075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1,266,788</w:t>
            </w:r>
          </w:p>
        </w:tc>
      </w:tr>
      <w:tr>
        <w:trPr>
          <w:trHeight w:val="257"/>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1,413,169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1,267,601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1,161,304</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116,230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115,475</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1,598,115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4"/>
              </w:rPr>
              <w:t>1,551,536</w:t>
            </w: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Revenues are attributed to countries based on location of the customer, with the exception of software sales made by our software subsidiary, which are attributed to the U.S.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Financial Instruments and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Company's credit risk primarily relates to trade accounts receivable and cash and cash equivalents. The EFT Processing Segment's customer base includes the most significant international card organizations and certain banks in its markets. The epay Segment's customer base is diverse and includes several major retailers and/or distributors in markets that they operate. The Money Transfer Segment trade accounts receivable are primarily due from independent agents that collect cash from customers on the Company's behalf and generally remit the cash within one week. The Company's performs ongoing evaluations of its customers' financial condition and limits the amount of credit extended, or purchases credit enhancement protection, when deemed necessary, but generally requires no collateral. See Note 14, Valuation and Qualifying Accounts, for further disclosure.</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invests excess cash not required for use in operations primarily in high credit quality, short-term duration securities that the Company believes bear minimal risk.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Fair value measurements used in the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117"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left="660" w:right="3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measured and recorded at fair value on a recurring basis: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As of December 31, 2013</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540" w:type="dxa"/>
            <w:vAlign w:val="bottom"/>
            <w:gridSpan w:val="2"/>
          </w:tcPr>
          <w:p>
            <w:pPr>
              <w:ind w:left="1360"/>
              <w:spacing w:after="0"/>
              <w:rPr>
                <w:sz w:val="20"/>
                <w:szCs w:val="20"/>
                <w:color w:val="auto"/>
              </w:rPr>
            </w:pPr>
            <w:r>
              <w:rPr>
                <w:rFonts w:ascii="Arial" w:cs="Arial" w:eastAsia="Arial" w:hAnsi="Arial"/>
                <w:sz w:val="14"/>
                <w:szCs w:val="14"/>
                <w:b w:val="1"/>
                <w:bCs w:val="1"/>
                <w:color w:val="auto"/>
              </w:rPr>
              <w:t>Balance Sheet Classification</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1</w:t>
            </w: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2</w:t>
            </w:r>
          </w:p>
        </w:tc>
        <w:tc>
          <w:tcPr>
            <w:tcW w:w="10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70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43"/>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w:t>
            </w:r>
          </w:p>
        </w:tc>
        <w:tc>
          <w:tcPr>
            <w:tcW w:w="3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 contracts</w:t>
            </w:r>
          </w:p>
        </w:tc>
        <w:tc>
          <w:tcPr>
            <w:tcW w:w="35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Other current liabilities</w:t>
            </w: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399"/>
        </w:trPr>
        <w:tc>
          <w:tcPr>
            <w:tcW w:w="37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As of December 31, 2012</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540" w:type="dxa"/>
            <w:vAlign w:val="bottom"/>
            <w:gridSpan w:val="2"/>
          </w:tcPr>
          <w:p>
            <w:pPr>
              <w:ind w:left="1360"/>
              <w:spacing w:after="0"/>
              <w:rPr>
                <w:sz w:val="20"/>
                <w:szCs w:val="20"/>
                <w:color w:val="auto"/>
              </w:rPr>
            </w:pPr>
            <w:r>
              <w:rPr>
                <w:rFonts w:ascii="Arial" w:cs="Arial" w:eastAsia="Arial" w:hAnsi="Arial"/>
                <w:sz w:val="14"/>
                <w:szCs w:val="14"/>
                <w:b w:val="1"/>
                <w:bCs w:val="1"/>
                <w:color w:val="auto"/>
              </w:rPr>
              <w:t>Balance Sheet Classification</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1</w:t>
            </w: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2</w:t>
            </w:r>
          </w:p>
        </w:tc>
        <w:tc>
          <w:tcPr>
            <w:tcW w:w="10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70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43"/>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3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354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derivative contracts</w:t>
            </w:r>
          </w:p>
        </w:tc>
        <w:tc>
          <w:tcPr>
            <w:tcW w:w="35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Other current assets</w:t>
            </w: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35</w:t>
            </w:r>
          </w:p>
        </w:tc>
      </w:tr>
      <w:tr>
        <w:trPr>
          <w:trHeight w:val="27"/>
        </w:trPr>
        <w:tc>
          <w:tcPr>
            <w:tcW w:w="378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252525"/>
        </w:rPr>
        <w:t>The carrying amounts of cash and cash equivalents, trade accounts receivable, trade accounts payable and short-term debt obligations approximate fair values due to their short maturities. The carrying values of the Company’s term loan due 2016 and revolving credit agreements approximate fair values because interest is based on the London Inter-Bank Offered Rate ("LIBOR") that resets at various intervals of less than one year. The Company estimates the fair value of the convertible debentures using quoted prices in inactive markets for identical liabilities (Level 2). As of December 31, 2012, the fair value and carrying amount of the convertible debentures were $3.6 million.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Liability</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contingent consideration liability relating to the Pure Commerce acquisition was recorded at fair value using a Monte Carlo simulation. The significant unobservable inputs used in the fair value measurement of the contingent consideration liability are forecasted financial results, including estimates of future revenues, gross profit, and EBITDA (Level 3). As of the acquisition date, the fair value of the contingent consideration liability was $21.7 million. Changes in any of these inputs could result in a significantly higher or lower fair value measurement. Changes in the fair value of the contingent consideration liability are recorded as income or expense within operating income in our Consolidated Statements of Income.</w:t>
      </w:r>
    </w:p>
    <w:p>
      <w:pPr>
        <w:spacing w:after="0" w:line="6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During 2013, the Company recorded a $2.4 million foreign currency exchange gain related to this contingent consideration liability as a result of fluctuations in the value of the Australian dollar against the U.S. dollar. In third quarter of 2013, the Company adjusted to fair value the contingent consideration liability based on its assessment that the performance targets for gross profit and EBITDA would not be met. As of December 31, 2013 (end of the performance period), the fair value of the contingent consideration liability is zero. The change in fair value resulted in the recognition of a $19.3 million gain.</w:t>
      </w:r>
    </w:p>
    <w:p>
      <w:pPr>
        <w:spacing w:after="0" w:line="4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Although certain elements of Pure Commerce’s business plan changed during the first half of 2013, its management team had specific plans in place to achieve the performance targets. At June 30, 2013, the Company determined that the performance targets were probable of achievement because Pure Commerce’s business can experience significant impacts on results when key customers launch its services and we believed implementation timeframes would be short. However, as the actual results through the second half of 2013 were realized, the Company determined that delays in implementing contracts with certain merchants and merchant acquirers and lower than expected transaction volume on certain contracts would not allow Pure Commerce to meet the minimum threshold necessary to require the Company to pay contingent consideration. This assessment was primarily due to the short one-year timeframe to achieve the performance targets and the targets’ high sensitivity to changes in performance. While these factors contributed to Pure Commerce not achieving the performance targets, they are not expected to adversely affect the fair value of Pure Commerce.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and acquired intangible assets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Certain assets are measured at fair value on a non-recurring basis. In connection with the annual goodwill impairment test during the fourth quarters of 2013 and 2012, the Company assessed the fair value of goodwill and recorded goodwill impairment charges related to certain of its epay reporting units of $18.4 million and $23.5 million, respectively. The fair values were determined using significant unobservable inputs (Level 3). The fair values of goodwill related to impaired reporting units were determined by calculating the implied fair values as the excess of the fair value of the respective entity over the fair value of its net assets. Further, in 2012, the Company recorded an impairment charge of acquired intangible assets of $5.2 million, specifically related to customer relationship assets in Brazil. The acquired intangible asset impairment charge was measured as the amount by which the carrying amount of the asset exceeded the fair value of the asset. No other assets were measured at fair value on a non-recurring basis during 2013, 2012, or 2011.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Computer Software to be Sold</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Euronet engages in software development activities to continually improve the Company's core software products. The following table provides the detailed activity related to capitalized software development costs for the years ended December 31, 2013, 2012 and 2011.</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balance-capitalized development cost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3,123</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3,908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2,609</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r>
      <w:tr>
        <w:trPr>
          <w:trHeight w:val="25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capitalized development cost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6,979</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5,274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3,841</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Research and development costs expensed for the years ended December 31, 2013, 2012 and 2011 were $2.4 million, $1.9 million and $1.1 million,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Litigation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u w:val="single" w:color="auto"/>
          <w:color w:val="auto"/>
        </w:rPr>
        <w:t>Unclaimed property compliance</w:t>
      </w:r>
      <w:r>
        <w:rPr>
          <w:rFonts w:ascii="Arial" w:cs="Arial" w:eastAsia="Arial" w:hAnsi="Arial"/>
          <w:sz w:val="18"/>
          <w:szCs w:val="18"/>
          <w:color w:val="auto"/>
        </w:rPr>
        <w:t xml:space="preserve"> - In September 2013, the Company entered into a voluntary disclosure agreement (“VDA”) with the Secretary of State of the State of Delaware to determine compliance with Delaware unclaimed property laws. Types of property under examination include, but are not limited to, payroll checks, accounts payable checks and accounts receivable credits for the period 1996 through 2007. The total amount of exposure of this contingency is dependent upon the manner in which the State of Delaware applies its unclaimed property laws. The Company does not expect the outcome of this matter to have a material adverse effect on the consolidated financial statements</w:t>
      </w:r>
    </w:p>
    <w:p>
      <w:pPr>
        <w:spacing w:after="0" w:line="8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u w:val="single" w:color="auto"/>
          <w:color w:val="auto"/>
        </w:rPr>
        <w:t>Computer Security Breach</w:t>
      </w:r>
      <w:r>
        <w:rPr>
          <w:rFonts w:ascii="Arial" w:cs="Arial" w:eastAsia="Arial" w:hAnsi="Arial"/>
          <w:sz w:val="18"/>
          <w:szCs w:val="18"/>
          <w:color w:val="auto"/>
        </w:rPr>
        <w:t xml:space="preserve"> - A unit of the Company's European processing business was the subject of a criminal security breach in late 2011. The affected business represents less than 5% of the Company's revenues, profits and transactions. Euronet took immediate steps to remediate the breach and ensure its impact was contained.</w:t>
      </w:r>
    </w:p>
    <w:p>
      <w:pPr>
        <w:spacing w:after="0" w:line="7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Certain claims arising from such breach were asserted against the Company, and it is possible that additional claims may be asserted in the future. However, the Company maintains insurance to cover the financial exposure for response costs, losses by the card issuer and fines or penalties from incidents of this nature. To date, the aggregate amount of expenses incurred and losses asserted against the Company for which the Company ultimately bore liability have been within the limits of our insurance and the only cost to the Company has been its retention amount under its insurance. The Company does not currently expect the net financial impact of expenses or losses from the breach, after insurance recovery, to be material to its consolidated financial statements.</w:t>
      </w:r>
    </w:p>
    <w:p>
      <w:pPr>
        <w:spacing w:after="0" w:line="5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Expenses related to the breach were $0.4 million and $0.5 million in 2011 and 2012, respectively. The $0.5 million of expenses incurred in 2012 were net of $1.9 million in amounts recovered from the Company's insurance carrier. No additional related expenses were incurred during 2013, as all losses incurred were covered by insurance.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During 2012, the Company was served with a class action lawsuit filed by a former employee alleging wage and hour violations relating to meal and rest period requirements. The Company has reached an agreement to settle this lawsuit for an immaterial amount and, together with the plaintiffs in the case, is following court procedures to finalize the settlement. The Company expects such procedures to be completed within the next twelve months.</w:t>
      </w:r>
    </w:p>
    <w:p>
      <w:pPr>
        <w:spacing w:after="0" w:line="3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From time to time, the Company is a party to legal and regulatory proceedings arising in the ordinary course of its business. Currently, there are no legal proceedings or regulatory findings that management believes, either individually or in the aggregate, would have a material adverse effect upon the consolidated financial statements of the Company.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December 31, 2013, the Company had $105.4 million of stand-by letters of credit/bank guarantees issued on its behalf, of which $5.0 million are collateralized by cash deposits held by the respective issuing banks.</w:t>
      </w:r>
    </w:p>
    <w:p>
      <w:pPr>
        <w:spacing w:after="0" w:line="62"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Under certain circumstances, the Company grants guarantees in support of obligations of subsidiaries. As of December 31, 2013, the Company granted off balance sheet guarantees for cash in various ATM networks amounting to $16.0 million over the terms of the cash supply agreements and performance guarantees amounting to approximately $27.3 million over the terms of the agreements with the customers.</w:t>
      </w:r>
    </w:p>
    <w:p>
      <w:pPr>
        <w:spacing w:after="0" w:line="16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Each of our subsidiaries, once they reach a certain size, is required under the Credit Facility to provide a guarantee of all or a portion of the outstanding obligations under the Credit Facility depending upon whether the subsidiary is a domestic or foreign entity.</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time to time, the Company enters into agreements with unaffiliated 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980" w:right="260" w:hanging="648"/>
        <w:spacing w:after="0" w:line="259"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December 31, 2013, the balance of ATM network cash for which the Company was responsible was approximately $480 million. The Company maintains insurance policies to mitigate this exposure;</w:t>
      </w:r>
    </w:p>
    <w:p>
      <w:pPr>
        <w:spacing w:after="0" w:line="78" w:lineRule="exact"/>
        <w:rPr>
          <w:rFonts w:ascii="Arial" w:cs="Arial" w:eastAsia="Arial" w:hAnsi="Arial"/>
          <w:sz w:val="18"/>
          <w:szCs w:val="18"/>
          <w:color w:val="auto"/>
        </w:rPr>
      </w:pPr>
    </w:p>
    <w:p>
      <w:pPr>
        <w:ind w:left="980" w:right="140" w:hanging="648"/>
        <w:spacing w:after="0" w:line="312"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38" w:lineRule="exact"/>
        <w:rPr>
          <w:rFonts w:ascii="Arial" w:cs="Arial" w:eastAsia="Arial" w:hAnsi="Arial"/>
          <w:sz w:val="16"/>
          <w:szCs w:val="16"/>
          <w:color w:val="auto"/>
        </w:rPr>
      </w:pPr>
    </w:p>
    <w:p>
      <w:pPr>
        <w:ind w:left="980" w:hanging="648"/>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980" w:right="60" w:hanging="648"/>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980" w:right="200" w:hanging="648"/>
        <w:spacing w:after="0" w:line="255"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 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Index to Consolidated Financial Statements</w:t>
        </w:r>
      </w:hyperlink>
    </w:p>
    <w:p>
      <w:pPr>
        <w:spacing w:after="0" w:line="346" w:lineRule="exact"/>
        <w:rPr>
          <w:sz w:val="20"/>
          <w:szCs w:val="20"/>
          <w:color w:val="auto"/>
        </w:rPr>
      </w:pPr>
    </w:p>
    <w:p>
      <w:pPr>
        <w:ind w:left="980" w:right="20" w:hanging="648"/>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December 31, 2013 or 2012.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Party Transactions</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 leases airplanes from companies partially owned by Mr. Michael J. Brown, Euronet's Chief Executive Officer and Chairman of the Board of Directors. The airplanes are leased for business use on a per flight hour basis with no minimum usage requirement. Euronet incurred expenses of $0.3 million in the year ended December 31, 2013 and $0.2 million in each of the years ended December 31, 2012 and 2011, for the use of these airplanes.</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November 29, 2012, the Company entered into a stock purchase agreement with West Side Investment Management, Inc., a subsidiary of DST Systems, Inc. (“DST”). Pursuant to the terms of the agreement, the Company purchased from DST 1,884,597 shares outstanding of the Company's Common Stock for $41.0 million. The Company used proceeds available under its revolving credit agreement to complete the purchase. Mr. Thomas A. McDonnell has served as a director of the Company and DST since 1996 and 1972, respectively. Mr. McDonnell recused himself during the negotiations and approval of the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Selected Quarter Data (Unaudited)</w:t>
      </w:r>
    </w:p>
    <w:p>
      <w:pPr>
        <w:spacing w:after="0" w:line="234"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data)</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First Quarter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7"/>
              </w:rPr>
              <w:t>Second Quarter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Third Quarter</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Fourth Quarter</w:t>
            </w:r>
          </w:p>
        </w:tc>
      </w:tr>
      <w:tr>
        <w:trPr>
          <w:trHeight w:val="25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2013</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335,644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341,543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360,580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375,402</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16,108</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12,060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18,165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47,974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9,154</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Euronet Worldwide, Inc.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9,995</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Earnings per common share:</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0.20</w:t>
            </w:r>
          </w:p>
        </w:tc>
      </w:tr>
      <w:tr>
        <w:trPr>
          <w:trHeight w:val="243"/>
        </w:trPr>
        <w:tc>
          <w:tcPr>
            <w:tcW w:w="5420" w:type="dxa"/>
            <w:vAlign w:val="bottom"/>
            <w:gridSpan w:val="2"/>
          </w:tcPr>
          <w:p>
            <w:pPr>
              <w:ind w:left="260"/>
              <w:spacing w:after="0"/>
              <w:rPr>
                <w:sz w:val="20"/>
                <w:szCs w:val="20"/>
                <w:color w:val="auto"/>
              </w:rPr>
            </w:pPr>
            <w:r>
              <w:rPr>
                <w:rFonts w:ascii="Arial" w:cs="Arial" w:eastAsia="Arial" w:hAnsi="Arial"/>
                <w:sz w:val="18"/>
                <w:szCs w:val="18"/>
                <w:color w:val="auto"/>
              </w:rPr>
              <w:t>Diluted</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0.19</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2012</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297,622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302,377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316,356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351,246</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 (loss)</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Net income (loss)</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13,098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5,726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14,341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(12,768)</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 (loss) attributable to Euronet Worldwide, Inc.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(13,014)</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Earnings (loss) per common share:</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243"/>
        </w:trPr>
        <w:tc>
          <w:tcPr>
            <w:tcW w:w="5420" w:type="dxa"/>
            <w:vAlign w:val="bottom"/>
            <w:gridSpan w:val="2"/>
          </w:tcPr>
          <w:p>
            <w:pPr>
              <w:ind w:left="260"/>
              <w:spacing w:after="0"/>
              <w:rPr>
                <w:sz w:val="20"/>
                <w:szCs w:val="20"/>
                <w:color w:val="auto"/>
              </w:rPr>
            </w:pPr>
            <w:r>
              <w:rPr>
                <w:rFonts w:ascii="Arial" w:cs="Arial" w:eastAsia="Arial" w:hAnsi="Arial"/>
                <w:sz w:val="18"/>
                <w:szCs w:val="18"/>
                <w:color w:val="auto"/>
              </w:rPr>
              <w:t>Diluted</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756"/>
        </w:trPr>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December 31, 2013.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fourth quarter of 2013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Euronet Worldwide, Inc.:</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Management is responsible for establishing and maintaining an effective internal control over financial reporting as this term is defined under Rule 13a-15(f) of the Securities Exchange Act of 1934 and has made organizational arrangements providing appropriate divisions of responsibility and has established communication programs aimed at assuring that its policies, procedures and principles of business conduct are understood and practiced by its employees.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Management of Euronet Worldwide, Inc. assessed the effectiveness of the Company's internal control over financial reporting as of December 31, 2013. In making this assessment, it used the criteria set forth by the Committee of Sponsoring Organizations of the Treadway Commission in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(1992). Based on these criteria and our assessment, we have determined that, as of December 31, 2013, the Company's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 was effective.</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2013, has been audited by KPMG LLP, an independent registered public accounting firm, as stated in their audit report, included herein.</w:t>
      </w:r>
    </w:p>
    <w:p>
      <w:pPr>
        <w:spacing w:after="0" w:line="333" w:lineRule="exact"/>
        <w:rPr>
          <w:sz w:val="20"/>
          <w:szCs w:val="20"/>
          <w:color w:val="auto"/>
        </w:rPr>
      </w:pPr>
    </w:p>
    <w:p>
      <w:pPr>
        <w:jc w:val="center"/>
        <w:ind w:right="578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78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125" w:right="2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information under “Election of Directors,” “Section 16(a) Beneficial Ownership Reporting Compliance” and “Meetings and Committees of the Board of Directors” in the Proxy Statement for the 2014 Annual Meeting of Stockholders, which will be filed with the Securities and Exchange Commission no later than 120 days after December 31, 2013, is incorporated herein by reference. Information concerning our Code of Business Conduct and Ethics for our employees, including our Chief Executive Officer and Chief Financial Officer, is set forth under “Availability of Reports, Certain Committee Charters, and Other Information” in Part I of this annual report on Form 10-K and incorporated herein by reference. Information concerning executive officers is set forth under “Executive Officers of the Registrant” in Part I of this Annual Report on Form 10-K and incorporated herein by reference.</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intend to satisfy the requirement under Item 5.05 of Form 8-K to disclose any amendments to our Code of Business Conduct and Ethics and any waiver from a provision of our Code of Ethics by disclosing such information on a Form 8-K or on our Website at www.euronetworldwide.com under Investor Relations/Corporate Governance.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under “Compensation Tables,” “Compensation Discussion and Analysis,” “Director Compensation,” “Report of Compensation Committee” and “Compensation Committee Interlocks and Insider Participation” in the Proxy Statement for the 2014 Annual Meeting of Stockholders, which will be filed with the Securities and Exchange Commission no later than 120 days after December 31, 2013, is incorporated herein by reference.</w:t>
      </w:r>
    </w:p>
    <w:p>
      <w:pPr>
        <w:spacing w:after="0" w:line="37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under “Beneficial Ownership of Common Stock” and “Election of Directors” in the Proxy Statement for the 2014 Annual Meeting of Stockholders, which will be filed with the Securities and Exchange Commission no later than 120 days after December 31, 2013, is incorporated herein by reference. The information in Part II, Item 5, "Market for Registrant's Common Equity, Related Stockholder Matters and Issuer Purchase of Equity Securities - Equity Compensation Plan Table" incorporated herein by reference.</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information under “Certain Relationships and Related Transactions and Director Independence” in the Proxy Statement for the 2014 Annual Meeting of Stockholders, which will be filed with the Securities and Exchange Commission no later than 120 days after December 31, 2013, is incorporated herein by reference.</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under “Audit Matters - Fees of the Company's Independent Auditors” and - "Audit Matters - Audit Committee Pre-Approval Policy" in the Proxy Statement for the 2014 Annual Meeting of Stockholders, which will be filed with the Securities and Exchange Commission no later than 120 days after December 31, 2013,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125"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300" w:hanging="278"/>
        <w:spacing w:after="0"/>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225" w:lineRule="exact"/>
        <w:rPr>
          <w:rFonts w:ascii="Arial" w:cs="Arial" w:eastAsia="Arial" w:hAnsi="Arial"/>
          <w:sz w:val="18"/>
          <w:szCs w:val="18"/>
          <w:color w:val="auto"/>
        </w:rPr>
      </w:pPr>
    </w:p>
    <w:p>
      <w:pPr>
        <w:ind w:left="440" w:hanging="189"/>
        <w:spacing w:after="0"/>
        <w:tabs>
          <w:tab w:leader="none" w:pos="440" w:val="left"/>
        </w:tabs>
        <w:numPr>
          <w:ilvl w:val="1"/>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260" w:right="420"/>
        <w:spacing w:after="0" w:line="277" w:lineRule="auto"/>
        <w:rPr>
          <w:sz w:val="20"/>
          <w:szCs w:val="20"/>
          <w:color w:val="auto"/>
        </w:rPr>
      </w:pPr>
      <w:r>
        <w:rPr>
          <w:rFonts w:ascii="Arial" w:cs="Arial" w:eastAsia="Arial" w:hAnsi="Arial"/>
          <w:sz w:val="18"/>
          <w:szCs w:val="18"/>
          <w:color w:val="auto"/>
        </w:rPr>
        <w:t>The Consolidated Financial Statements and related notes, together with the report of KPMG LLP, appear in Part II, Item 8 - Financial Statements and Supplementary Data, of this Form 10-K.</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 Schedules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3. Exhibits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that are required to be filed or incorporated by reference herein are listed in the Exhibit Index below.</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10260" w:type="dxa"/>
            <w:vAlign w:val="bottom"/>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498"/>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Certificate of Incorporation of Euronet Worldwide, Inc., as amended (filed as Exhibit 3.2 to the Company's Current Report on Form 8-K filed</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on May 22, 2009 and incorporated by reference herein)</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Certificate of Amendment to Certificate of Incorporation of Euronet Worldwide, Inc. (filed as Exhibit 3.1 to the Company's Current Report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on Form 8-K filed on May 22, 2009 and incorporated by reference herein)</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Amended and Restated Certificate of Designations, Preferences and Rights of Series A Junior Participating Preferred Stock (filed as Exhibit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3.1 to the Company's Current Report on Form 8-K filed on March 29, 2013, and incorporated herein by reference)</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Amended and Restated Bylaws of Euronet Worldwide, Inc. (filed as Exhibit 3.1 to the Company's Current Report on Form 8-K filed on April</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19, 2013, and incorporated herein by reference)</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1"/>
              </w:rPr>
              <w:t>Rights Agreement, dated as of March 26, 2013, between Euronet Worldwide, Inc. and Computershare Trust Company, N.A., as Rights Agent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9"/>
              </w:rPr>
              <w:t>(filed as Exhibit 4.1 to the Company's Current Report on Form 8-K filed on March 29, 2013, and incorporated herein by reference)</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Euronet Worldwide, Inc. 2002 Stock Incentive Plan (Amended and Restated) (included as Appendix B to the Company's Definitive Proxy</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Statement filed on April 20, 2004, and incorporated by reference herein) (2)</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Rules and Procedures for Euronet Matching Stock Option Grant Program (filed as Exhibit 10.3 to Company's Form 10-Q filed on November</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14, 2002 and incorporated by reference herein) (2)</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Form of Employee Restricted Stock Grant Agreement pursuant to Euronet Worldwide, Inc. 2006 Stock Incentive Plan (filed as Exhibit 10.8</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to the Company's Quarterly Report on Form 10-Q filed on August 4, 2006, and incorporated by reference herein) (2)</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20"/>
          </w:cols>
          <w:pgMar w:left="240" w:top="125" w:right="23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Form of Employee Restricted Stock Unit Agreement for Executives and Directors pursuant to Euronet Worldwide, Inc. 2006 Stock Incentive</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Plan (filed as Exhibit 10.39 to the Company's Annual Report on Form 10- K filed February 28, 2007, and incorporated by reference herein)</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10520" w:type="dxa"/>
            <w:vAlign w:val="bottom"/>
          </w:tcPr>
          <w:p>
            <w:pPr>
              <w:ind w:left="360"/>
              <w:spacing w:after="0"/>
              <w:rPr>
                <w:sz w:val="20"/>
                <w:szCs w:val="20"/>
                <w:color w:val="auto"/>
              </w:rPr>
            </w:pPr>
            <w:r>
              <w:rPr>
                <w:rFonts w:ascii="Arial" w:cs="Arial" w:eastAsia="Arial" w:hAnsi="Arial"/>
                <w:sz w:val="18"/>
                <w:szCs w:val="18"/>
                <w:color w:val="auto"/>
                <w:w w:val="96"/>
              </w:rPr>
              <w:t>Employment Agreement dated June 19, 2007 between Euronet Worldwide, Inc. and Kevin J. Caponecchi (filed as Exhibit 10.1 to the</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on June 25, 2007,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10.6</w:t>
            </w: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Euronet Worldwide, Inc. Executive Annual Incentive Plan (filed as Appendix 2 to the Company's Definitive Proxy Statement filed on April</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12, 2011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Amended and Restated Employment Agreement dated April 10, 2008 between Euronet Worldwide, Inc. and Michael J. Brown, Chairman</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and Chief Executive Officer (filed as Exhibit 10.3 to the Company's Quarterly Report on Form 10-Q filed on May 9, 2008, and incorporated</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Amended and Restated Employment Agreement dated April 10, 2008 between Euronet Worldwide, Inc. and Rick L. Weller, Executive Vice</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5"/>
              </w:rPr>
              <w:t>President and Chief Financial Officer (filed as Exhibit 10.4 to the Company's Quarterly Report on Form 10-Q filed on May 9, 2008, and</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10.9</w:t>
            </w: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Amended and Restated Employment Agreement dated April 10, 2008 between Euronet Worldwide, Inc. and Jeffrey B. Newman, Executive</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5"/>
              </w:rPr>
              <w:t>Vice President and General Counsel (filed as Exhibit 10.5 to the Company's Quarterly Report on Form 10-Q filed on May 9, 2008, and</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10520" w:type="dxa"/>
            <w:vAlign w:val="bottom"/>
          </w:tcPr>
          <w:p>
            <w:pPr>
              <w:ind w:left="360"/>
              <w:spacing w:after="0"/>
              <w:rPr>
                <w:sz w:val="20"/>
                <w:szCs w:val="20"/>
                <w:color w:val="auto"/>
              </w:rPr>
            </w:pPr>
            <w:r>
              <w:rPr>
                <w:rFonts w:ascii="Arial" w:cs="Arial" w:eastAsia="Arial" w:hAnsi="Arial"/>
                <w:sz w:val="18"/>
                <w:szCs w:val="18"/>
                <w:color w:val="auto"/>
                <w:w w:val="90"/>
              </w:rPr>
              <w:t>Amended and Restated Employment Agreement dated April 10, 2008 between Euronet Worldwide, Inc. and Juan C. Bianchi, Executive Vice</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President and Managing Director, Money Transfer Segment (filed as Exhibit 10.6 to the Company's Quarterly Report on Form 10-Q filed on</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May 9, 2008,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Form of Indemnification Agreement, (filed as Exhibit 10.1 to the Company's Current Report on Form 8-K filed on December 22, 2008, and</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incorporated by reference herein)</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10520" w:type="dxa"/>
            <w:vAlign w:val="bottom"/>
          </w:tcPr>
          <w:p>
            <w:pPr>
              <w:ind w:left="360"/>
              <w:spacing w:after="0"/>
              <w:rPr>
                <w:sz w:val="20"/>
                <w:szCs w:val="20"/>
                <w:color w:val="auto"/>
              </w:rPr>
            </w:pPr>
            <w:r>
              <w:rPr>
                <w:rFonts w:ascii="Arial" w:cs="Arial" w:eastAsia="Arial" w:hAnsi="Arial"/>
                <w:sz w:val="18"/>
                <w:szCs w:val="18"/>
                <w:color w:val="auto"/>
                <w:w w:val="95"/>
              </w:rPr>
              <w:t>Euronet Worldwide, Inc. 2006 Stock Incentive Plan, as amended and restated (filed as Appendix A to the Company's Definitive Proxy</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Statement filed on April 15, 2013, and incorporated herein by reference)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Form of Employee Restricted Stock Unit Agreement, as amended, pursuant to Euronet Worldwide, Inc. 2006 Stock Incentive Plan (filed as</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Exhibit 10.1 to the Company's Quarterly Report on Form 10-Q filed on May 7, 2010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10520" w:type="dxa"/>
            <w:vAlign w:val="bottom"/>
          </w:tcPr>
          <w:p>
            <w:pPr>
              <w:ind w:left="360"/>
              <w:spacing w:after="0"/>
              <w:rPr>
                <w:sz w:val="20"/>
                <w:szCs w:val="20"/>
                <w:color w:val="auto"/>
              </w:rPr>
            </w:pPr>
            <w:r>
              <w:rPr>
                <w:rFonts w:ascii="Arial" w:cs="Arial" w:eastAsia="Arial" w:hAnsi="Arial"/>
                <w:sz w:val="18"/>
                <w:szCs w:val="18"/>
                <w:color w:val="auto"/>
                <w:w w:val="96"/>
              </w:rPr>
              <w:t>Form of Nonqualified Stock Option Agreement, as amended, pursuant to Euronet Worldwide, Inc. 2006 Stock Incentive Plan (filed as</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Exhibit 10.2 to the Company's Quarterly Report on Form 10-Q filed on May 7, 2010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Euronet Worldwide, Inc. Employee Stock Purchase Plan, as amended (filed as Exhibit 10.22 to the Company's Annual Report on Form 10-K</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filed on February 25, 2011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10.16</w:t>
            </w:r>
          </w:p>
        </w:tc>
        <w:tc>
          <w:tcPr>
            <w:tcW w:w="10520" w:type="dxa"/>
            <w:vAlign w:val="bottom"/>
          </w:tcPr>
          <w:p>
            <w:pPr>
              <w:ind w:left="360"/>
              <w:spacing w:after="0"/>
              <w:rPr>
                <w:sz w:val="20"/>
                <w:szCs w:val="20"/>
                <w:color w:val="auto"/>
              </w:rPr>
            </w:pPr>
            <w:r>
              <w:rPr>
                <w:rFonts w:ascii="Arial" w:cs="Arial" w:eastAsia="Arial" w:hAnsi="Arial"/>
                <w:sz w:val="18"/>
                <w:szCs w:val="18"/>
                <w:color w:val="auto"/>
                <w:w w:val="95"/>
              </w:rPr>
              <w:t>Euronet Worldwide, Inc. Long-Term Incentive Stock Option Plan (1996), as amended (filed as Exhibit 10.23 to the Company's Annual</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Report on Form 10-K filed on February 25, 2011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10.17</w:t>
            </w: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Euronet Worldwide, Inc. Stock Option Plan (1998), as amended (filed as Exhibit 10.24 to the Company's Annual Report on Form 10-K filed</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on February 25, 2011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10.18</w:t>
            </w:r>
          </w:p>
        </w:tc>
        <w:tc>
          <w:tcPr>
            <w:tcW w:w="10520" w:type="dxa"/>
            <w:vAlign w:val="bottom"/>
          </w:tcPr>
          <w:p>
            <w:pPr>
              <w:ind w:left="360"/>
              <w:spacing w:after="0"/>
              <w:rPr>
                <w:sz w:val="20"/>
                <w:szCs w:val="20"/>
                <w:color w:val="auto"/>
              </w:rPr>
            </w:pPr>
            <w:r>
              <w:rPr>
                <w:rFonts w:ascii="Arial" w:cs="Arial" w:eastAsia="Arial" w:hAnsi="Arial"/>
                <w:sz w:val="18"/>
                <w:szCs w:val="18"/>
                <w:color w:val="auto"/>
                <w:w w:val="90"/>
              </w:rPr>
              <w:t>Employment Agreement dated February 24, 2011 between Euronet Card Services SA and Nikos Fountas, Senior Vice President - Managing</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Director, Europe EFT Processing Segment (filed as Exhibit 10.25 to the Company's Annual Report on Form 10-K filed on February 25, 2011</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and incorporated by reference herein) (2)</w:t>
            </w:r>
          </w:p>
        </w:tc>
      </w:tr>
    </w:tbl>
    <w:p>
      <w:pPr>
        <w:spacing w:after="0" w:line="200" w:lineRule="exact"/>
        <w:rPr>
          <w:sz w:val="20"/>
          <w:szCs w:val="20"/>
          <w:color w:val="auto"/>
        </w:rPr>
      </w:pPr>
    </w:p>
    <w:p>
      <w:pPr>
        <w:sectPr>
          <w:pgSz w:w="11900" w:h="16838" w:orient="portrait"/>
          <w:cols w:equalWidth="0" w:num="1">
            <w:col w:w="11340"/>
          </w:cols>
          <w:pgMar w:left="240" w:top="125" w:right="319"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340"/>
          </w:cols>
          <w:pgMar w:left="240" w:top="125" w:right="31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10.19</w:t>
            </w: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Bonus Compensation Agreement between Euronet Worldwide, Inc. and Nikos Fountas, Senior Vice President - Managing Director, Europe</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EFT Processing Segment (filed as Exhibit 10.26 to the Company's Annual Report on Form 10-K filed on February 25, 2011 and incorporated</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10.20</w:t>
            </w:r>
          </w:p>
        </w:tc>
        <w:tc>
          <w:tcPr>
            <w:tcW w:w="10560" w:type="dxa"/>
            <w:vAlign w:val="bottom"/>
          </w:tcPr>
          <w:p>
            <w:pPr>
              <w:ind w:left="360"/>
              <w:spacing w:after="0"/>
              <w:rPr>
                <w:sz w:val="20"/>
                <w:szCs w:val="20"/>
                <w:color w:val="auto"/>
              </w:rPr>
            </w:pPr>
            <w:r>
              <w:rPr>
                <w:rFonts w:ascii="Arial" w:cs="Arial" w:eastAsia="Arial" w:hAnsi="Arial"/>
                <w:sz w:val="18"/>
                <w:szCs w:val="18"/>
                <w:color w:val="auto"/>
                <w:w w:val="90"/>
              </w:rPr>
              <w:t>Euronet Worldwide, Inc. Employee Stock Purchase Plan, as amended (filed as Exhibit 10.1 to the Company's Quarterly Report on Form 10-Q</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filed on August 4, 2011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10.21</w:t>
            </w: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Euronet Worldwide, Inc. Executive Annual Incentive Plan, as amended (filed as Exhibit 10.2 to the Company's Quarterly Report on Form 10-</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Q filed on August 4, 2011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10.22</w:t>
            </w:r>
          </w:p>
        </w:tc>
        <w:tc>
          <w:tcPr>
            <w:tcW w:w="10560" w:type="dxa"/>
            <w:vAlign w:val="bottom"/>
          </w:tcPr>
          <w:p>
            <w:pPr>
              <w:ind w:left="360"/>
              <w:spacing w:after="0"/>
              <w:rPr>
                <w:sz w:val="20"/>
                <w:szCs w:val="20"/>
                <w:color w:val="auto"/>
              </w:rPr>
            </w:pPr>
            <w:r>
              <w:rPr>
                <w:rFonts w:ascii="Arial" w:cs="Arial" w:eastAsia="Arial" w:hAnsi="Arial"/>
                <w:sz w:val="18"/>
                <w:szCs w:val="18"/>
                <w:color w:val="auto"/>
                <w:w w:val="96"/>
              </w:rPr>
              <w:t>Amended and Restated Credit Agreement dated as of August 18, 2011 among Euronet Worldwide, Inc., and certain Subsidiaries and</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Affiliates, as Borrowers, certain Subsidiaries and Affiliates as Guarantors, the Lenders Party Hereto, Bank of America, N.A., as</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3"/>
              </w:rPr>
              <w:t>Administrative Agent and Collateral Agent, U.S. Bank National Association, as Syndication Agent and Bank of Montreal, BBVA Compass</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4"/>
              </w:rPr>
              <w:t>Bank, Keybank National Association, as Co-Documentation Agents (filed as Exhibit 10.1 to the Company's Current Report on Form 8-K</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filed on August 23, 2011 and incorporated by reference herein)</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10.23</w:t>
            </w:r>
          </w:p>
        </w:tc>
        <w:tc>
          <w:tcPr>
            <w:tcW w:w="10560" w:type="dxa"/>
            <w:vAlign w:val="bottom"/>
          </w:tcPr>
          <w:p>
            <w:pPr>
              <w:ind w:left="360"/>
              <w:spacing w:after="0"/>
              <w:rPr>
                <w:sz w:val="20"/>
                <w:szCs w:val="20"/>
                <w:color w:val="auto"/>
              </w:rPr>
            </w:pPr>
            <w:r>
              <w:rPr>
                <w:rFonts w:ascii="Arial" w:cs="Arial" w:eastAsia="Arial" w:hAnsi="Arial"/>
                <w:sz w:val="18"/>
                <w:szCs w:val="18"/>
                <w:color w:val="auto"/>
                <w:w w:val="95"/>
              </w:rPr>
              <w:t>Commitment Increase Agreement, dated as of October 11, 2012 by and among Euronet Worldwide, Inc., and certain Subsidiaries and</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6"/>
              </w:rPr>
              <w:t>Affiliates, as Borrowers under the Master Revolving Commitments, certain Subsidiaries and Affiliates as Guarantors, the Incremental</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Commitment Lenders, and Bank of America, N.A., as Administrative Agent (filed as Exhibit 10.1 to the Company's Current Report on Form</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8-K filed on October 15, 2012 and incorporated by reference herein)</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10.24</w:t>
            </w:r>
          </w:p>
        </w:tc>
        <w:tc>
          <w:tcPr>
            <w:tcW w:w="10560" w:type="dxa"/>
            <w:vAlign w:val="bottom"/>
          </w:tcPr>
          <w:p>
            <w:pPr>
              <w:ind w:left="360"/>
              <w:spacing w:after="0"/>
              <w:rPr>
                <w:sz w:val="20"/>
                <w:szCs w:val="20"/>
                <w:color w:val="auto"/>
              </w:rPr>
            </w:pPr>
            <w:r>
              <w:rPr>
                <w:rFonts w:ascii="Arial" w:cs="Arial" w:eastAsia="Arial" w:hAnsi="Arial"/>
                <w:sz w:val="18"/>
                <w:szCs w:val="18"/>
                <w:color w:val="auto"/>
                <w:w w:val="93"/>
              </w:rPr>
              <w:t>Stock Purchase Agreement dated November 29, 2012, between Euronet Worldwide, Inc. and West Side Investment Management, Inc., a</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7"/>
              </w:rPr>
              <w:t>subsidiary of DST Systems, Inc. (filed as Exhibit 10.1 to the Company's Current Report on Form 8-K filed on December 3, 2012 and</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incorporated by reference herein)</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12.1</w:t>
            </w:r>
          </w:p>
        </w:tc>
        <w:tc>
          <w:tcPr>
            <w:tcW w:w="10560" w:type="dxa"/>
            <w:vAlign w:val="bottom"/>
          </w:tcPr>
          <w:p>
            <w:pPr>
              <w:ind w:left="360"/>
              <w:spacing w:after="0"/>
              <w:rPr>
                <w:sz w:val="20"/>
                <w:szCs w:val="20"/>
                <w:color w:val="auto"/>
              </w:rPr>
            </w:pPr>
            <w:r>
              <w:rPr>
                <w:rFonts w:ascii="Arial" w:cs="Arial" w:eastAsia="Arial" w:hAnsi="Arial"/>
                <w:sz w:val="18"/>
                <w:szCs w:val="18"/>
                <w:color w:val="auto"/>
              </w:rPr>
              <w:t>Computation of Ratio of Earnings to Fixed Charges (1)</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21.1</w:t>
            </w:r>
          </w:p>
        </w:tc>
        <w:tc>
          <w:tcPr>
            <w:tcW w:w="10560" w:type="dxa"/>
            <w:vAlign w:val="bottom"/>
          </w:tcPr>
          <w:p>
            <w:pPr>
              <w:ind w:left="360"/>
              <w:spacing w:after="0"/>
              <w:rPr>
                <w:sz w:val="20"/>
                <w:szCs w:val="20"/>
                <w:color w:val="auto"/>
              </w:rPr>
            </w:pPr>
            <w:r>
              <w:rPr>
                <w:rFonts w:ascii="Arial" w:cs="Arial" w:eastAsia="Arial" w:hAnsi="Arial"/>
                <w:sz w:val="18"/>
                <w:szCs w:val="18"/>
                <w:color w:val="auto"/>
              </w:rPr>
              <w:t>Subsidiaries of the Registrant (1)</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10560" w:type="dxa"/>
            <w:vAlign w:val="bottom"/>
          </w:tcPr>
          <w:p>
            <w:pPr>
              <w:ind w:left="360"/>
              <w:spacing w:after="0"/>
              <w:rPr>
                <w:sz w:val="20"/>
                <w:szCs w:val="20"/>
                <w:color w:val="auto"/>
              </w:rPr>
            </w:pPr>
            <w:r>
              <w:rPr>
                <w:rFonts w:ascii="Arial" w:cs="Arial" w:eastAsia="Arial" w:hAnsi="Arial"/>
                <w:sz w:val="18"/>
                <w:szCs w:val="18"/>
                <w:color w:val="auto"/>
              </w:rPr>
              <w:t>Consent of Independent Registered Public Accounting Firm (1)</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tcPr>
          <w:p>
            <w:pPr>
              <w:ind w:left="360"/>
              <w:spacing w:after="0"/>
              <w:rPr>
                <w:sz w:val="20"/>
                <w:szCs w:val="20"/>
                <w:color w:val="auto"/>
              </w:rPr>
            </w:pPr>
            <w:r>
              <w:rPr>
                <w:rFonts w:ascii="Arial" w:cs="Arial" w:eastAsia="Arial" w:hAnsi="Arial"/>
                <w:sz w:val="18"/>
                <w:szCs w:val="18"/>
                <w:color w:val="auto"/>
              </w:rPr>
              <w:t>Section 302 — Certification of Chief Executive Officer (1)</w:t>
            </w:r>
          </w:p>
        </w:tc>
      </w:tr>
      <w:tr>
        <w:trPr>
          <w:trHeight w:val="540"/>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10560" w:type="dxa"/>
            <w:vAlign w:val="bottom"/>
          </w:tcPr>
          <w:p>
            <w:pPr>
              <w:ind w:left="360"/>
              <w:spacing w:after="0"/>
              <w:rPr>
                <w:sz w:val="20"/>
                <w:szCs w:val="20"/>
                <w:color w:val="auto"/>
              </w:rPr>
            </w:pPr>
            <w:r>
              <w:rPr>
                <w:rFonts w:ascii="Arial" w:cs="Arial" w:eastAsia="Arial" w:hAnsi="Arial"/>
                <w:sz w:val="18"/>
                <w:szCs w:val="18"/>
                <w:color w:val="auto"/>
              </w:rPr>
              <w:t>Section 302 — Certification of Chief Financial Officer (1)</w:t>
            </w:r>
          </w:p>
        </w:tc>
      </w:tr>
      <w:tr>
        <w:trPr>
          <w:trHeight w:val="540"/>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10560" w:type="dxa"/>
            <w:vAlign w:val="bottom"/>
          </w:tcPr>
          <w:p>
            <w:pPr>
              <w:ind w:left="360"/>
              <w:spacing w:after="0"/>
              <w:rPr>
                <w:sz w:val="20"/>
                <w:szCs w:val="20"/>
                <w:color w:val="auto"/>
              </w:rPr>
            </w:pPr>
            <w:r>
              <w:rPr>
                <w:rFonts w:ascii="Arial" w:cs="Arial" w:eastAsia="Arial" w:hAnsi="Arial"/>
                <w:sz w:val="18"/>
                <w:szCs w:val="18"/>
                <w:color w:val="auto"/>
              </w:rPr>
              <w:t>Section 906 Certification of Chief Executive Officer (3)</w:t>
            </w:r>
          </w:p>
        </w:tc>
      </w:tr>
      <w:tr>
        <w:trPr>
          <w:trHeight w:val="540"/>
        </w:trPr>
        <w:tc>
          <w:tcPr>
            <w:tcW w:w="780" w:type="dxa"/>
            <w:vAlign w:val="bottom"/>
          </w:tcPr>
          <w:p>
            <w:pPr>
              <w:spacing w:after="0"/>
              <w:rPr>
                <w:sz w:val="20"/>
                <w:szCs w:val="20"/>
                <w:color w:val="auto"/>
              </w:rPr>
            </w:pPr>
            <w:r>
              <w:rPr>
                <w:rFonts w:ascii="Arial" w:cs="Arial" w:eastAsia="Arial" w:hAnsi="Arial"/>
                <w:sz w:val="18"/>
                <w:szCs w:val="18"/>
                <w:color w:val="auto"/>
              </w:rPr>
              <w:t>32.2</w:t>
            </w:r>
          </w:p>
        </w:tc>
        <w:tc>
          <w:tcPr>
            <w:tcW w:w="10560" w:type="dxa"/>
            <w:vAlign w:val="bottom"/>
          </w:tcPr>
          <w:p>
            <w:pPr>
              <w:ind w:left="360"/>
              <w:spacing w:after="0"/>
              <w:rPr>
                <w:sz w:val="20"/>
                <w:szCs w:val="20"/>
                <w:color w:val="auto"/>
              </w:rPr>
            </w:pPr>
            <w:r>
              <w:rPr>
                <w:rFonts w:ascii="Arial" w:cs="Arial" w:eastAsia="Arial" w:hAnsi="Arial"/>
                <w:sz w:val="18"/>
                <w:szCs w:val="18"/>
                <w:color w:val="auto"/>
              </w:rPr>
              <w:t>Section 906 Certification of Chief Financial Officer (3)</w:t>
            </w:r>
          </w:p>
        </w:tc>
      </w:tr>
    </w:tbl>
    <w:p>
      <w:pPr>
        <w:spacing w:after="0" w:line="310" w:lineRule="exact"/>
        <w:rPr>
          <w:sz w:val="20"/>
          <w:szCs w:val="20"/>
          <w:color w:val="auto"/>
        </w:rPr>
      </w:pPr>
    </w:p>
    <w:p>
      <w:pPr>
        <w:ind w:left="1180" w:right="140" w:hanging="1145"/>
        <w:spacing w:after="0" w:line="255"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materials from Euronet Worldwide, Inc.’s Annual Report on Form 10-K for the year ended December 31, 2013, formatted in XBRL (eXtensible Business Reporting Language): (i) Consolidated Balance Sheets at December 31, 2013 and 2012, (ii) Consolidated Statements of Income for the years ended December 31, 2013, 2012 and 2011, (iii) Consolidated Statements of Comprehensive Income for the years ended December 31, 2013, 2012 and 2011, (iv) Consolidated Statements of Changes in Equity for the years ended December 31, 2013, 2012 and 2011, (v) Consolidated Statements of Cash Flows for the years ended December 31, 2013, 2012 and 2011, and (vi) Notes to the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17" w:lineRule="exact"/>
        <w:rPr>
          <w:sz w:val="20"/>
          <w:szCs w:val="20"/>
          <w:color w:val="auto"/>
        </w:rPr>
      </w:pPr>
    </w:p>
    <w:p>
      <w:pPr>
        <w:ind w:left="420" w:hanging="412"/>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rFonts w:ascii="Arial" w:cs="Arial" w:eastAsia="Arial" w:hAnsi="Arial"/>
          <w:sz w:val="18"/>
          <w:szCs w:val="18"/>
          <w:color w:val="auto"/>
        </w:rPr>
      </w:pPr>
    </w:p>
    <w:p>
      <w:pPr>
        <w:ind w:left="400" w:hanging="378"/>
        <w:spacing w:after="0"/>
        <w:tabs>
          <w:tab w:leader="none" w:pos="4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 required to be filed as Exhibits pursuant to Item 15(a) of this report.</w:t>
      </w:r>
    </w:p>
    <w:p>
      <w:pPr>
        <w:spacing w:after="0" w:line="117" w:lineRule="exact"/>
        <w:rPr>
          <w:rFonts w:ascii="Arial" w:cs="Arial" w:eastAsia="Arial" w:hAnsi="Arial"/>
          <w:sz w:val="18"/>
          <w:szCs w:val="18"/>
          <w:color w:val="auto"/>
        </w:rPr>
      </w:pPr>
    </w:p>
    <w:p>
      <w:pPr>
        <w:ind w:left="400" w:hanging="378"/>
        <w:spacing w:after="0"/>
        <w:tabs>
          <w:tab w:leader="none" w:pos="4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Pursuant to Item 601(b)(32) of Regulation S-K, this Exhibit is furnished rather than filed with this Form 10-K.</w:t>
      </w:r>
    </w:p>
    <w:p>
      <w:pPr>
        <w:sectPr>
          <w:pgSz w:w="11900" w:h="16838" w:orient="portrait"/>
          <w:cols w:equalWidth="0" w:num="1">
            <w:col w:w="11380"/>
          </w:cols>
          <w:pgMar w:left="240" w:top="125" w:right="279" w:bottom="1440"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380"/>
          </w:cols>
          <w:pgMar w:left="240" w:top="125" w:right="27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Euronet Worldwide,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2014</w:t>
      </w:r>
    </w:p>
    <w:p>
      <w:pPr>
        <w:spacing w:after="0" w:line="17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31750</wp:posOffset>
            </wp:positionV>
            <wp:extent cx="3644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3"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Chairman of the Board of Directors, Chief Executive</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Officer and Director (principal executive officer)</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1"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11"/>
          </w:tcPr>
          <w:p>
            <w:pPr>
              <w:jc w:val="center"/>
              <w:ind w:right="1420"/>
              <w:spacing w:after="0"/>
              <w:rPr>
                <w:sz w:val="20"/>
                <w:szCs w:val="20"/>
                <w:color w:val="auto"/>
              </w:rPr>
            </w:pPr>
            <w:r>
              <w:rPr>
                <w:rFonts w:ascii="Arial" w:cs="Arial" w:eastAsia="Arial" w:hAnsi="Arial"/>
                <w:sz w:val="14"/>
                <w:szCs w:val="14"/>
                <w:b w:val="1"/>
                <w:bCs w:val="1"/>
                <w:color w:val="auto"/>
                <w:w w:val="92"/>
              </w:rPr>
              <w:t>Signature</w:t>
            </w:r>
          </w:p>
        </w:tc>
        <w:tc>
          <w:tcPr>
            <w:tcW w:w="6100" w:type="dxa"/>
            <w:vAlign w:val="bottom"/>
            <w:gridSpan w:val="3"/>
          </w:tcPr>
          <w:p>
            <w:pPr>
              <w:ind w:left="3380"/>
              <w:spacing w:after="0"/>
              <w:rPr>
                <w:sz w:val="20"/>
                <w:szCs w:val="20"/>
                <w:color w:val="auto"/>
              </w:rPr>
            </w:pPr>
            <w:r>
              <w:rPr>
                <w:rFonts w:ascii="Arial" w:cs="Arial" w:eastAsia="Arial" w:hAnsi="Arial"/>
                <w:sz w:val="14"/>
                <w:szCs w:val="14"/>
                <w:b w:val="1"/>
                <w:bCs w:val="1"/>
                <w:color w:val="auto"/>
              </w:rPr>
              <w:t>Title</w:t>
            </w: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gridSpan w:val="16"/>
          </w:tcPr>
          <w:p>
            <w:pPr>
              <w:jc w:val="center"/>
              <w:ind w:right="900"/>
              <w:spacing w:after="0"/>
              <w:rPr>
                <w:sz w:val="20"/>
                <w:szCs w:val="20"/>
                <w:color w:val="auto"/>
              </w:rPr>
            </w:pPr>
            <w:r>
              <w:rPr>
                <w:rFonts w:ascii="Arial" w:cs="Arial" w:eastAsia="Arial" w:hAnsi="Arial"/>
                <w:sz w:val="18"/>
                <w:szCs w:val="18"/>
                <w:color w:val="auto"/>
                <w:w w:val="93"/>
              </w:rPr>
              <w:t>/s/ Michael J. Brown</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8"/>
          </w:tcPr>
          <w:p>
            <w:pPr>
              <w:jc w:val="center"/>
              <w:ind w:right="60"/>
              <w:spacing w:after="0"/>
              <w:rPr>
                <w:sz w:val="20"/>
                <w:szCs w:val="20"/>
                <w:color w:val="auto"/>
              </w:rPr>
            </w:pPr>
            <w:r>
              <w:rPr>
                <w:rFonts w:ascii="Arial" w:cs="Arial" w:eastAsia="Arial" w:hAnsi="Arial"/>
                <w:sz w:val="18"/>
                <w:szCs w:val="18"/>
                <w:b w:val="1"/>
                <w:bCs w:val="1"/>
                <w:color w:val="auto"/>
                <w:w w:val="92"/>
              </w:rPr>
              <w:t>Michael J. Brown</w:t>
            </w:r>
          </w:p>
        </w:tc>
        <w:tc>
          <w:tcPr>
            <w:tcW w:w="960" w:type="dxa"/>
            <w:vAlign w:val="bottom"/>
            <w:gridSpan w:val="6"/>
          </w:tcPr>
          <w:p>
            <w:pPr>
              <w:spacing w:after="0"/>
              <w:rPr>
                <w:sz w:val="19"/>
                <w:szCs w:val="19"/>
                <w:color w:val="auto"/>
              </w:rPr>
            </w:pP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w w:val="92"/>
              </w:rPr>
              <w:t>Chairman of the Board of Directors, Chief Executive Officer and Director</w:t>
            </w: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80" w:type="dxa"/>
            <w:vAlign w:val="bottom"/>
            <w:gridSpan w:val="13"/>
          </w:tcPr>
          <w:p>
            <w:pPr>
              <w:jc w:val="center"/>
              <w:ind w:right="1060"/>
              <w:spacing w:after="0"/>
              <w:rPr>
                <w:sz w:val="20"/>
                <w:szCs w:val="20"/>
                <w:color w:val="auto"/>
              </w:rPr>
            </w:pPr>
            <w:r>
              <w:rPr>
                <w:rFonts w:ascii="Arial" w:cs="Arial" w:eastAsia="Arial" w:hAnsi="Arial"/>
                <w:sz w:val="18"/>
                <w:szCs w:val="18"/>
                <w:color w:val="auto"/>
                <w:w w:val="89"/>
              </w:rPr>
              <w:t>February 27, 2014</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(principal executive officer)</w:t>
            </w:r>
          </w:p>
        </w:tc>
      </w:tr>
      <w:tr>
        <w:trPr>
          <w:trHeight w:val="52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12"/>
          </w:tcPr>
          <w:p>
            <w:pPr>
              <w:jc w:val="center"/>
              <w:ind w:right="1080"/>
              <w:spacing w:after="0"/>
              <w:rPr>
                <w:sz w:val="20"/>
                <w:szCs w:val="20"/>
                <w:color w:val="auto"/>
              </w:rPr>
            </w:pPr>
            <w:r>
              <w:rPr>
                <w:rFonts w:ascii="Arial" w:cs="Arial" w:eastAsia="Arial" w:hAnsi="Arial"/>
                <w:sz w:val="18"/>
                <w:szCs w:val="18"/>
                <w:color w:val="auto"/>
                <w:w w:val="94"/>
              </w:rPr>
              <w:t>/s/ Rick L. Weller</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Rick L. Weller</w:t>
            </w:r>
          </w:p>
        </w:tc>
        <w:tc>
          <w:tcPr>
            <w:tcW w:w="1080" w:type="dxa"/>
            <w:vAlign w:val="bottom"/>
            <w:gridSpan w:val="9"/>
          </w:tcPr>
          <w:p>
            <w:pPr>
              <w:spacing w:after="0"/>
              <w:rPr>
                <w:sz w:val="19"/>
                <w:szCs w:val="19"/>
                <w:color w:val="auto"/>
              </w:rPr>
            </w:pP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w w:val="94"/>
              </w:rPr>
              <w:t>Chief Financial Officer and Chief Accounting Officer (principal financial</w:t>
            </w: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80" w:type="dxa"/>
            <w:vAlign w:val="bottom"/>
            <w:gridSpan w:val="13"/>
          </w:tcPr>
          <w:p>
            <w:pPr>
              <w:jc w:val="center"/>
              <w:ind w:right="1060"/>
              <w:spacing w:after="0"/>
              <w:rPr>
                <w:sz w:val="20"/>
                <w:szCs w:val="20"/>
                <w:color w:val="auto"/>
              </w:rPr>
            </w:pPr>
            <w:r>
              <w:rPr>
                <w:rFonts w:ascii="Arial" w:cs="Arial" w:eastAsia="Arial" w:hAnsi="Arial"/>
                <w:sz w:val="18"/>
                <w:szCs w:val="18"/>
                <w:color w:val="auto"/>
                <w:w w:val="89"/>
              </w:rPr>
              <w:t>February 27, 2014</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officer and principal accounting officer)</w:t>
            </w:r>
          </w:p>
        </w:tc>
      </w:tr>
      <w:tr>
        <w:trPr>
          <w:trHeight w:val="52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0"/>
              </w:rPr>
              <w:t>/s/ Paul S. Althasen</w:t>
            </w:r>
          </w:p>
        </w:tc>
        <w:tc>
          <w:tcPr>
            <w:tcW w:w="1000" w:type="dxa"/>
            <w:vAlign w:val="bottom"/>
            <w:gridSpan w:val="7"/>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gridSpan w:val="12"/>
          </w:tcPr>
          <w:p>
            <w:pPr>
              <w:jc w:val="center"/>
              <w:ind w:right="1060"/>
              <w:spacing w:after="0"/>
              <w:rPr>
                <w:sz w:val="20"/>
                <w:szCs w:val="20"/>
                <w:color w:val="auto"/>
              </w:rPr>
            </w:pPr>
            <w:r>
              <w:rPr>
                <w:rFonts w:ascii="Arial" w:cs="Arial" w:eastAsia="Arial" w:hAnsi="Arial"/>
                <w:sz w:val="18"/>
                <w:szCs w:val="18"/>
                <w:b w:val="1"/>
                <w:bCs w:val="1"/>
                <w:color w:val="auto"/>
                <w:w w:val="89"/>
              </w:rPr>
              <w:t>Paul S. Althasen</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80" w:type="dxa"/>
            <w:vAlign w:val="bottom"/>
            <w:gridSpan w:val="13"/>
          </w:tcPr>
          <w:p>
            <w:pPr>
              <w:jc w:val="center"/>
              <w:ind w:right="1060"/>
              <w:spacing w:after="0"/>
              <w:rPr>
                <w:sz w:val="20"/>
                <w:szCs w:val="20"/>
                <w:color w:val="auto"/>
              </w:rPr>
            </w:pPr>
            <w:r>
              <w:rPr>
                <w:rFonts w:ascii="Arial" w:cs="Arial" w:eastAsia="Arial" w:hAnsi="Arial"/>
                <w:sz w:val="18"/>
                <w:szCs w:val="18"/>
                <w:color w:val="auto"/>
                <w:w w:val="89"/>
              </w:rPr>
              <w:t>February 27, 2014</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27"/>
        </w:trPr>
        <w:tc>
          <w:tcPr>
            <w:tcW w:w="40" w:type="dxa"/>
            <w:vAlign w:val="bottom"/>
          </w:tcPr>
          <w:p>
            <w:pPr>
              <w:spacing w:after="0"/>
              <w:rPr>
                <w:sz w:val="24"/>
                <w:szCs w:val="24"/>
                <w:color w:val="auto"/>
              </w:rPr>
            </w:pPr>
          </w:p>
        </w:tc>
        <w:tc>
          <w:tcPr>
            <w:tcW w:w="2620" w:type="dxa"/>
            <w:vAlign w:val="bottom"/>
            <w:gridSpan w:val="18"/>
          </w:tcPr>
          <w:p>
            <w:pPr>
              <w:jc w:val="center"/>
              <w:ind w:right="800"/>
              <w:spacing w:after="0"/>
              <w:rPr>
                <w:sz w:val="20"/>
                <w:szCs w:val="20"/>
                <w:color w:val="auto"/>
              </w:rPr>
            </w:pPr>
            <w:r>
              <w:rPr>
                <w:rFonts w:ascii="Arial" w:cs="Arial" w:eastAsia="Arial" w:hAnsi="Arial"/>
                <w:sz w:val="18"/>
                <w:szCs w:val="18"/>
                <w:color w:val="auto"/>
                <w:w w:val="93"/>
              </w:rPr>
              <w:t>/s/ Andrzej Olechowski</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12"/>
          </w:tcPr>
          <w:p>
            <w:pPr>
              <w:jc w:val="center"/>
              <w:ind w:right="60"/>
              <w:spacing w:after="0"/>
              <w:rPr>
                <w:sz w:val="20"/>
                <w:szCs w:val="20"/>
                <w:color w:val="auto"/>
              </w:rPr>
            </w:pPr>
            <w:r>
              <w:rPr>
                <w:rFonts w:ascii="Arial" w:cs="Arial" w:eastAsia="Arial" w:hAnsi="Arial"/>
                <w:sz w:val="18"/>
                <w:szCs w:val="18"/>
                <w:b w:val="1"/>
                <w:bCs w:val="1"/>
                <w:color w:val="auto"/>
                <w:w w:val="91"/>
              </w:rPr>
              <w:t>Andrzej Olechowski</w:t>
            </w:r>
          </w:p>
        </w:tc>
        <w:tc>
          <w:tcPr>
            <w:tcW w:w="860" w:type="dxa"/>
            <w:vAlign w:val="bottom"/>
            <w:gridSpan w:val="4"/>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80" w:type="dxa"/>
            <w:vAlign w:val="bottom"/>
            <w:gridSpan w:val="13"/>
          </w:tcPr>
          <w:p>
            <w:pPr>
              <w:jc w:val="center"/>
              <w:ind w:right="1060"/>
              <w:spacing w:after="0"/>
              <w:rPr>
                <w:sz w:val="20"/>
                <w:szCs w:val="20"/>
                <w:color w:val="auto"/>
              </w:rPr>
            </w:pPr>
            <w:r>
              <w:rPr>
                <w:rFonts w:ascii="Arial" w:cs="Arial" w:eastAsia="Arial" w:hAnsi="Arial"/>
                <w:sz w:val="18"/>
                <w:szCs w:val="18"/>
                <w:color w:val="auto"/>
                <w:w w:val="89"/>
              </w:rPr>
              <w:t>February 27, 2014</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27"/>
        </w:trPr>
        <w:tc>
          <w:tcPr>
            <w:tcW w:w="40" w:type="dxa"/>
            <w:vAlign w:val="bottom"/>
          </w:tcPr>
          <w:p>
            <w:pPr>
              <w:spacing w:after="0"/>
              <w:rPr>
                <w:sz w:val="24"/>
                <w:szCs w:val="24"/>
                <w:color w:val="auto"/>
              </w:rPr>
            </w:pPr>
          </w:p>
        </w:tc>
        <w:tc>
          <w:tcPr>
            <w:tcW w:w="1820" w:type="dxa"/>
            <w:vAlign w:val="bottom"/>
            <w:tcBorders>
              <w:bottom w:val="single" w:sz="8" w:color="auto"/>
            </w:tcBorders>
            <w:gridSpan w:val="15"/>
          </w:tcPr>
          <w:p>
            <w:pPr>
              <w:jc w:val="center"/>
              <w:spacing w:after="0"/>
              <w:rPr>
                <w:sz w:val="20"/>
                <w:szCs w:val="20"/>
                <w:color w:val="auto"/>
              </w:rPr>
            </w:pPr>
            <w:r>
              <w:rPr>
                <w:rFonts w:ascii="Arial" w:cs="Arial" w:eastAsia="Arial" w:hAnsi="Arial"/>
                <w:sz w:val="18"/>
                <w:szCs w:val="18"/>
                <w:color w:val="auto"/>
                <w:w w:val="90"/>
              </w:rPr>
              <w:t>/s/ Eriberto R. Scocimara</w:t>
            </w:r>
          </w:p>
        </w:tc>
        <w:tc>
          <w:tcPr>
            <w:tcW w:w="800" w:type="dxa"/>
            <w:vAlign w:val="bottom"/>
            <w:gridSpan w:val="3"/>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2620" w:type="dxa"/>
            <w:vAlign w:val="bottom"/>
            <w:gridSpan w:val="18"/>
          </w:tcPr>
          <w:p>
            <w:pPr>
              <w:jc w:val="center"/>
              <w:ind w:right="800"/>
              <w:spacing w:after="0"/>
              <w:rPr>
                <w:sz w:val="20"/>
                <w:szCs w:val="20"/>
                <w:color w:val="auto"/>
              </w:rPr>
            </w:pPr>
            <w:r>
              <w:rPr>
                <w:rFonts w:ascii="Arial" w:cs="Arial" w:eastAsia="Arial" w:hAnsi="Arial"/>
                <w:sz w:val="18"/>
                <w:szCs w:val="18"/>
                <w:b w:val="1"/>
                <w:bCs w:val="1"/>
                <w:color w:val="auto"/>
                <w:w w:val="92"/>
              </w:rPr>
              <w:t>Eriberto R. Scocimara</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80" w:type="dxa"/>
            <w:vAlign w:val="bottom"/>
            <w:gridSpan w:val="13"/>
          </w:tcPr>
          <w:p>
            <w:pPr>
              <w:jc w:val="center"/>
              <w:ind w:right="1060"/>
              <w:spacing w:after="0"/>
              <w:rPr>
                <w:sz w:val="20"/>
                <w:szCs w:val="20"/>
                <w:color w:val="auto"/>
              </w:rPr>
            </w:pPr>
            <w:r>
              <w:rPr>
                <w:rFonts w:ascii="Arial" w:cs="Arial" w:eastAsia="Arial" w:hAnsi="Arial"/>
                <w:sz w:val="18"/>
                <w:szCs w:val="18"/>
                <w:color w:val="auto"/>
                <w:w w:val="89"/>
              </w:rPr>
              <w:t>February 27, 2014</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27"/>
        </w:trPr>
        <w:tc>
          <w:tcPr>
            <w:tcW w:w="2660" w:type="dxa"/>
            <w:vAlign w:val="bottom"/>
            <w:gridSpan w:val="19"/>
          </w:tcPr>
          <w:p>
            <w:pPr>
              <w:jc w:val="center"/>
              <w:ind w:right="780"/>
              <w:spacing w:after="0"/>
              <w:rPr>
                <w:sz w:val="20"/>
                <w:szCs w:val="20"/>
                <w:color w:val="auto"/>
              </w:rPr>
            </w:pPr>
            <w:r>
              <w:rPr>
                <w:rFonts w:ascii="Arial" w:cs="Arial" w:eastAsia="Arial" w:hAnsi="Arial"/>
                <w:sz w:val="18"/>
                <w:szCs w:val="18"/>
                <w:color w:val="auto"/>
                <w:w w:val="93"/>
              </w:rPr>
              <w:t>/s/ Thomas A. McDonnell</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4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16"/>
          </w:tcPr>
          <w:p>
            <w:pPr>
              <w:jc w:val="center"/>
              <w:ind w:right="20"/>
              <w:spacing w:after="0"/>
              <w:rPr>
                <w:sz w:val="20"/>
                <w:szCs w:val="20"/>
                <w:color w:val="auto"/>
              </w:rPr>
            </w:pPr>
            <w:r>
              <w:rPr>
                <w:rFonts w:ascii="Arial" w:cs="Arial" w:eastAsia="Arial" w:hAnsi="Arial"/>
                <w:sz w:val="18"/>
                <w:szCs w:val="18"/>
                <w:b w:val="1"/>
                <w:bCs w:val="1"/>
                <w:color w:val="auto"/>
                <w:w w:val="92"/>
              </w:rPr>
              <w:t>Thomas A. McDonnell</w:t>
            </w:r>
          </w:p>
        </w:tc>
        <w:tc>
          <w:tcPr>
            <w:tcW w:w="780" w:type="dxa"/>
            <w:vAlign w:val="bottom"/>
            <w:gridSpan w:val="2"/>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80" w:type="dxa"/>
            <w:vAlign w:val="bottom"/>
            <w:gridSpan w:val="13"/>
          </w:tcPr>
          <w:p>
            <w:pPr>
              <w:jc w:val="center"/>
              <w:ind w:right="1060"/>
              <w:spacing w:after="0"/>
              <w:rPr>
                <w:sz w:val="20"/>
                <w:szCs w:val="20"/>
                <w:color w:val="auto"/>
              </w:rPr>
            </w:pPr>
            <w:r>
              <w:rPr>
                <w:rFonts w:ascii="Arial" w:cs="Arial" w:eastAsia="Arial" w:hAnsi="Arial"/>
                <w:sz w:val="18"/>
                <w:szCs w:val="18"/>
                <w:color w:val="auto"/>
                <w:w w:val="89"/>
              </w:rPr>
              <w:t>February 27, 2014</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2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Borders>
              <w:bottom w:val="single" w:sz="8" w:color="auto"/>
            </w:tcBorders>
            <w:gridSpan w:val="11"/>
          </w:tcPr>
          <w:p>
            <w:pPr>
              <w:jc w:val="center"/>
              <w:spacing w:after="0"/>
              <w:rPr>
                <w:sz w:val="20"/>
                <w:szCs w:val="20"/>
                <w:color w:val="auto"/>
              </w:rPr>
            </w:pPr>
            <w:r>
              <w:rPr>
                <w:rFonts w:ascii="Arial" w:cs="Arial" w:eastAsia="Arial" w:hAnsi="Arial"/>
                <w:sz w:val="18"/>
                <w:szCs w:val="18"/>
                <w:color w:val="auto"/>
                <w:w w:val="94"/>
              </w:rPr>
              <w:t>/s/ Andrew B. Schmitt</w:t>
            </w:r>
          </w:p>
        </w:tc>
        <w:tc>
          <w:tcPr>
            <w:tcW w:w="900" w:type="dxa"/>
            <w:vAlign w:val="bottom"/>
            <w:gridSpan w:val="5"/>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60" w:type="dxa"/>
            <w:vAlign w:val="bottom"/>
            <w:gridSpan w:val="15"/>
          </w:tcPr>
          <w:p>
            <w:pPr>
              <w:jc w:val="center"/>
              <w:ind w:right="980"/>
              <w:spacing w:after="0"/>
              <w:rPr>
                <w:sz w:val="20"/>
                <w:szCs w:val="20"/>
                <w:color w:val="auto"/>
              </w:rPr>
            </w:pPr>
            <w:r>
              <w:rPr>
                <w:rFonts w:ascii="Arial" w:cs="Arial" w:eastAsia="Arial" w:hAnsi="Arial"/>
                <w:sz w:val="18"/>
                <w:szCs w:val="18"/>
                <w:b w:val="1"/>
                <w:bCs w:val="1"/>
                <w:color w:val="auto"/>
                <w:w w:val="92"/>
              </w:rPr>
              <w:t>Andrew B. Schmitt</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80" w:type="dxa"/>
            <w:vAlign w:val="bottom"/>
            <w:gridSpan w:val="13"/>
          </w:tcPr>
          <w:p>
            <w:pPr>
              <w:jc w:val="center"/>
              <w:ind w:right="1060"/>
              <w:spacing w:after="0"/>
              <w:rPr>
                <w:sz w:val="20"/>
                <w:szCs w:val="20"/>
                <w:color w:val="auto"/>
              </w:rPr>
            </w:pPr>
            <w:r>
              <w:rPr>
                <w:rFonts w:ascii="Arial" w:cs="Arial" w:eastAsia="Arial" w:hAnsi="Arial"/>
                <w:sz w:val="18"/>
                <w:szCs w:val="18"/>
                <w:color w:val="auto"/>
                <w:w w:val="89"/>
              </w:rPr>
              <w:t>February 27, 2014</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27"/>
        </w:trPr>
        <w:tc>
          <w:tcPr>
            <w:tcW w:w="1900" w:type="dxa"/>
            <w:vAlign w:val="bottom"/>
            <w:tcBorders>
              <w:bottom w:val="single" w:sz="8" w:color="auto"/>
            </w:tcBorders>
            <w:gridSpan w:val="18"/>
          </w:tcPr>
          <w:p>
            <w:pPr>
              <w:jc w:val="center"/>
              <w:spacing w:after="0"/>
              <w:rPr>
                <w:sz w:val="20"/>
                <w:szCs w:val="20"/>
                <w:color w:val="auto"/>
              </w:rPr>
            </w:pPr>
            <w:r>
              <w:rPr>
                <w:rFonts w:ascii="Arial" w:cs="Arial" w:eastAsia="Arial" w:hAnsi="Arial"/>
                <w:sz w:val="18"/>
                <w:szCs w:val="18"/>
                <w:color w:val="auto"/>
                <w:w w:val="90"/>
              </w:rPr>
              <w:t>/s/ M. Jeannine Strandjord</w:t>
            </w:r>
          </w:p>
        </w:tc>
        <w:tc>
          <w:tcPr>
            <w:tcW w:w="7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2660" w:type="dxa"/>
            <w:vAlign w:val="bottom"/>
            <w:gridSpan w:val="19"/>
          </w:tcPr>
          <w:p>
            <w:pPr>
              <w:jc w:val="center"/>
              <w:ind w:right="760"/>
              <w:spacing w:after="0"/>
              <w:rPr>
                <w:sz w:val="20"/>
                <w:szCs w:val="20"/>
                <w:color w:val="auto"/>
              </w:rPr>
            </w:pPr>
            <w:r>
              <w:rPr>
                <w:rFonts w:ascii="Arial" w:cs="Arial" w:eastAsia="Arial" w:hAnsi="Arial"/>
                <w:sz w:val="18"/>
                <w:szCs w:val="18"/>
                <w:b w:val="1"/>
                <w:bCs w:val="1"/>
                <w:color w:val="auto"/>
                <w:w w:val="93"/>
              </w:rPr>
              <w:t>M. Jeannine Strandjord</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80" w:type="dxa"/>
            <w:vAlign w:val="bottom"/>
            <w:gridSpan w:val="13"/>
          </w:tcPr>
          <w:p>
            <w:pPr>
              <w:jc w:val="center"/>
              <w:ind w:right="1060"/>
              <w:spacing w:after="0"/>
              <w:rPr>
                <w:sz w:val="20"/>
                <w:szCs w:val="20"/>
                <w:color w:val="auto"/>
              </w:rPr>
            </w:pPr>
            <w:r>
              <w:rPr>
                <w:rFonts w:ascii="Arial" w:cs="Arial" w:eastAsia="Arial" w:hAnsi="Arial"/>
                <w:sz w:val="18"/>
                <w:szCs w:val="18"/>
                <w:color w:val="auto"/>
                <w:w w:val="89"/>
              </w:rPr>
              <w:t>February 27, 2014</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2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4"/>
              </w:rPr>
              <w:t>/s/ Lu M. Cordova</w:t>
            </w:r>
          </w:p>
        </w:tc>
        <w:tc>
          <w:tcPr>
            <w:tcW w:w="1040" w:type="dxa"/>
            <w:vAlign w:val="bottom"/>
            <w:gridSpan w:val="8"/>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gridSpan w:val="12"/>
          </w:tcPr>
          <w:p>
            <w:pPr>
              <w:jc w:val="center"/>
              <w:ind w:right="1080"/>
              <w:spacing w:after="0"/>
              <w:rPr>
                <w:sz w:val="20"/>
                <w:szCs w:val="20"/>
                <w:color w:val="auto"/>
              </w:rPr>
            </w:pPr>
            <w:r>
              <w:rPr>
                <w:rFonts w:ascii="Arial" w:cs="Arial" w:eastAsia="Arial" w:hAnsi="Arial"/>
                <w:sz w:val="18"/>
                <w:szCs w:val="18"/>
                <w:b w:val="1"/>
                <w:bCs w:val="1"/>
                <w:color w:val="auto"/>
                <w:w w:val="95"/>
              </w:rPr>
              <w:t>Lu M. Cordova</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80" w:type="dxa"/>
            <w:vAlign w:val="bottom"/>
            <w:gridSpan w:val="13"/>
          </w:tcPr>
          <w:p>
            <w:pPr>
              <w:jc w:val="center"/>
              <w:ind w:right="1060"/>
              <w:spacing w:after="0"/>
              <w:rPr>
                <w:sz w:val="20"/>
                <w:szCs w:val="20"/>
                <w:color w:val="auto"/>
              </w:rPr>
            </w:pPr>
            <w:r>
              <w:rPr>
                <w:rFonts w:ascii="Arial" w:cs="Arial" w:eastAsia="Arial" w:hAnsi="Arial"/>
                <w:sz w:val="18"/>
                <w:szCs w:val="18"/>
                <w:color w:val="auto"/>
                <w:w w:val="89"/>
              </w:rPr>
              <w:t>February 27, 2014</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ectPr>
          <w:pgSz w:w="11900" w:h="16838" w:orient="portrait"/>
          <w:cols w:equalWidth="0" w:num="1">
            <w:col w:w="11180"/>
          </w:cols>
          <w:pgMar w:left="240" w:top="125" w:right="479" w:bottom="1440" w:gutter="0" w:footer="0" w:header="0"/>
        </w:sectPr>
      </w:pPr>
    </w:p>
    <w:p>
      <w:pPr>
        <w:spacing w:after="0" w:line="272"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180"/>
          </w:cols>
          <w:pgMar w:left="240" w:top="125" w:right="479" w:bottom="1440" w:gutter="0" w:footer="0" w:header="0"/>
          <w:type w:val="continuous"/>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12.1</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EURONET WORLDWIDE,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jc w:val="right"/>
              <w:ind w:right="41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6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Pretax income before adjustment for income from unconsolidated subsidiaries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114,879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46,392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60,940</w:t>
            </w:r>
          </w:p>
        </w:tc>
        <w:tc>
          <w:tcPr>
            <w:tcW w:w="0" w:type="dxa"/>
            <w:vAlign w:val="bottom"/>
          </w:tcPr>
          <w:p>
            <w:pPr>
              <w:spacing w:after="0"/>
              <w:rPr>
                <w:sz w:val="1"/>
                <w:szCs w:val="1"/>
                <w:color w:val="auto"/>
              </w:rPr>
            </w:pPr>
          </w:p>
        </w:tc>
      </w:tr>
      <w:tr>
        <w:trPr>
          <w:trHeight w:val="243"/>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Add:</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29,313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29,349</w:t>
            </w:r>
          </w:p>
        </w:tc>
        <w:tc>
          <w:tcPr>
            <w:tcW w:w="0" w:type="dxa"/>
            <w:vAlign w:val="bottom"/>
          </w:tcPr>
          <w:p>
            <w:pPr>
              <w:spacing w:after="0"/>
              <w:rPr>
                <w:sz w:val="1"/>
                <w:szCs w:val="1"/>
                <w:color w:val="auto"/>
              </w:rPr>
            </w:pPr>
          </w:p>
        </w:tc>
      </w:tr>
      <w:tr>
        <w:trPr>
          <w:trHeight w:val="243"/>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Dividends received</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pretax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132,135</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77,726</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90,407</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ind w:left="4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21,385</w:t>
            </w:r>
          </w:p>
        </w:tc>
        <w:tc>
          <w:tcPr>
            <w:tcW w:w="0" w:type="dxa"/>
            <w:vAlign w:val="bottom"/>
          </w:tcPr>
          <w:p>
            <w:pPr>
              <w:spacing w:after="0"/>
              <w:rPr>
                <w:sz w:val="1"/>
                <w:szCs w:val="1"/>
                <w:color w:val="auto"/>
              </w:rPr>
            </w:pPr>
          </w:p>
        </w:tc>
      </w:tr>
      <w:tr>
        <w:trPr>
          <w:trHeight w:val="243"/>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Estimate of interest within rental expense</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7,964</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fixed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16,930</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29,313</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29,349</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ectPr>
          <w:pgSz w:w="11900" w:h="16838" w:orient="portrait"/>
          <w:cols w:equalWidth="0" w:num="1">
            <w:col w:w="10300"/>
          </w:cols>
          <w:pgMar w:left="1360" w:top="580"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Euronet's wholly owned subsidiaries were: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EFT Services Holding B.V., incorporated in the Netherlands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Banktechnikai Szolgaltato Kft., incorporated in Hungary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Services Kft., incorporated in Hungary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Polska Spó³ka z o.o., incorporated in Poland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EFT-Usluge d o.o., incorporated in Croatia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Services spol. s.r.o., incorporated in the Czech Republic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Services SRL, incorporated in Romania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USA, LLC, incorporated in Arkansas,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Services Slovakia, spol. s r.o., incorporated in Slovakia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epay Limited, incorporated in England and Wales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e-pay Holdings Limited, incorporated in England and Wales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epay Australia Pty Ltd, incorporated in New South Wales,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epay Australia Holdings Pty Ltd, incorporated in Victoria,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epay New Zealand Ltd, incorporated in New Zealand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transact Elektronische Zahlungssysteme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Delta Euronet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PaySpot, Inc.,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Telerecarga S.L., incorporated in Spain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Services d.o.o., incorporated in Serbia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Card Services, S.A., incorporated in Greece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EWI Foreign Holdings Limited, incorporated in Cyprus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Asia Holdings Limited, incorporated in Hong Kong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Services India Private Limited, incorporated in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Software UK Limited, incorporated in England and Wales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Ukraine LLC, incorporated in Ukraine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Bulgaria EOOD, incorporated in Bulgaria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Pay and Transaction Services SRL, incorporated in Italy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Business Holdings S.L., incorporated in Spain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RIA Spain Holdings S.L., incorporated in Spain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RIA Envia, Inc.,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Continental Exchange Solutions, Inc.,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RIA Telecommunications of New York, Inc., incorporated in New York,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RIA Envia Financial Services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RIA Financial Services Ltd., incorporated in England and Wales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RIA Telecommunications of Canada Inc.,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RIA Italia SRL, incorporated in Italy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RIA Financial Services Australia Pty. Ltd.,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RIA Payment Institution EP, S.A., incorporated in Spain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RIA Financial Services Puerto Rico, Inc., incorporated in Puerto Rico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RIA de la Hispaniola, C.PorA, incorporated in Dominican Republic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RIA France, SAS, incorporated in France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RIA Financial Services New Zealand Ltd., incorporated in New Zealand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RIA Envia Financial Services Belgium, SPRL, incorporated in Belgium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RIA de Centroamérica, S.A. de C.V., incorporated in El Salvador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RIA Financial Services AG, incorporated in Switzerland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Services Schweiz GmbH, incorporated in Switzerland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Continental Payment Solutions, Inc., incorporated in California,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Omega Logic Ltd., incorporated in England and Wales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Elektronik Islem Hizmetleri Limited Sirketi, incorporated in Turkey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Prepaid Hellas LLC, incorporated in Greece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Payment Services Ltd., incorporated in England and Wales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360 Finance Ltd., incorporated in England and Wales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Gescoro Inc.,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XBA Szolgaltato Kft., incorporated in Hungary</w:t>
      </w:r>
    </w:p>
    <w:p>
      <w:pPr>
        <w:sectPr>
          <w:pgSz w:w="11900" w:h="16838" w:orient="portrait"/>
          <w:cols w:equalWidth="0" w:num="1">
            <w:col w:w="11420"/>
          </w:cols>
          <w:pgMar w:left="240" w:top="580" w:right="239" w:bottom="1440" w:gutter="0" w:footer="0" w:header="0"/>
        </w:sectPr>
      </w:pPr>
    </w:p>
    <w:bookmarkStart w:id="118" w:name="page119"/>
    <w:bookmarkEnd w:id="118"/>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RIA Money Transfer Services Private Limited, incorporated in India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Euronet Middle East, Africa &amp; Pakistan LLC, incorporated in Egypt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RIA Netherlands Holding B.V., incorporated in the Netherlands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RIA Financial Services Netherlands B.V., incorporated in the Netherlands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RIA Financial Services, Denmark ApS, incorporated in Denmark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RIA Financial Services Ireland Limited, incorporated in Ireland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RIA Financial Services Sweden AB, incorporated in Sweden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Euronet Pakistan Holdings, Inc.,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EFT Americas, Inc.,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Telecomnet LLC,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Telecom Net S.A. Logistica Digital, incorporated in Brazil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Ria Chile Servicios Financieros SpA, incorporated in Chile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RIA Financial Services Norway AS, incorporated in Norway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epay Digital SAS, incorporated in France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cadooz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cadooz rewards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cadooz GmbH, incorporated in Austria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Smart PayNetwork SA, incorporated in Romania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RIA Deutschland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Euronet Middle East W.L.L., incorporated in Bahrain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epay (Shanghai) Technology Development Co., Ltd. d.b.a. epay China, incorporated in the People’s Republic of China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Pure Commerce Pty Ltd,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PFX Pty Ltd,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Pure Commerce Japan Pty Ltd,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Pure-Commerce Ltd, incorporated in the Isle of Man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Pure Commerce Korea YH, incorporated in Korea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Pure Commerce (S) Pte. Ltd., incorporated in Singapore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Pure Commerce Shared Service Ptd. Ltd., incorporated in Singapore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Pure Processing Pte. Ltd., incorporated in Singapore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ATX Software Ltd., incorporated in England and Wales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Euronet Services Malaysia Sdn. Bhd., incorporated in Malaysia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Ria Money Transfer, S.A. de C.V., incorporated in Mexico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Euronet also had shareholdings in the following companies that are not wholly owned: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PT G4S Euronet Indonesia, incorporated in Indonesia, of which 47.02% of the shares are owned by EFT Services Holding 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Euronet Services LLC incorporated in Russia, of which 95% is owned by EFT Services Holding 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Euronet Movilcarga S.L., incorporated in Spain, of which 80% is owned by Euronet Telerecarga S.L.</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Jiayintong (Beijing) Technology Development Co. Ltd. d.b.a. Euronet China, incorporated in the People’s Republic of China, of which 75% is owned by Euronet Asia Holdings Limited</w:t>
      </w: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Euronet ETT (China) Co. Ltd., incorporated in the People’s Republic of China, of which 49% is owned by Euronet Asia Holdings Limited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Cashlink Bangladesh Ltd., incorporated in Bangladesh, of which 10% is owned by EFT Services Holding 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Electronic Transactions Network Ltd., incorporated in Bangladesh, of which 10% is owned by Cashlink Bangladesh Ltd.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ATX Middle East FZC, incorporated in the United Arab Emirates, of which 51% is owned by EFT Services Holding 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ATX Software Middle East FZ-LLC (UAE), incorporated in the United Arab Emirates, of which the Euronet group holds a 51% interest</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Euronet Pakistan (Pvt.) Limited, incorporated in Pakistan, of which 70% is owned by Euronet Pakistan Holdings,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Universal Solution Providers FZ-LLC, incorporated in the United Arab Emirates, of which 51% is owned by EFT Services Holding B.V.</w:t>
      </w:r>
    </w:p>
    <w:p>
      <w:pPr>
        <w:sectPr>
          <w:pgSz w:w="11900" w:h="16838" w:orient="portrait"/>
          <w:cols w:equalWidth="0" w:num="1">
            <w:col w:w="10920"/>
          </w:cols>
          <w:pgMar w:left="240" w:top="584" w:right="7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on Form S-3 (Nos. 333-84046, 333-105478, 333-111361, 333-111363, 333-117948 and 333-128228), Form S-4 (No. 333-116938) and Form S-8 (Nos. 333-24539, 333-83555, 333-44890, 333-64634, 333-71766, 333-98013, 333-102875, 333-116920, 333-136485, 333-161245, 333-176238 and 333-190337) of Euronet Worldwide, Inc. and subsidiaries (the Company) of our report dated February 27, 2014, with respect to the consolidated balance sheets of the Company as of December 31, 2013 and 2012, and the related consolidated statements of income, comprehensive income, changes in equity and cash flows for each of the years in the three-year period ended December 31, 2013, and the effectiveness of internal control over financial reporting as of December 31, 2013, which report appears in the December 31, 2013 annual report on Form 10-K of Euronet Worldwide, Inc.</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ectPr>
          <w:pgSz w:w="11900" w:h="16838" w:orient="portrait"/>
          <w:cols w:equalWidth="0" w:num="1">
            <w:col w:w="11420"/>
          </w:cols>
          <w:pgMar w:left="240" w:top="580"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2014</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2014</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2013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ectPr>
          <w:pgSz w:w="11900" w:h="16838" w:orient="portrait"/>
          <w:cols w:equalWidth="0" w:num="1">
            <w:col w:w="11420"/>
          </w:cols>
          <w:pgMar w:left="240" w:top="58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2013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lowerLetter"/>
      <w:start w:val="1"/>
    </w:lvl>
    <w:lvl w:ilvl="1">
      <w:lvlJc w:val="left"/>
      <w:lvlText w:val="%2."/>
      <w:numFmt w:val="decimal"/>
      <w:start w:val="1"/>
    </w:lvl>
  </w:abstractNum>
  <w:abstractNum w:abstractNumId="25">
    <w:nsid w:val="8138641"/>
    <w:multiLevelType w:val="hybridMultilevel"/>
    <w:lvl w:ilvl="0">
      <w:lvlJc w:val="left"/>
      <w:lvlText w:val="%1"/>
      <w:numFmt w:val="decimal"/>
      <w:start w:val="101"/>
    </w:lvl>
  </w:abstractNum>
  <w:abstractNum w:abstractNumId="26">
    <w:nsid w:val="1E7FF521"/>
    <w:multiLevelType w:val="hybridMultilevel"/>
    <w:lvl w:ilvl="0">
      <w:lvlJc w:val="left"/>
      <w:lvlText w:val="(%1)"/>
      <w:numFmt w:val="decimal"/>
      <w:start w:val="1"/>
    </w:lvl>
    <w:lvl w:ilvl="1">
      <w:lvlJc w:val="left"/>
      <w:lvlText w:val="(%2)"/>
      <w:numFmt w:val="decimal"/>
      <w:start w:val="2"/>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2019-12-06T15:46:15Z</dcterms:created>
  <dcterms:modified xsi:type="dcterms:W3CDTF">2019-12-06T15:46:15Z</dcterms:modified>
</cp:coreProperties>
</file>