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eft-20251231.htm"/>
      <w:bookmarkStart w:id="1" w:name="kseeft20251231"/>
      <w:bookmarkStart w:id="2" w:name="eeft-20251231.htm"/>
      <w:bookmarkStart w:id="3" w:name="kseeft20251231"/>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24" w:space="0" w:color="000000"/>
              <w:bottom w:val="single" w:sz="8" w:space="0" w:color="000000"/>
            </w:tcBorders>
            <w:vAlign w:val="center"/>
          </w:tcPr>
          <w:p>
            <w:pPr>
              <w:pStyle w:val="TableContents"/>
              <w:bidi w:val="0"/>
              <w:spacing w:before="0" w:after="0"/>
              <w:jc w:val="both"/>
              <w:rPr/>
            </w:pPr>
            <w:bookmarkStart w:id="4" w:name="EXH_693727453fa1742a6839fb09"/>
            <w:bookmarkEnd w:id="4"/>
            <w:r>
              <w:rPr/>
              <w:t> </w:t>
            </w:r>
          </w:p>
        </w:tc>
      </w:tr>
    </w:tbl>
    <w:p>
      <w:pPr>
        <w:pStyle w:val="TextBody"/>
        <w:bidi w:val="0"/>
        <w:spacing w:before="200" w:after="0"/>
        <w:jc w:val="center"/>
        <w:rPr>
          <w:b/>
          <w:sz w:val="20"/>
        </w:rPr>
      </w:pPr>
      <w:r>
        <w:rPr>
          <w:b/>
          <w:sz w:val="20"/>
        </w:rPr>
        <w:t>UNITED STATES</w:t>
      </w:r>
    </w:p>
    <w:p>
      <w:pPr>
        <w:pStyle w:val="TextBody"/>
        <w:bidi w:val="0"/>
        <w:spacing w:lineRule="atLeast" w:line="288" w:before="0" w:after="0"/>
        <w:jc w:val="center"/>
        <w:rPr>
          <w:b/>
          <w:sz w:val="20"/>
        </w:rPr>
      </w:pPr>
      <w:r>
        <w:rPr>
          <w:b/>
          <w:sz w:val="20"/>
        </w:rPr>
        <w:t>SECURITIES AND EXCHANGE COMMISSION</w:t>
      </w:r>
    </w:p>
    <w:p>
      <w:pPr>
        <w:pStyle w:val="TextBody"/>
        <w:bidi w:val="0"/>
        <w:spacing w:lineRule="atLeast" w:line="288" w:before="0" w:after="0"/>
        <w:jc w:val="center"/>
        <w:rPr>
          <w:b/>
          <w:sz w:val="20"/>
        </w:rPr>
      </w:pPr>
      <w:r>
        <w:rPr>
          <w:b/>
          <w:sz w:val="20"/>
        </w:rPr>
        <w:t>WASHINGTON, D.C. 20549</w:t>
      </w:r>
    </w:p>
    <w:p>
      <w:pPr>
        <w:pStyle w:val="TextBody"/>
        <w:bidi w:val="0"/>
        <w:spacing w:before="0" w:after="0"/>
        <w:jc w:val="both"/>
        <w:rPr/>
      </w:pPr>
      <w:r>
        <w:rPr/>
        <w:t> </w:t>
      </w:r>
    </w:p>
    <w:tbl>
      <w:tblPr>
        <w:tblW w:w="1340" w:type="dxa"/>
        <w:jc w:val="left"/>
        <w:tblInd w:w="0" w:type="dxa"/>
        <w:tblLayout w:type="fixed"/>
        <w:tblCellMar>
          <w:top w:w="0" w:type="dxa"/>
          <w:left w:w="0" w:type="dxa"/>
          <w:bottom w:w="0" w:type="dxa"/>
          <w:right w:w="0" w:type="dxa"/>
        </w:tblCellMar>
      </w:tblPr>
      <w:tblGrid>
        <w:gridCol w:w="105"/>
        <w:gridCol w:w="1100"/>
        <w:gridCol w:w="135"/>
      </w:tblGrid>
      <w:tr>
        <w:trPr/>
        <w:tc>
          <w:tcPr>
            <w:tcW w:w="105" w:type="dxa"/>
            <w:tcBorders/>
            <w:vAlign w:val="center"/>
          </w:tcPr>
          <w:p>
            <w:pPr>
              <w:pStyle w:val="TableContents"/>
              <w:bidi w:val="0"/>
              <w:spacing w:before="0" w:after="0"/>
              <w:jc w:val="center"/>
              <w:rPr/>
            </w:pPr>
            <w:r>
              <w:rPr/>
              <w:t> </w:t>
            </w:r>
          </w:p>
        </w:tc>
        <w:tc>
          <w:tcPr>
            <w:tcW w:w="1100" w:type="dxa"/>
            <w:tcBorders>
              <w:top w:val="single" w:sz="6" w:space="0" w:color="000000"/>
              <w:bottom w:val="single" w:sz="6" w:space="0" w:color="000000"/>
            </w:tcBorders>
            <w:tcMar>
              <w:top w:w="82" w:type="dxa"/>
              <w:bottom w:w="82" w:type="dxa"/>
            </w:tcMar>
            <w:vAlign w:val="center"/>
          </w:tcPr>
          <w:p>
            <w:pPr>
              <w:pStyle w:val="TableContents"/>
              <w:bidi w:val="0"/>
              <w:spacing w:lineRule="atLeast" w:line="360" w:before="0" w:after="60"/>
              <w:jc w:val="center"/>
              <w:rPr/>
            </w:pPr>
            <w:r>
              <w:rPr>
                <w:b/>
                <w:sz w:val="20"/>
              </w:rPr>
              <w:t xml:space="preserve">FORM </w:t>
            </w:r>
            <w:r>
              <w:rPr>
                <w:rFonts w:ascii="Times New Roman" w:hAnsi="Times New Roman"/>
                <w:b/>
                <w:sz w:val="20"/>
              </w:rPr>
              <w:t>10-K</w:t>
            </w:r>
          </w:p>
        </w:tc>
        <w:tc>
          <w:tcPr>
            <w:tcW w:w="135" w:type="dxa"/>
            <w:tcBorders/>
            <w:vAlign w:val="center"/>
          </w:tcPr>
          <w:p>
            <w:pPr>
              <w:pStyle w:val="TableContents"/>
              <w:bidi w:val="0"/>
              <w:spacing w:before="0" w:after="0"/>
              <w:jc w:val="center"/>
              <w:rPr/>
            </w:pPr>
            <w:r>
              <w:rPr/>
              <w:t> </w:t>
            </w:r>
          </w:p>
        </w:tc>
      </w:tr>
    </w:tbl>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950"/>
        <w:gridCol w:w="9104"/>
        <w:gridCol w:w="76"/>
      </w:tblGrid>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sz w:val="20"/>
              </w:rPr>
            </w:pPr>
            <w:r>
              <w:rPr>
                <w:sz w:val="20"/>
              </w:rPr>
              <w:t xml:space="preserve">(Mark One) </w:t>
            </w:r>
          </w:p>
        </w:tc>
        <w:tc>
          <w:tcPr>
            <w:tcW w:w="9104" w:type="dxa"/>
            <w:tcBorders/>
            <w:vAlign w:val="center"/>
          </w:tcPr>
          <w:p>
            <w:pPr>
              <w:pStyle w:val="TableContents"/>
              <w:bidi w:val="0"/>
              <w:spacing w:before="0" w:after="0"/>
              <w:jc w:val="left"/>
              <w:rPr/>
            </w:pPr>
            <w:r>
              <w:rPr/>
              <w:t> </w:t>
            </w:r>
          </w:p>
        </w:tc>
        <w:tc>
          <w:tcPr>
            <w:tcW w:w="7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pPr>
            <w:r>
              <w:rPr/>
              <w:t xml:space="preserve">☑ </w:t>
            </w:r>
          </w:p>
        </w:tc>
        <w:tc>
          <w:tcPr>
            <w:tcW w:w="9104" w:type="dxa"/>
            <w:tcBorders/>
            <w:vAlign w:val="center"/>
          </w:tcPr>
          <w:p>
            <w:pPr>
              <w:pStyle w:val="TableContents"/>
              <w:bidi w:val="0"/>
              <w:spacing w:before="0" w:after="0"/>
              <w:jc w:val="center"/>
              <w:rPr>
                <w:b/>
                <w:sz w:val="20"/>
              </w:rPr>
            </w:pPr>
            <w:r>
              <w:rPr>
                <w:b/>
                <w:sz w:val="20"/>
              </w:rPr>
              <w:t xml:space="preserve">ANNUAL REPORT PURSUANT TO SECTION 13 OR 15(d) OF THE SECURITIES EXCHANGE ACT OF 1934 </w:t>
            </w:r>
          </w:p>
        </w:tc>
        <w:tc>
          <w:tcPr>
            <w:tcW w:w="7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xml:space="preserve">  </w:t>
            </w:r>
          </w:p>
        </w:tc>
        <w:tc>
          <w:tcPr>
            <w:tcW w:w="9104" w:type="dxa"/>
            <w:tcBorders/>
            <w:vAlign w:val="center"/>
          </w:tcPr>
          <w:p>
            <w:pPr>
              <w:pStyle w:val="TableContents"/>
              <w:bidi w:val="0"/>
              <w:spacing w:before="0" w:after="0"/>
              <w:jc w:val="center"/>
              <w:rPr>
                <w:sz w:val="20"/>
              </w:rPr>
            </w:pPr>
            <w:r>
              <w:rPr>
                <w:b/>
                <w:sz w:val="20"/>
              </w:rPr>
              <w:t xml:space="preserve">For the fiscal year ended: </w:t>
            </w:r>
            <w:r>
              <w:rPr>
                <w:rFonts w:ascii="Times New Roman" w:hAnsi="Times New Roman"/>
                <w:b/>
                <w:sz w:val="20"/>
              </w:rPr>
              <w:t>December 31, 2025</w:t>
            </w:r>
          </w:p>
        </w:tc>
        <w:tc>
          <w:tcPr>
            <w:tcW w:w="7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xml:space="preserve">  </w:t>
            </w:r>
          </w:p>
        </w:tc>
        <w:tc>
          <w:tcPr>
            <w:tcW w:w="9104" w:type="dxa"/>
            <w:tcBorders/>
            <w:vAlign w:val="center"/>
          </w:tcPr>
          <w:p>
            <w:pPr>
              <w:pStyle w:val="TableContents"/>
              <w:bidi w:val="0"/>
              <w:spacing w:before="0" w:after="0"/>
              <w:jc w:val="center"/>
              <w:rPr>
                <w:b/>
                <w:sz w:val="20"/>
              </w:rPr>
            </w:pPr>
            <w:r>
              <w:rPr>
                <w:b/>
                <w:sz w:val="20"/>
              </w:rPr>
              <w:t xml:space="preserve">OR </w:t>
            </w:r>
          </w:p>
        </w:tc>
        <w:tc>
          <w:tcPr>
            <w:tcW w:w="7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xml:space="preserve">  </w:t>
            </w:r>
          </w:p>
        </w:tc>
        <w:tc>
          <w:tcPr>
            <w:tcW w:w="9104" w:type="dxa"/>
            <w:tcBorders/>
            <w:vAlign w:val="center"/>
          </w:tcPr>
          <w:p>
            <w:pPr>
              <w:pStyle w:val="TableContents"/>
              <w:bidi w:val="0"/>
              <w:spacing w:before="0" w:after="0"/>
              <w:jc w:val="left"/>
              <w:rPr/>
            </w:pPr>
            <w:r>
              <w:rPr/>
              <w:t xml:space="preserve">  </w:t>
            </w:r>
          </w:p>
        </w:tc>
        <w:tc>
          <w:tcPr>
            <w:tcW w:w="7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pPr>
            <w:r>
              <w:rPr/>
              <w:t xml:space="preserve">☐  </w:t>
            </w:r>
          </w:p>
        </w:tc>
        <w:tc>
          <w:tcPr>
            <w:tcW w:w="9104" w:type="dxa"/>
            <w:tcBorders/>
            <w:vAlign w:val="center"/>
          </w:tcPr>
          <w:p>
            <w:pPr>
              <w:pStyle w:val="TableContents"/>
              <w:bidi w:val="0"/>
              <w:spacing w:before="0" w:after="0"/>
              <w:jc w:val="center"/>
              <w:rPr>
                <w:b/>
                <w:sz w:val="20"/>
              </w:rPr>
            </w:pPr>
            <w:r>
              <w:rPr>
                <w:b/>
                <w:sz w:val="20"/>
              </w:rPr>
              <w:t xml:space="preserve">TRANSITION REPORT PURSUANT TO SECTION 13 OR 15(d) OF THE SECURITIES EXCHANGE ACT OF 1934 </w:t>
            </w:r>
          </w:p>
        </w:tc>
        <w:tc>
          <w:tcPr>
            <w:tcW w:w="76"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xml:space="preserve">  </w:t>
            </w:r>
          </w:p>
        </w:tc>
        <w:tc>
          <w:tcPr>
            <w:tcW w:w="9104" w:type="dxa"/>
            <w:tcBorders/>
            <w:vAlign w:val="center"/>
          </w:tcPr>
          <w:p>
            <w:pPr>
              <w:pStyle w:val="TableContents"/>
              <w:bidi w:val="0"/>
              <w:spacing w:before="0" w:after="0"/>
              <w:jc w:val="center"/>
              <w:rPr>
                <w:sz w:val="20"/>
              </w:rPr>
            </w:pPr>
            <w:r>
              <w:rPr>
                <w:b/>
                <w:sz w:val="20"/>
              </w:rPr>
              <w:t xml:space="preserve">For the transition period from </w:t>
            </w:r>
            <w:r>
              <w:rPr>
                <w:sz w:val="20"/>
              </w:rPr>
              <w:t>                </w:t>
            </w:r>
            <w:r>
              <w:rPr>
                <w:b/>
                <w:sz w:val="20"/>
              </w:rPr>
              <w:t xml:space="preserve">to </w:t>
            </w:r>
          </w:p>
        </w:tc>
        <w:tc>
          <w:tcPr>
            <w:tcW w:w="76" w:type="dxa"/>
            <w:tcBorders/>
            <w:vAlign w:val="center"/>
          </w:tcPr>
          <w:p>
            <w:pPr>
              <w:pStyle w:val="TableContents"/>
              <w:bidi w:val="0"/>
              <w:spacing w:before="0" w:after="0"/>
              <w:jc w:val="left"/>
              <w:rPr/>
            </w:pPr>
            <w:r>
              <w:rPr/>
              <w:t> </w:t>
            </w:r>
          </w:p>
        </w:tc>
      </w:tr>
    </w:tbl>
    <w:p>
      <w:pPr>
        <w:pStyle w:val="TextBody"/>
        <w:bidi w:val="0"/>
        <w:spacing w:lineRule="atLeast" w:line="216" w:before="0" w:after="0"/>
        <w:jc w:val="center"/>
        <w:rPr/>
      </w:pPr>
      <w:r>
        <w:rPr/>
        <w:t> </w:t>
      </w:r>
    </w:p>
    <w:p>
      <w:pPr>
        <w:pStyle w:val="TextBody"/>
        <w:bidi w:val="0"/>
        <w:spacing w:lineRule="atLeast" w:line="200" w:before="0" w:after="0"/>
        <w:jc w:val="center"/>
        <w:rPr>
          <w:b/>
          <w:sz w:val="20"/>
        </w:rPr>
      </w:pPr>
      <w:r>
        <w:rPr>
          <w:b/>
          <w:sz w:val="20"/>
        </w:rPr>
        <w:t>Commission File Number</w:t>
      </w:r>
    </w:p>
    <w:p>
      <w:pPr>
        <w:pStyle w:val="TextBody"/>
        <w:bidi w:val="0"/>
        <w:spacing w:lineRule="auto" w:line="288" w:before="0" w:after="0"/>
        <w:jc w:val="center"/>
        <w:rPr>
          <w:rFonts w:ascii="Times New Roman" w:hAnsi="Times New Roman"/>
          <w:b/>
          <w:sz w:val="20"/>
        </w:rPr>
      </w:pPr>
      <w:r>
        <w:rPr>
          <w:rFonts w:ascii="Times New Roman" w:hAnsi="Times New Roman"/>
          <w:b/>
          <w:sz w:val="20"/>
        </w:rPr>
        <w:t>001-31648</w:t>
      </w:r>
    </w:p>
    <w:p>
      <w:pPr>
        <w:pStyle w:val="TextBody"/>
        <w:bidi w:val="0"/>
        <w:spacing w:lineRule="atLeast" w:line="240" w:before="0" w:after="0"/>
        <w:jc w:val="left"/>
        <w:rPr/>
      </w:pPr>
      <w:r>
        <w:rPr/>
        <w:t> </w:t>
      </w:r>
    </w:p>
    <w:p>
      <w:pPr>
        <w:pStyle w:val="TextBody"/>
        <w:bidi w:val="0"/>
        <w:spacing w:lineRule="atLeast" w:line="384" w:before="0" w:after="0"/>
        <w:jc w:val="center"/>
        <w:rPr>
          <w:rFonts w:ascii="Times New Roman" w:hAnsi="Times New Roman"/>
          <w:b/>
          <w:sz w:val="20"/>
        </w:rPr>
      </w:pPr>
      <w:r>
        <w:rPr>
          <w:rFonts w:ascii="Times New Roman" w:hAnsi="Times New Roman"/>
          <w:b/>
          <w:sz w:val="20"/>
        </w:rPr>
        <w:t>EURONET WORLDWIDE, INC.</w:t>
      </w:r>
    </w:p>
    <w:p>
      <w:pPr>
        <w:pStyle w:val="TextBody"/>
        <w:bidi w:val="0"/>
        <w:spacing w:lineRule="atLeast" w:line="200" w:before="0" w:after="0"/>
        <w:jc w:val="center"/>
        <w:rPr>
          <w:b/>
          <w:sz w:val="20"/>
        </w:rPr>
      </w:pPr>
      <w:r>
        <w:rPr>
          <w:b/>
          <w:sz w:val="20"/>
        </w:rPr>
        <w:t>(Exact name of Registrant as specified in its charter)</w:t>
      </w:r>
    </w:p>
    <w:p>
      <w:pPr>
        <w:pStyle w:val="TextBody"/>
        <w:bidi w:val="0"/>
        <w:spacing w:lineRule="atLeast" w:line="240" w:before="0" w:after="0"/>
        <w:jc w:val="center"/>
        <w:rPr>
          <w:sz w:val="20"/>
        </w:rPr>
      </w:pPr>
      <w:r>
        <w:rPr>
          <w:sz w:val="20"/>
        </w:rPr>
        <w:t>________________________</w:t>
      </w:r>
    </w:p>
    <w:p>
      <w:pPr>
        <w:pStyle w:val="TextBody"/>
        <w:bidi w:val="0"/>
        <w:spacing w:lineRule="atLeast" w:line="240" w:before="0" w:after="0"/>
        <w:jc w:val="center"/>
        <w:rPr/>
      </w:pPr>
      <w:r>
        <w:rPr/>
        <w:t> </w:t>
      </w:r>
    </w:p>
    <w:tbl>
      <w:tblPr>
        <w:tblW w:w="8260" w:type="dxa"/>
        <w:jc w:val="left"/>
        <w:tblInd w:w="0" w:type="dxa"/>
        <w:tblLayout w:type="fixed"/>
        <w:tblCellMar>
          <w:top w:w="0" w:type="dxa"/>
          <w:left w:w="0" w:type="dxa"/>
          <w:bottom w:w="0" w:type="dxa"/>
          <w:right w:w="0" w:type="dxa"/>
        </w:tblCellMar>
      </w:tblPr>
      <w:tblGrid>
        <w:gridCol w:w="5195"/>
        <w:gridCol w:w="3065"/>
      </w:tblGrid>
      <w:tr>
        <w:trPr/>
        <w:tc>
          <w:tcPr>
            <w:tcW w:w="5195" w:type="dxa"/>
            <w:tcBorders/>
            <w:vAlign w:val="center"/>
          </w:tcPr>
          <w:p>
            <w:pPr>
              <w:pStyle w:val="TableContents"/>
              <w:bidi w:val="0"/>
              <w:spacing w:before="0" w:after="0"/>
              <w:jc w:val="center"/>
              <w:rPr>
                <w:sz w:val="20"/>
              </w:rPr>
            </w:pPr>
            <w:r>
              <w:rPr>
                <w:rFonts w:ascii="Times New Roman" w:hAnsi="Times New Roman"/>
                <w:b/>
                <w:sz w:val="20"/>
              </w:rPr>
              <w:t>Delaware</w:t>
            </w:r>
            <w:r>
              <w:rPr>
                <w:sz w:val="20"/>
              </w:rPr>
              <w:t xml:space="preserve">  </w:t>
            </w:r>
          </w:p>
        </w:tc>
        <w:tc>
          <w:tcPr>
            <w:tcW w:w="30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74-2806888</w:t>
            </w:r>
          </w:p>
        </w:tc>
      </w:tr>
      <w:tr>
        <w:trPr/>
        <w:tc>
          <w:tcPr>
            <w:tcW w:w="5195" w:type="dxa"/>
            <w:tcBorders/>
            <w:vAlign w:val="center"/>
          </w:tcPr>
          <w:p>
            <w:pPr>
              <w:pStyle w:val="TableContents"/>
              <w:bidi w:val="0"/>
              <w:spacing w:before="0" w:after="0"/>
              <w:jc w:val="center"/>
              <w:rPr>
                <w:b/>
                <w:sz w:val="20"/>
              </w:rPr>
            </w:pPr>
            <w:r>
              <w:rPr>
                <w:b/>
                <w:sz w:val="20"/>
              </w:rPr>
              <w:t xml:space="preserve">(State or other jurisdiction of incorporation or organization) </w:t>
            </w:r>
          </w:p>
        </w:tc>
        <w:tc>
          <w:tcPr>
            <w:tcW w:w="3065" w:type="dxa"/>
            <w:tcBorders/>
            <w:vAlign w:val="center"/>
          </w:tcPr>
          <w:p>
            <w:pPr>
              <w:pStyle w:val="TableContents"/>
              <w:bidi w:val="0"/>
              <w:spacing w:before="0" w:after="0"/>
              <w:jc w:val="center"/>
              <w:rPr>
                <w:b/>
                <w:sz w:val="20"/>
              </w:rPr>
            </w:pPr>
            <w:r>
              <w:rPr>
                <w:b/>
                <w:sz w:val="20"/>
              </w:rPr>
              <w:t xml:space="preserve">(I.R.S. Employer Identification No.) </w:t>
            </w:r>
          </w:p>
        </w:tc>
      </w:tr>
      <w:tr>
        <w:trPr/>
        <w:tc>
          <w:tcPr>
            <w:tcW w:w="5195" w:type="dxa"/>
            <w:tcBorders/>
            <w:vAlign w:val="center"/>
          </w:tcPr>
          <w:p>
            <w:pPr>
              <w:pStyle w:val="TableContents"/>
              <w:bidi w:val="0"/>
              <w:spacing w:before="0" w:after="0"/>
              <w:jc w:val="center"/>
              <w:rPr>
                <w:sz w:val="20"/>
              </w:rPr>
            </w:pPr>
            <w:r>
              <w:rPr>
                <w:rFonts w:ascii="Times New Roman" w:hAnsi="Times New Roman"/>
                <w:b/>
                <w:sz w:val="20"/>
              </w:rPr>
              <w:t>11400 Tomahawk Creek Parkway</w:t>
            </w:r>
            <w:r>
              <w:rPr>
                <w:b/>
                <w:sz w:val="20"/>
              </w:rPr>
              <w:t xml:space="preserve">, </w:t>
            </w:r>
            <w:r>
              <w:rPr>
                <w:rFonts w:ascii="Times New Roman" w:hAnsi="Times New Roman"/>
                <w:b/>
                <w:sz w:val="20"/>
              </w:rPr>
              <w:t>Suite 300</w:t>
            </w:r>
            <w:r>
              <w:rPr>
                <w:sz w:val="20"/>
              </w:rPr>
              <w:t xml:space="preserve">  </w:t>
            </w:r>
          </w:p>
        </w:tc>
        <w:tc>
          <w:tcPr>
            <w:tcW w:w="3065" w:type="dxa"/>
            <w:tcBorders/>
            <w:vAlign w:val="center"/>
          </w:tcPr>
          <w:p>
            <w:pPr>
              <w:pStyle w:val="TableContents"/>
              <w:bidi w:val="0"/>
              <w:spacing w:before="0" w:after="0"/>
              <w:jc w:val="left"/>
              <w:rPr/>
            </w:pPr>
            <w:r>
              <w:rPr/>
              <w:t> </w:t>
            </w:r>
          </w:p>
        </w:tc>
      </w:tr>
      <w:tr>
        <w:trPr/>
        <w:tc>
          <w:tcPr>
            <w:tcW w:w="5195" w:type="dxa"/>
            <w:tcBorders/>
            <w:vAlign w:val="center"/>
          </w:tcPr>
          <w:p>
            <w:pPr>
              <w:pStyle w:val="TableContents"/>
              <w:bidi w:val="0"/>
              <w:spacing w:before="0" w:after="0"/>
              <w:jc w:val="center"/>
              <w:rPr>
                <w:sz w:val="20"/>
              </w:rPr>
            </w:pPr>
            <w:r>
              <w:rPr>
                <w:rFonts w:ascii="Times New Roman" w:hAnsi="Times New Roman"/>
                <w:b/>
                <w:sz w:val="20"/>
              </w:rPr>
              <w:t>Leawood</w:t>
            </w:r>
            <w:r>
              <w:rPr>
                <w:b/>
                <w:sz w:val="20"/>
              </w:rPr>
              <w:t xml:space="preserve">, </w:t>
            </w:r>
            <w:r>
              <w:rPr>
                <w:rFonts w:ascii="Times New Roman" w:hAnsi="Times New Roman"/>
                <w:b/>
                <w:sz w:val="20"/>
              </w:rPr>
              <w:t>Kansas</w:t>
            </w:r>
            <w:r>
              <w:rPr>
                <w:sz w:val="20"/>
              </w:rPr>
              <w:t> </w:t>
            </w:r>
          </w:p>
        </w:tc>
        <w:tc>
          <w:tcPr>
            <w:tcW w:w="30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66211</w:t>
            </w:r>
          </w:p>
        </w:tc>
      </w:tr>
      <w:tr>
        <w:trPr/>
        <w:tc>
          <w:tcPr>
            <w:tcW w:w="5195" w:type="dxa"/>
            <w:tcBorders/>
            <w:vAlign w:val="center"/>
          </w:tcPr>
          <w:p>
            <w:pPr>
              <w:pStyle w:val="TableContents"/>
              <w:bidi w:val="0"/>
              <w:spacing w:before="0" w:after="0"/>
              <w:jc w:val="center"/>
              <w:rPr>
                <w:b/>
                <w:sz w:val="20"/>
              </w:rPr>
            </w:pPr>
            <w:r>
              <w:rPr>
                <w:b/>
                <w:sz w:val="20"/>
              </w:rPr>
              <w:t>(Address of principal executive offices)</w:t>
            </w:r>
          </w:p>
        </w:tc>
        <w:tc>
          <w:tcPr>
            <w:tcW w:w="3065" w:type="dxa"/>
            <w:tcBorders/>
            <w:vAlign w:val="center"/>
          </w:tcPr>
          <w:p>
            <w:pPr>
              <w:pStyle w:val="TableContents"/>
              <w:bidi w:val="0"/>
              <w:spacing w:before="0" w:after="0"/>
              <w:jc w:val="center"/>
              <w:rPr>
                <w:b/>
                <w:sz w:val="20"/>
              </w:rPr>
            </w:pPr>
            <w:r>
              <w:rPr>
                <w:b/>
                <w:sz w:val="20"/>
              </w:rPr>
              <w:t>(Zip Code)</w:t>
            </w:r>
          </w:p>
        </w:tc>
      </w:tr>
    </w:tbl>
    <w:p>
      <w:pPr>
        <w:pStyle w:val="TextBody"/>
        <w:bidi w:val="0"/>
        <w:spacing w:lineRule="atLeast" w:line="240" w:before="0" w:after="0"/>
        <w:jc w:val="center"/>
        <w:rPr/>
      </w:pPr>
      <w:r>
        <w:rPr/>
        <w:t> </w:t>
      </w:r>
    </w:p>
    <w:p>
      <w:pPr>
        <w:pStyle w:val="TextBody"/>
        <w:bidi w:val="0"/>
        <w:spacing w:lineRule="atLeast" w:line="240" w:before="0" w:after="0"/>
        <w:jc w:val="center"/>
        <w:rPr/>
      </w:pPr>
      <w:r>
        <w:rPr>
          <w:rFonts w:ascii="Times New Roman" w:hAnsi="Times New Roman"/>
          <w:b/>
          <w:sz w:val="20"/>
        </w:rPr>
        <w:t>(913)</w:t>
      </w:r>
      <w:r>
        <w:rPr/>
        <w:t xml:space="preserve"> </w:t>
      </w:r>
      <w:r>
        <w:rPr>
          <w:rFonts w:ascii="Times New Roman" w:hAnsi="Times New Roman"/>
          <w:b/>
          <w:sz w:val="20"/>
        </w:rPr>
        <w:t>327-4200</w:t>
      </w:r>
    </w:p>
    <w:p>
      <w:pPr>
        <w:pStyle w:val="TextBody"/>
        <w:bidi w:val="0"/>
        <w:spacing w:lineRule="atLeast" w:line="240" w:before="0" w:after="0"/>
        <w:jc w:val="center"/>
        <w:rPr>
          <w:b/>
          <w:sz w:val="20"/>
        </w:rPr>
      </w:pPr>
      <w:r>
        <w:rPr>
          <w:b/>
          <w:sz w:val="20"/>
        </w:rPr>
        <w:t>(Registrant's telephone number, including area code)</w:t>
      </w:r>
    </w:p>
    <w:p>
      <w:pPr>
        <w:pStyle w:val="TextBody"/>
        <w:bidi w:val="0"/>
        <w:spacing w:lineRule="atLeast" w:line="240" w:before="0" w:after="0"/>
        <w:jc w:val="center"/>
        <w:rPr/>
      </w:pPr>
      <w:r>
        <w:rPr/>
        <w:t> </w:t>
      </w:r>
    </w:p>
    <w:p>
      <w:pPr>
        <w:pStyle w:val="TextBody"/>
        <w:bidi w:val="0"/>
        <w:spacing w:lineRule="atLeast" w:line="200" w:before="0" w:after="0"/>
        <w:jc w:val="center"/>
        <w:rPr/>
      </w:pPr>
      <w:r>
        <w:rPr>
          <w:b/>
          <w:sz w:val="20"/>
        </w:rPr>
        <w:t>Securities registered pursuant to Section 12(b) of the Act:</w:t>
      </w:r>
      <w:r>
        <w:rPr/>
        <w:t xml:space="preserve"> </w:t>
      </w:r>
    </w:p>
    <w:p>
      <w:pPr>
        <w:pStyle w:val="TextBody"/>
        <w:bidi w:val="0"/>
        <w:spacing w:lineRule="atLeast" w:line="192" w:before="0" w:after="0"/>
        <w:jc w:val="center"/>
        <w:rPr/>
      </w:pPr>
      <w:r>
        <w:rPr/>
        <w:t> </w:t>
      </w:r>
    </w:p>
    <w:tbl>
      <w:tblPr>
        <w:tblW w:w="8310" w:type="dxa"/>
        <w:jc w:val="left"/>
        <w:tblInd w:w="0" w:type="dxa"/>
        <w:tblLayout w:type="fixed"/>
        <w:tblCellMar>
          <w:top w:w="0" w:type="dxa"/>
          <w:left w:w="0" w:type="dxa"/>
          <w:bottom w:w="0" w:type="dxa"/>
          <w:right w:w="0" w:type="dxa"/>
        </w:tblCellMar>
      </w:tblPr>
      <w:tblGrid>
        <w:gridCol w:w="2705"/>
        <w:gridCol w:w="1655"/>
        <w:gridCol w:w="3950"/>
      </w:tblGrid>
      <w:tr>
        <w:trPr/>
        <w:tc>
          <w:tcPr>
            <w:tcW w:w="2705" w:type="dxa"/>
            <w:tcBorders/>
            <w:vAlign w:val="center"/>
          </w:tcPr>
          <w:p>
            <w:pPr>
              <w:pStyle w:val="TableContents"/>
              <w:bidi w:val="0"/>
              <w:spacing w:before="0" w:after="0"/>
              <w:jc w:val="center"/>
              <w:rPr>
                <w:b/>
                <w:sz w:val="20"/>
                <w:u w:val="single"/>
              </w:rPr>
            </w:pPr>
            <w:r>
              <w:rPr>
                <w:b/>
                <w:sz w:val="20"/>
                <w:u w:val="single"/>
              </w:rPr>
              <w:t xml:space="preserve">Title of Each Class </w:t>
            </w:r>
          </w:p>
        </w:tc>
        <w:tc>
          <w:tcPr>
            <w:tcW w:w="1655" w:type="dxa"/>
            <w:tcBorders/>
            <w:vAlign w:val="center"/>
          </w:tcPr>
          <w:p>
            <w:pPr>
              <w:pStyle w:val="TableContents"/>
              <w:bidi w:val="0"/>
              <w:spacing w:before="0" w:after="0"/>
              <w:jc w:val="center"/>
              <w:rPr>
                <w:b/>
                <w:sz w:val="20"/>
                <w:u w:val="single"/>
              </w:rPr>
            </w:pPr>
            <w:r>
              <w:rPr>
                <w:b/>
                <w:sz w:val="20"/>
                <w:u w:val="single"/>
              </w:rPr>
              <w:t xml:space="preserve">Trading Symbol(s) </w:t>
            </w:r>
          </w:p>
        </w:tc>
        <w:tc>
          <w:tcPr>
            <w:tcW w:w="3950" w:type="dxa"/>
            <w:tcBorders/>
            <w:vAlign w:val="center"/>
          </w:tcPr>
          <w:p>
            <w:pPr>
              <w:pStyle w:val="TableContents"/>
              <w:bidi w:val="0"/>
              <w:spacing w:before="0" w:after="0"/>
              <w:jc w:val="center"/>
              <w:rPr>
                <w:b/>
                <w:sz w:val="20"/>
                <w:u w:val="single"/>
              </w:rPr>
            </w:pPr>
            <w:r>
              <w:rPr>
                <w:b/>
                <w:sz w:val="20"/>
                <w:u w:val="single"/>
              </w:rPr>
              <w:t xml:space="preserve">Name of Each Exchange on Which Registered </w:t>
            </w:r>
          </w:p>
        </w:tc>
      </w:tr>
      <w:tr>
        <w:trPr/>
        <w:tc>
          <w:tcPr>
            <w:tcW w:w="2705" w:type="dxa"/>
            <w:tcBorders>
              <w:top w:val="single" w:sz="8" w:space="0" w:color="000000"/>
              <w:left w:val="single" w:sz="8" w:space="0" w:color="000000"/>
              <w:bottom w:val="single" w:sz="8" w:space="0" w:color="000000"/>
              <w:right w:val="single" w:sz="8" w:space="0" w:color="000000"/>
            </w:tcBorders>
            <w:tcMar>
              <w:top w:w="40" w:type="dxa"/>
              <w:left w:w="30" w:type="dxa"/>
              <w:bottom w:w="40" w:type="dxa"/>
              <w:right w:w="30" w:type="dxa"/>
            </w:tcMar>
            <w:vAlign w:val="center"/>
          </w:tcPr>
          <w:p>
            <w:pPr>
              <w:pStyle w:val="TableContents"/>
              <w:bidi w:val="0"/>
              <w:spacing w:before="0" w:after="0"/>
              <w:jc w:val="center"/>
              <w:rPr>
                <w:sz w:val="20"/>
              </w:rPr>
            </w:pPr>
            <w:r>
              <w:rPr>
                <w:rFonts w:ascii="Times New Roman" w:hAnsi="Times New Roman"/>
                <w:b/>
                <w:sz w:val="20"/>
              </w:rPr>
              <w:t>Common Stock</w:t>
            </w:r>
            <w:r>
              <w:rPr>
                <w:sz w:val="20"/>
              </w:rPr>
              <w:t xml:space="preserve">  </w:t>
            </w:r>
          </w:p>
        </w:tc>
        <w:tc>
          <w:tcPr>
            <w:tcW w:w="1655" w:type="dxa"/>
            <w:tcBorders>
              <w:top w:val="single" w:sz="8" w:space="0" w:color="000000"/>
              <w:left w:val="single" w:sz="8" w:space="0" w:color="000000"/>
              <w:bottom w:val="single" w:sz="8" w:space="0" w:color="000000"/>
              <w:right w:val="single" w:sz="8" w:space="0" w:color="000000"/>
            </w:tcBorders>
            <w:tcMar>
              <w:top w:w="40" w:type="dxa"/>
              <w:left w:w="30" w:type="dxa"/>
              <w:bottom w:w="40" w:type="dxa"/>
              <w:right w:w="30" w:type="dxa"/>
            </w:tcMar>
            <w:vAlign w:val="center"/>
          </w:tcPr>
          <w:p>
            <w:pPr>
              <w:pStyle w:val="TableContents"/>
              <w:bidi w:val="0"/>
              <w:spacing w:before="0" w:after="0"/>
              <w:jc w:val="center"/>
              <w:rPr>
                <w:sz w:val="20"/>
              </w:rPr>
            </w:pPr>
            <w:r>
              <w:rPr>
                <w:rFonts w:ascii="Times New Roman" w:hAnsi="Times New Roman"/>
                <w:b/>
                <w:sz w:val="20"/>
              </w:rPr>
              <w:t>EEFT</w:t>
            </w:r>
            <w:r>
              <w:rPr>
                <w:sz w:val="20"/>
              </w:rPr>
              <w:t xml:space="preserve">  </w:t>
            </w:r>
          </w:p>
        </w:tc>
        <w:tc>
          <w:tcPr>
            <w:tcW w:w="3950" w:type="dxa"/>
            <w:tcBorders>
              <w:top w:val="single" w:sz="8" w:space="0" w:color="000000"/>
              <w:left w:val="single" w:sz="8" w:space="0" w:color="000000"/>
              <w:bottom w:val="single" w:sz="8" w:space="0" w:color="000000"/>
              <w:right w:val="single" w:sz="8" w:space="0" w:color="000000"/>
            </w:tcBorders>
            <w:tcMar>
              <w:top w:w="40" w:type="dxa"/>
              <w:left w:w="30" w:type="dxa"/>
              <w:bottom w:w="40" w:type="dxa"/>
              <w:right w:w="30" w:type="dxa"/>
            </w:tcMar>
            <w:vAlign w:val="center"/>
          </w:tcPr>
          <w:p>
            <w:pPr>
              <w:pStyle w:val="TableContents"/>
              <w:bidi w:val="0"/>
              <w:spacing w:before="0" w:after="0"/>
              <w:jc w:val="center"/>
              <w:rPr>
                <w:sz w:val="20"/>
              </w:rPr>
            </w:pPr>
            <w:r>
              <w:rPr>
                <w:rFonts w:ascii="Times New Roman" w:hAnsi="Times New Roman"/>
                <w:sz w:val="20"/>
              </w:rPr>
              <w:t>Nasdaq</w:t>
            </w:r>
            <w:r>
              <w:rPr>
                <w:sz w:val="20"/>
              </w:rPr>
              <w:t xml:space="preserve"> Global Select Market  </w:t>
            </w:r>
          </w:p>
        </w:tc>
      </w:tr>
      <w:tr>
        <w:trPr/>
        <w:tc>
          <w:tcPr>
            <w:tcW w:w="2705" w:type="dxa"/>
            <w:tcBorders>
              <w:top w:val="single" w:sz="8" w:space="0" w:color="000000"/>
              <w:left w:val="single" w:sz="8" w:space="0" w:color="000000"/>
              <w:bottom w:val="single" w:sz="8" w:space="0" w:color="000000"/>
              <w:right w:val="single" w:sz="8" w:space="0" w:color="000000"/>
            </w:tcBorders>
            <w:tcMar>
              <w:top w:w="40" w:type="dxa"/>
              <w:left w:w="30" w:type="dxa"/>
              <w:bottom w:w="40" w:type="dxa"/>
              <w:right w:w="30" w:type="dxa"/>
            </w:tcMar>
            <w:vAlign w:val="center"/>
          </w:tcPr>
          <w:p>
            <w:pPr>
              <w:pStyle w:val="TableContents"/>
              <w:bidi w:val="0"/>
              <w:spacing w:before="0" w:after="0"/>
              <w:jc w:val="center"/>
              <w:rPr>
                <w:sz w:val="20"/>
              </w:rPr>
            </w:pPr>
            <w:r>
              <w:rPr>
                <w:rFonts w:ascii="Times New Roman" w:hAnsi="Times New Roman"/>
                <w:b/>
                <w:sz w:val="20"/>
              </w:rPr>
              <w:t>1.375% Senior Notes due 2026</w:t>
            </w:r>
            <w:r>
              <w:rPr>
                <w:sz w:val="20"/>
              </w:rPr>
              <w:t>  </w:t>
            </w:r>
          </w:p>
        </w:tc>
        <w:tc>
          <w:tcPr>
            <w:tcW w:w="1655" w:type="dxa"/>
            <w:tcBorders>
              <w:top w:val="single" w:sz="8" w:space="0" w:color="000000"/>
              <w:left w:val="single" w:sz="8" w:space="0" w:color="000000"/>
              <w:bottom w:val="single" w:sz="8" w:space="0" w:color="000000"/>
              <w:right w:val="single" w:sz="8" w:space="0" w:color="000000"/>
            </w:tcBorders>
            <w:tcMar>
              <w:top w:w="40" w:type="dxa"/>
              <w:left w:w="30" w:type="dxa"/>
              <w:bottom w:w="40" w:type="dxa"/>
              <w:right w:w="30" w:type="dxa"/>
            </w:tcMar>
            <w:vAlign w:val="center"/>
          </w:tcPr>
          <w:p>
            <w:pPr>
              <w:pStyle w:val="TableContents"/>
              <w:bidi w:val="0"/>
              <w:spacing w:before="0" w:after="0"/>
              <w:jc w:val="center"/>
              <w:rPr>
                <w:sz w:val="20"/>
              </w:rPr>
            </w:pPr>
            <w:r>
              <w:rPr>
                <w:rFonts w:ascii="Times New Roman" w:hAnsi="Times New Roman"/>
                <w:b/>
                <w:sz w:val="20"/>
              </w:rPr>
              <w:t>EEFT26</w:t>
            </w:r>
            <w:r>
              <w:rPr>
                <w:sz w:val="20"/>
              </w:rPr>
              <w:t>  </w:t>
            </w:r>
          </w:p>
        </w:tc>
        <w:tc>
          <w:tcPr>
            <w:tcW w:w="3950" w:type="dxa"/>
            <w:tcBorders>
              <w:top w:val="single" w:sz="8" w:space="0" w:color="000000"/>
              <w:left w:val="single" w:sz="8" w:space="0" w:color="000000"/>
              <w:bottom w:val="single" w:sz="8" w:space="0" w:color="000000"/>
              <w:right w:val="single" w:sz="8" w:space="0" w:color="000000"/>
            </w:tcBorders>
            <w:tcMar>
              <w:top w:w="40" w:type="dxa"/>
              <w:left w:w="30" w:type="dxa"/>
              <w:bottom w:w="40" w:type="dxa"/>
              <w:right w:w="30" w:type="dxa"/>
            </w:tcMar>
            <w:vAlign w:val="center"/>
          </w:tcPr>
          <w:p>
            <w:pPr>
              <w:pStyle w:val="TableContents"/>
              <w:bidi w:val="0"/>
              <w:spacing w:before="0" w:after="0"/>
              <w:jc w:val="center"/>
              <w:rPr>
                <w:sz w:val="20"/>
              </w:rPr>
            </w:pPr>
            <w:r>
              <w:rPr>
                <w:rFonts w:ascii="Times New Roman" w:hAnsi="Times New Roman"/>
                <w:sz w:val="20"/>
              </w:rPr>
              <w:t>Nasdaq</w:t>
            </w:r>
            <w:r>
              <w:rPr>
                <w:sz w:val="20"/>
              </w:rPr>
              <w:t xml:space="preserve"> Global Market  </w:t>
            </w:r>
          </w:p>
        </w:tc>
      </w:tr>
    </w:tbl>
    <w:p>
      <w:pPr>
        <w:pStyle w:val="TextBody"/>
        <w:bidi w:val="0"/>
        <w:spacing w:lineRule="atLeast" w:line="240" w:before="0" w:after="0"/>
        <w:jc w:val="center"/>
        <w:rPr/>
      </w:pPr>
      <w:r>
        <w:rPr/>
        <w:t> </w:t>
      </w:r>
    </w:p>
    <w:p>
      <w:pPr>
        <w:pStyle w:val="TextBody"/>
        <w:bidi w:val="0"/>
        <w:spacing w:lineRule="atLeast" w:line="200" w:before="0" w:after="0"/>
        <w:jc w:val="center"/>
        <w:rPr>
          <w:b/>
          <w:sz w:val="20"/>
        </w:rPr>
      </w:pPr>
      <w:r>
        <w:rPr>
          <w:b/>
          <w:sz w:val="20"/>
        </w:rPr>
        <w:t>Securities registered pursuant to Section 12(g) of the Act: None</w:t>
      </w:r>
    </w:p>
    <w:p>
      <w:pPr>
        <w:pStyle w:val="TextBody"/>
        <w:bidi w:val="0"/>
        <w:spacing w:lineRule="atLeast" w:line="240" w:before="0" w:after="0"/>
        <w:jc w:val="center"/>
        <w:rPr>
          <w:sz w:val="20"/>
        </w:rPr>
      </w:pPr>
      <w:r>
        <w:rPr>
          <w:sz w:val="20"/>
        </w:rPr>
        <w:t>_________________________</w:t>
      </w:r>
    </w:p>
    <w:p>
      <w:pPr>
        <w:pStyle w:val="TextBody"/>
        <w:bidi w:val="0"/>
        <w:spacing w:lineRule="atLeast" w:line="216" w:before="0" w:after="0"/>
        <w:jc w:val="both"/>
        <w:rPr/>
      </w:pPr>
      <w:r>
        <w:rPr/>
        <w:t> </w:t>
      </w:r>
    </w:p>
    <w:p>
      <w:pPr>
        <w:pStyle w:val="TextBody"/>
        <w:bidi w:val="0"/>
        <w:spacing w:lineRule="atLeast" w:line="216" w:before="0" w:after="0"/>
        <w:jc w:val="both"/>
        <w:rPr/>
      </w:pPr>
      <w:r>
        <w:rPr>
          <w:sz w:val="20"/>
        </w:rPr>
        <w:t xml:space="preserve">Indicate by check mark if the registrant is a well-known seasoned issuer, as defined in Rule 405 of the Securities Act. Yes </w:t>
      </w:r>
      <w:r>
        <w:rPr/>
        <w:t>☑ </w:t>
      </w:r>
      <w:r>
        <w:rPr>
          <w:sz w:val="20"/>
        </w:rPr>
        <w:t xml:space="preserve">No </w:t>
      </w:r>
      <w:r>
        <w:rPr/>
        <w:t>☐</w:t>
      </w:r>
    </w:p>
    <w:p>
      <w:pPr>
        <w:pStyle w:val="TextBody"/>
        <w:bidi w:val="0"/>
        <w:spacing w:lineRule="atLeast" w:line="216" w:before="0" w:after="0"/>
        <w:jc w:val="both"/>
        <w:rPr/>
      </w:pPr>
      <w:r>
        <w:rPr/>
        <w:t> </w:t>
      </w:r>
    </w:p>
    <w:p>
      <w:pPr>
        <w:pStyle w:val="TextBody"/>
        <w:bidi w:val="0"/>
        <w:spacing w:lineRule="atLeast" w:line="240" w:before="0" w:after="0"/>
        <w:jc w:val="both"/>
        <w:rPr/>
      </w:pPr>
      <w:r>
        <w:rPr>
          <w:sz w:val="20"/>
        </w:rPr>
        <w:t xml:space="preserve">Indicate by check mark if the registrant is not required to file reports pursuant to Section 13 or Section 15(d) of the Act. Yes </w:t>
      </w:r>
      <w:r>
        <w:rPr/>
        <w:t>☐ </w:t>
      </w:r>
      <w:r>
        <w:rPr>
          <w:sz w:val="20"/>
        </w:rPr>
        <w:t xml:space="preserve">No </w:t>
      </w:r>
      <w:r>
        <w:rPr/>
        <w:t>☑</w:t>
      </w:r>
    </w:p>
    <w:p>
      <w:pPr>
        <w:pStyle w:val="TextBody"/>
        <w:bidi w:val="0"/>
        <w:spacing w:lineRule="atLeast" w:line="240" w:before="0" w:after="0"/>
        <w:jc w:val="both"/>
        <w:rPr/>
      </w:pPr>
      <w:r>
        <w:rPr/>
        <w:t> </w:t>
      </w:r>
    </w:p>
    <w:p>
      <w:pPr>
        <w:pStyle w:val="TextBody"/>
        <w:bidi w:val="0"/>
        <w:spacing w:lineRule="atLeast" w:line="216" w:before="0" w:after="0"/>
        <w:jc w:val="both"/>
        <w:rPr/>
      </w:pPr>
      <w:r>
        <w:rPr>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t>☑ </w:t>
      </w:r>
      <w:r>
        <w:rPr>
          <w:sz w:val="20"/>
        </w:rPr>
        <w:t xml:space="preserve">No </w:t>
      </w:r>
      <w:r>
        <w:rPr/>
        <w:t>☐</w:t>
      </w:r>
    </w:p>
    <w:p>
      <w:pPr>
        <w:pStyle w:val="TextBody"/>
        <w:bidi w:val="0"/>
        <w:spacing w:lineRule="atLeast" w:line="216" w:before="0" w:after="0"/>
        <w:jc w:val="both"/>
        <w:rPr/>
      </w:pPr>
      <w:r>
        <w:rPr/>
        <w:t> </w:t>
      </w:r>
    </w:p>
    <w:p>
      <w:pPr>
        <w:pStyle w:val="TextBody"/>
        <w:bidi w:val="0"/>
        <w:spacing w:lineRule="atLeast" w:line="240" w:before="0" w:after="0"/>
        <w:jc w:val="both"/>
        <w:rPr/>
      </w:pPr>
      <w:r>
        <w:rPr>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t> </w:t>
      </w:r>
      <w:r>
        <w:rPr>
          <w:sz w:val="20"/>
        </w:rPr>
        <w:t xml:space="preserve">Yes </w:t>
      </w:r>
      <w:r>
        <w:rPr/>
        <w:t>☑ </w:t>
      </w:r>
      <w:r>
        <w:rPr>
          <w:sz w:val="20"/>
        </w:rPr>
        <w:t xml:space="preserve">No </w:t>
      </w:r>
      <w:r>
        <w:rPr/>
        <w:t>☐</w:t>
      </w:r>
    </w:p>
    <w:p>
      <w:pPr>
        <w:pStyle w:val="TextBody"/>
        <w:bidi w:val="0"/>
        <w:spacing w:lineRule="atLeast" w:line="240"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16" w:before="0" w:after="0"/>
        <w:jc w:val="both"/>
        <w:rPr/>
      </w:pPr>
      <w:r>
        <w:rPr>
          <w:sz w:val="20"/>
        </w:rPr>
        <w:t>Indicate by check mark whether the registrant is a large accelerated filer, an accelerated filer, a non-accelerated filer, smaller reporting company, or an emerging growth company. See the definitions of "large accelerated filer,"</w:t>
      </w:r>
      <w:r>
        <w:rPr/>
        <w:t> </w:t>
      </w:r>
      <w:r>
        <w:rPr>
          <w:sz w:val="20"/>
        </w:rPr>
        <w:t>"accelerated filer," "smaller reporting company" and "emerging growth company" in Rule</w:t>
      </w:r>
      <w:r>
        <w:rPr/>
        <w:t> </w:t>
      </w:r>
      <w:r>
        <w:rPr>
          <w:sz w:val="20"/>
        </w:rPr>
        <w:t>12b-2 of the Exchange Act.</w:t>
      </w:r>
    </w:p>
    <w:p>
      <w:pPr>
        <w:pStyle w:val="TextBody"/>
        <w:bidi w:val="0"/>
        <w:spacing w:lineRule="atLeast" w:line="216"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4080"/>
        <w:gridCol w:w="546"/>
        <w:gridCol w:w="249"/>
        <w:gridCol w:w="4638"/>
        <w:gridCol w:w="692"/>
      </w:tblGrid>
      <w:tr>
        <w:trPr/>
        <w:tc>
          <w:tcPr>
            <w:tcW w:w="4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546" w:type="dxa"/>
            <w:tcBorders/>
            <w:vAlign w:val="center"/>
          </w:tcPr>
          <w:p>
            <w:pPr>
              <w:pStyle w:val="TableContents"/>
              <w:bidi w:val="0"/>
              <w:spacing w:before="0" w:after="0"/>
              <w:jc w:val="center"/>
              <w:rPr/>
            </w:pPr>
            <w:r>
              <w:rPr/>
              <w:t>☑</w:t>
            </w:r>
          </w:p>
        </w:tc>
        <w:tc>
          <w:tcPr>
            <w:tcW w:w="249" w:type="dxa"/>
            <w:tcBorders/>
            <w:vAlign w:val="center"/>
          </w:tcPr>
          <w:p>
            <w:pPr>
              <w:pStyle w:val="TableContents"/>
              <w:bidi w:val="0"/>
              <w:spacing w:before="0" w:after="0"/>
              <w:jc w:val="left"/>
              <w:rPr/>
            </w:pPr>
            <w:r>
              <w:rPr/>
              <w:t> </w:t>
            </w:r>
          </w:p>
        </w:tc>
        <w:tc>
          <w:tcPr>
            <w:tcW w:w="4638" w:type="dxa"/>
            <w:tcBorders/>
            <w:vAlign w:val="center"/>
          </w:tcPr>
          <w:p>
            <w:pPr>
              <w:pStyle w:val="TableContents"/>
              <w:bidi w:val="0"/>
              <w:spacing w:before="0" w:after="0"/>
              <w:jc w:val="left"/>
              <w:rPr>
                <w:sz w:val="20"/>
              </w:rPr>
            </w:pPr>
            <w:r>
              <w:rPr>
                <w:sz w:val="20"/>
              </w:rPr>
              <w:t xml:space="preserve">Accelerated filer </w:t>
            </w:r>
          </w:p>
        </w:tc>
        <w:tc>
          <w:tcPr>
            <w:tcW w:w="692" w:type="dxa"/>
            <w:tcBorders/>
            <w:vAlign w:val="center"/>
          </w:tcPr>
          <w:p>
            <w:pPr>
              <w:pStyle w:val="TableContents"/>
              <w:bidi w:val="0"/>
              <w:spacing w:before="0" w:after="0"/>
              <w:jc w:val="left"/>
              <w:rPr/>
            </w:pPr>
            <w:r>
              <w:rPr/>
              <w:t xml:space="preserve">☐ </w:t>
            </w:r>
          </w:p>
        </w:tc>
      </w:tr>
      <w:tr>
        <w:trPr/>
        <w:tc>
          <w:tcPr>
            <w:tcW w:w="4080" w:type="dxa"/>
            <w:tcBorders/>
            <w:vAlign w:val="center"/>
          </w:tcPr>
          <w:p>
            <w:pPr>
              <w:pStyle w:val="TableContents"/>
              <w:bidi w:val="0"/>
              <w:spacing w:before="0" w:after="0"/>
              <w:jc w:val="left"/>
              <w:rPr>
                <w:sz w:val="20"/>
              </w:rPr>
            </w:pPr>
            <w:r>
              <w:rPr>
                <w:sz w:val="20"/>
              </w:rPr>
              <w:t>Non-accelerated filer </w:t>
            </w:r>
          </w:p>
        </w:tc>
        <w:tc>
          <w:tcPr>
            <w:tcW w:w="546" w:type="dxa"/>
            <w:tcBorders/>
            <w:vAlign w:val="center"/>
          </w:tcPr>
          <w:p>
            <w:pPr>
              <w:pStyle w:val="TableContents"/>
              <w:bidi w:val="0"/>
              <w:spacing w:before="0" w:after="0"/>
              <w:jc w:val="center"/>
              <w:rPr/>
            </w:pPr>
            <w:r>
              <w:rPr/>
              <w:t>☐</w:t>
            </w:r>
          </w:p>
        </w:tc>
        <w:tc>
          <w:tcPr>
            <w:tcW w:w="249" w:type="dxa"/>
            <w:tcBorders/>
            <w:vAlign w:val="center"/>
          </w:tcPr>
          <w:p>
            <w:pPr>
              <w:pStyle w:val="TableContents"/>
              <w:bidi w:val="0"/>
              <w:spacing w:before="0" w:after="0"/>
              <w:jc w:val="center"/>
              <w:rPr/>
            </w:pPr>
            <w:r>
              <w:rPr/>
              <w:t xml:space="preserve">  </w:t>
            </w:r>
          </w:p>
        </w:tc>
        <w:tc>
          <w:tcPr>
            <w:tcW w:w="4638" w:type="dxa"/>
            <w:tcBorders/>
            <w:vAlign w:val="center"/>
          </w:tcPr>
          <w:p>
            <w:pPr>
              <w:pStyle w:val="TableContents"/>
              <w:bidi w:val="0"/>
              <w:spacing w:before="0" w:after="0"/>
              <w:jc w:val="left"/>
              <w:rPr>
                <w:sz w:val="20"/>
              </w:rPr>
            </w:pPr>
            <w:r>
              <w:rPr>
                <w:sz w:val="20"/>
              </w:rPr>
              <w:t>Smaller reporting company</w:t>
            </w:r>
          </w:p>
        </w:tc>
        <w:tc>
          <w:tcPr>
            <w:tcW w:w="692" w:type="dxa"/>
            <w:tcBorders/>
            <w:vAlign w:val="center"/>
          </w:tcPr>
          <w:p>
            <w:pPr>
              <w:pStyle w:val="TableContents"/>
              <w:bidi w:val="0"/>
              <w:spacing w:before="0" w:after="0"/>
              <w:jc w:val="left"/>
              <w:rPr/>
            </w:pPr>
            <w:r>
              <w:rPr/>
              <w:t xml:space="preserve">☐ </w:t>
            </w:r>
          </w:p>
        </w:tc>
      </w:tr>
      <w:tr>
        <w:trPr/>
        <w:tc>
          <w:tcPr>
            <w:tcW w:w="4080" w:type="dxa"/>
            <w:tcBorders/>
            <w:vAlign w:val="center"/>
          </w:tcPr>
          <w:p>
            <w:pPr>
              <w:pStyle w:val="TableContents"/>
              <w:bidi w:val="0"/>
              <w:spacing w:before="0" w:after="0"/>
              <w:jc w:val="left"/>
              <w:rPr/>
            </w:pPr>
            <w:r>
              <w:rPr/>
              <w:t xml:space="preserve">  </w:t>
            </w:r>
          </w:p>
        </w:tc>
        <w:tc>
          <w:tcPr>
            <w:tcW w:w="546" w:type="dxa"/>
            <w:tcBorders/>
            <w:vAlign w:val="center"/>
          </w:tcPr>
          <w:p>
            <w:pPr>
              <w:pStyle w:val="TableContents"/>
              <w:bidi w:val="0"/>
              <w:spacing w:before="0" w:after="0"/>
              <w:jc w:val="left"/>
              <w:rPr/>
            </w:pPr>
            <w:r>
              <w:rPr/>
              <w:t xml:space="preserve">  </w:t>
            </w:r>
          </w:p>
        </w:tc>
        <w:tc>
          <w:tcPr>
            <w:tcW w:w="249" w:type="dxa"/>
            <w:tcBorders/>
            <w:vAlign w:val="center"/>
          </w:tcPr>
          <w:p>
            <w:pPr>
              <w:pStyle w:val="TableContents"/>
              <w:bidi w:val="0"/>
              <w:spacing w:before="0" w:after="0"/>
              <w:jc w:val="left"/>
              <w:rPr/>
            </w:pPr>
            <w:r>
              <w:rPr/>
              <w:t> </w:t>
            </w:r>
          </w:p>
        </w:tc>
        <w:tc>
          <w:tcPr>
            <w:tcW w:w="4638" w:type="dxa"/>
            <w:tcBorders/>
            <w:vAlign w:val="center"/>
          </w:tcPr>
          <w:p>
            <w:pPr>
              <w:pStyle w:val="TableContents"/>
              <w:bidi w:val="0"/>
              <w:spacing w:before="0" w:after="0"/>
              <w:jc w:val="left"/>
              <w:rPr>
                <w:sz w:val="20"/>
              </w:rPr>
            </w:pPr>
            <w:r>
              <w:rPr>
                <w:sz w:val="20"/>
              </w:rPr>
              <w:t xml:space="preserve">Emerging growth company </w:t>
            </w:r>
          </w:p>
        </w:tc>
        <w:tc>
          <w:tcPr>
            <w:tcW w:w="692" w:type="dxa"/>
            <w:tcBorders/>
            <w:vAlign w:val="center"/>
          </w:tcPr>
          <w:p>
            <w:pPr>
              <w:pStyle w:val="TableContents"/>
              <w:bidi w:val="0"/>
              <w:spacing w:before="0" w:after="0"/>
              <w:jc w:val="left"/>
              <w:rPr/>
            </w:pPr>
            <w:r>
              <w:rPr/>
              <w:t xml:space="preserve">☐ </w:t>
            </w:r>
          </w:p>
        </w:tc>
      </w:tr>
      <w:tr>
        <w:trPr/>
        <w:tc>
          <w:tcPr>
            <w:tcW w:w="10205" w:type="dxa"/>
            <w:gridSpan w:val="5"/>
            <w:tcBorders/>
            <w:vAlign w:val="center"/>
          </w:tcPr>
          <w:p>
            <w:pPr>
              <w:pStyle w:val="TableContents"/>
              <w:bidi w:val="0"/>
              <w:spacing w:before="0" w:after="0"/>
              <w:jc w:val="both"/>
              <w:rPr>
                <w:sz w:val="20"/>
              </w:rPr>
            </w:pPr>
            <w:r>
              <w:rPr>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t>☑</w:t>
      </w:r>
    </w:p>
    <w:p>
      <w:pPr>
        <w:pStyle w:val="TextBody"/>
        <w:bidi w:val="0"/>
        <w:spacing w:lineRule="atLeast" w:line="288" w:before="0" w:after="0"/>
        <w:jc w:val="both"/>
        <w:rPr/>
      </w:pPr>
      <w:r>
        <w:rPr/>
        <w:t> </w:t>
      </w:r>
    </w:p>
    <w:p>
      <w:pPr>
        <w:pStyle w:val="TextBody"/>
        <w:bidi w:val="0"/>
        <w:spacing w:lineRule="atLeast" w:line="288" w:before="0" w:after="0"/>
        <w:jc w:val="both"/>
        <w:rPr/>
      </w:pPr>
      <w:r>
        <w:rPr>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t>☐</w:t>
      </w:r>
    </w:p>
    <w:p>
      <w:pPr>
        <w:pStyle w:val="TextBody"/>
        <w:bidi w:val="0"/>
        <w:spacing w:lineRule="atLeast" w:line="288" w:before="0" w:after="0"/>
        <w:jc w:val="both"/>
        <w:rPr/>
      </w:pPr>
      <w:r>
        <w:rPr/>
        <w:t> </w:t>
      </w:r>
    </w:p>
    <w:p>
      <w:pPr>
        <w:pStyle w:val="TextBody"/>
        <w:bidi w:val="0"/>
        <w:spacing w:lineRule="atLeast" w:line="288" w:before="0" w:after="0"/>
        <w:jc w:val="both"/>
        <w:rPr/>
      </w:pPr>
      <w:r>
        <w:rPr>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t>☐</w:t>
      </w:r>
    </w:p>
    <w:p>
      <w:pPr>
        <w:pStyle w:val="TextBody"/>
        <w:bidi w:val="0"/>
        <w:spacing w:lineRule="atLeast" w:line="288" w:before="0" w:after="0"/>
        <w:jc w:val="both"/>
        <w:rPr/>
      </w:pPr>
      <w:r>
        <w:rPr/>
        <w:t> </w:t>
      </w:r>
    </w:p>
    <w:p>
      <w:pPr>
        <w:pStyle w:val="TextBody"/>
        <w:bidi w:val="0"/>
        <w:spacing w:lineRule="atLeast" w:line="240" w:before="0" w:after="0"/>
        <w:jc w:val="both"/>
        <w:rPr/>
      </w:pPr>
      <w:r>
        <w:rPr>
          <w:sz w:val="20"/>
        </w:rPr>
        <w:t xml:space="preserve">Indicate by check mark whether the registrant is a shell company (as defined in Rule 12b-2 of the Act). Yes </w:t>
      </w:r>
      <w:r>
        <w:rPr/>
        <w:t>☐ </w:t>
      </w:r>
      <w:r>
        <w:rPr>
          <w:sz w:val="20"/>
        </w:rPr>
        <w:t xml:space="preserve">No </w:t>
      </w:r>
      <w:r>
        <w:rPr/>
        <w:t>☑</w:t>
      </w:r>
    </w:p>
    <w:p>
      <w:pPr>
        <w:pStyle w:val="TextBody"/>
        <w:bidi w:val="0"/>
        <w:spacing w:lineRule="atLeast" w:line="240" w:before="0" w:after="0"/>
        <w:jc w:val="both"/>
        <w:rPr/>
      </w:pPr>
      <w:r>
        <w:rPr/>
        <w:t> </w:t>
      </w:r>
    </w:p>
    <w:p>
      <w:pPr>
        <w:pStyle w:val="TextBody"/>
        <w:bidi w:val="0"/>
        <w:spacing w:lineRule="atLeast" w:line="216" w:before="0" w:after="0"/>
        <w:jc w:val="both"/>
        <w:rPr/>
      </w:pPr>
      <w:r>
        <w:rPr>
          <w:sz w:val="20"/>
        </w:rPr>
        <w:t>As of June 30, 2025, the aggregate market value of the voting and non-voting common equity held by non-affiliates of the registrant was approximately $</w:t>
      </w:r>
      <w:r>
        <w:rPr>
          <w:rFonts w:ascii="Times New Roman" w:hAnsi="Times New Roman"/>
          <w:sz w:val="20"/>
        </w:rPr>
        <w:t>3.9</w:t>
      </w:r>
      <w:r>
        <w:rPr/>
        <w:t xml:space="preserve"> </w:t>
      </w:r>
      <w:r>
        <w:rPr>
          <w:sz w:val="20"/>
        </w:rPr>
        <w:t>billion. The aggregate market value was determined based on the closing price of the Common Stock on June 30, 2025.</w:t>
      </w:r>
      <w:r>
        <w:rPr/>
        <w:t> </w:t>
      </w:r>
    </w:p>
    <w:p>
      <w:pPr>
        <w:pStyle w:val="TextBody"/>
        <w:bidi w:val="0"/>
        <w:spacing w:lineRule="atLeast" w:line="240" w:before="0" w:after="0"/>
        <w:jc w:val="both"/>
        <w:rPr/>
      </w:pPr>
      <w:r>
        <w:rPr/>
        <w:t> </w:t>
      </w:r>
    </w:p>
    <w:p>
      <w:pPr>
        <w:pStyle w:val="TextBody"/>
        <w:bidi w:val="0"/>
        <w:spacing w:lineRule="atLeast" w:line="216" w:before="0" w:after="0"/>
        <w:jc w:val="both"/>
        <w:rPr/>
      </w:pPr>
      <w:r>
        <w:rPr>
          <w:sz w:val="20"/>
        </w:rPr>
        <w:t xml:space="preserve">As of </w:t>
      </w:r>
      <w:r>
        <w:rPr>
          <w:rFonts w:ascii="Times New Roman" w:hAnsi="Times New Roman"/>
          <w:sz w:val="20"/>
        </w:rPr>
        <w:t>February 24, 2026</w:t>
      </w:r>
      <w:r>
        <w:rPr>
          <w:sz w:val="20"/>
        </w:rPr>
        <w:t xml:space="preserve">, the registrant had </w:t>
      </w:r>
      <w:r>
        <w:rPr>
          <w:rFonts w:ascii="Times New Roman" w:hAnsi="Times New Roman"/>
          <w:sz w:val="20"/>
        </w:rPr>
        <w:t>39,330,671</w:t>
      </w:r>
      <w:r>
        <w:rPr/>
        <w:t> </w:t>
      </w:r>
      <w:r>
        <w:rPr>
          <w:sz w:val="20"/>
        </w:rPr>
        <w:t>shares of Common Stock outstanding.</w:t>
      </w:r>
      <w:r>
        <w:rPr/>
        <w:t> </w:t>
      </w:r>
    </w:p>
    <w:p>
      <w:pPr>
        <w:pStyle w:val="TextBody"/>
        <w:bidi w:val="0"/>
        <w:spacing w:lineRule="atLeast" w:line="240" w:before="0" w:after="0"/>
        <w:jc w:val="left"/>
        <w:rPr/>
      </w:pPr>
      <w:r>
        <w:rPr/>
        <w:t> </w:t>
      </w:r>
    </w:p>
    <w:p>
      <w:pPr>
        <w:pStyle w:val="TextBody"/>
        <w:bidi w:val="0"/>
        <w:spacing w:lineRule="atLeast" w:line="216" w:before="0" w:after="0"/>
        <w:jc w:val="center"/>
        <w:rPr>
          <w:b/>
          <w:sz w:val="18"/>
        </w:rPr>
      </w:pPr>
      <w:r>
        <w:rPr>
          <w:b/>
          <w:sz w:val="18"/>
        </w:rPr>
        <w:t xml:space="preserve">Documents Incorporated By Reference </w:t>
      </w:r>
    </w:p>
    <w:p>
      <w:pPr>
        <w:pStyle w:val="TextBody"/>
        <w:bidi w:val="0"/>
        <w:spacing w:lineRule="atLeast" w:line="240" w:before="0" w:after="0"/>
        <w:jc w:val="left"/>
        <w:rPr/>
      </w:pPr>
      <w:r>
        <w:rPr/>
        <w:t> </w:t>
      </w:r>
    </w:p>
    <w:p>
      <w:pPr>
        <w:pStyle w:val="TextBody"/>
        <w:bidi w:val="0"/>
        <w:spacing w:lineRule="atLeast" w:line="216" w:before="0" w:after="0"/>
        <w:jc w:val="both"/>
        <w:rPr/>
      </w:pPr>
      <w:r>
        <w:rPr>
          <w:sz w:val="20"/>
        </w:rPr>
        <w:t xml:space="preserve">Portions of the registrant's Proxy Statement for its 2026 Annual Meeting of Stockholders, which will be filed with the Securities and Exchange Commission no later than 120 days after </w:t>
      </w:r>
      <w:r>
        <w:rPr>
          <w:rFonts w:ascii="Times New Roman" w:hAnsi="Times New Roman"/>
          <w:sz w:val="20"/>
        </w:rPr>
        <w:t>December 31, 2025</w:t>
      </w:r>
      <w:r>
        <w:rPr>
          <w:sz w:val="20"/>
        </w:rPr>
        <w:t>, are incorporated by reference into Part III of this Annual Report on Form 10-K.</w:t>
      </w:r>
    </w:p>
    <w:p>
      <w:pPr>
        <w:pStyle w:val="TextBody"/>
        <w:bidi w:val="0"/>
        <w:spacing w:lineRule="atLeast" w:line="216"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24"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pBdr/>
        <w:shd w:fill="FFFFFF" w:val="clear"/>
        <w:bidi w:val="0"/>
        <w:spacing w:lineRule="atLeast" w:line="240" w:before="0" w:after="0"/>
        <w:jc w:val="center"/>
        <w:rPr>
          <w:b/>
          <w:sz w:val="20"/>
        </w:rPr>
      </w:pPr>
      <w:r>
        <w:rPr>
          <w:b/>
          <w:sz w:val="20"/>
        </w:rPr>
        <w:t>EURONET WORLDWIDE, INC. AND SUBSIDIARIES</w:t>
      </w:r>
      <w:bookmarkStart w:id="5" w:name="TOC"/>
      <w:bookmarkEnd w:id="5"/>
    </w:p>
    <w:tbl>
      <w:tblPr>
        <w:tblW w:w="10205" w:type="dxa"/>
        <w:jc w:val="left"/>
        <w:tblInd w:w="0" w:type="dxa"/>
        <w:tblLayout w:type="fixed"/>
        <w:tblCellMar>
          <w:top w:w="0" w:type="dxa"/>
          <w:left w:w="0" w:type="dxa"/>
          <w:bottom w:w="0" w:type="dxa"/>
          <w:right w:w="0" w:type="dxa"/>
        </w:tblCellMar>
      </w:tblPr>
      <w:tblGrid>
        <w:gridCol w:w="1032"/>
        <w:gridCol w:w="8043"/>
        <w:gridCol w:w="1130"/>
      </w:tblGrid>
      <w:tr>
        <w:trPr/>
        <w:tc>
          <w:tcPr>
            <w:tcW w:w="1032" w:type="dxa"/>
            <w:tcBorders/>
            <w:shd w:fill="CCEEFF" w:val="clear"/>
            <w:vAlign w:val="center"/>
          </w:tcPr>
          <w:p>
            <w:pPr>
              <w:pStyle w:val="TableContents"/>
              <w:bidi w:val="0"/>
              <w:spacing w:before="0" w:after="0"/>
              <w:jc w:val="left"/>
              <w:rPr/>
            </w:pPr>
            <w:bookmarkStart w:id="6" w:name="TOC_TableofContent"/>
            <w:bookmarkEnd w:id="6"/>
            <w:r>
              <w:rPr/>
              <w:t> </w:t>
            </w:r>
          </w:p>
        </w:tc>
        <w:tc>
          <w:tcPr>
            <w:tcW w:w="8043" w:type="dxa"/>
            <w:tcBorders/>
            <w:shd w:fill="CCEEFF" w:val="clear"/>
            <w:vAlign w:val="center"/>
          </w:tcPr>
          <w:p>
            <w:pPr>
              <w:pStyle w:val="Heading4"/>
              <w:bidi w:val="0"/>
              <w:spacing w:before="0" w:after="0"/>
              <w:jc w:val="center"/>
              <w:rPr>
                <w:sz w:val="20"/>
              </w:rPr>
            </w:pPr>
            <w:r>
              <w:rPr>
                <w:sz w:val="20"/>
              </w:rPr>
              <w:t>Table of Content</w:t>
            </w:r>
          </w:p>
        </w:tc>
        <w:tc>
          <w:tcPr>
            <w:tcW w:w="1130" w:type="dxa"/>
            <w:tcBorders/>
            <w:shd w:fill="CCEEFF" w:val="clear"/>
            <w:vAlign w:val="center"/>
          </w:tcPr>
          <w:p>
            <w:pPr>
              <w:pStyle w:val="Heading4"/>
              <w:bidi w:val="0"/>
              <w:spacing w:before="0" w:after="0"/>
              <w:jc w:val="center"/>
              <w:rPr>
                <w:sz w:val="20"/>
              </w:rPr>
            </w:pPr>
            <w:r>
              <w:rPr>
                <w:sz w:val="20"/>
              </w:rPr>
              <w:t>Page Number</w:t>
            </w:r>
          </w:p>
        </w:tc>
      </w:tr>
      <w:tr>
        <w:trPr/>
        <w:tc>
          <w:tcPr>
            <w:tcW w:w="1032" w:type="dxa"/>
            <w:tcBorders/>
            <w:shd w:fill="FFFFFF" w:val="clear"/>
            <w:vAlign w:val="center"/>
          </w:tcPr>
          <w:p>
            <w:pPr>
              <w:pStyle w:val="TableContents"/>
              <w:bidi w:val="0"/>
              <w:spacing w:before="0" w:after="0"/>
              <w:jc w:val="left"/>
              <w:rPr>
                <w:sz w:val="20"/>
                <w:u w:val="single"/>
              </w:rPr>
            </w:pPr>
            <w:r>
              <w:rPr>
                <w:sz w:val="20"/>
                <w:u w:val="single"/>
              </w:rPr>
              <w:t>Item Number</w:t>
            </w:r>
          </w:p>
        </w:tc>
        <w:tc>
          <w:tcPr>
            <w:tcW w:w="8043" w:type="dxa"/>
            <w:tcBorders/>
            <w:shd w:fill="FFFFFF" w:val="clear"/>
            <w:vAlign w:val="center"/>
          </w:tcPr>
          <w:p>
            <w:pPr>
              <w:pStyle w:val="TableContents"/>
              <w:bidi w:val="0"/>
              <w:spacing w:before="0" w:after="0"/>
              <w:jc w:val="left"/>
              <w:rPr>
                <w:sz w:val="20"/>
                <w:u w:val="single"/>
              </w:rPr>
            </w:pPr>
            <w:r>
              <w:rPr>
                <w:sz w:val="20"/>
                <w:u w:val="single"/>
              </w:rPr>
              <w:t>Item Description</w:t>
            </w:r>
          </w:p>
        </w:tc>
        <w:tc>
          <w:tcPr>
            <w:tcW w:w="1130" w:type="dxa"/>
            <w:tcBorders/>
            <w:shd w:fill="FFFFFF" w:val="clear"/>
            <w:vAlign w:val="center"/>
          </w:tcPr>
          <w:p>
            <w:pPr>
              <w:pStyle w:val="TableContents"/>
              <w:bidi w:val="0"/>
              <w:spacing w:before="0" w:after="0"/>
              <w:jc w:val="center"/>
              <w:rPr/>
            </w:pPr>
            <w:r>
              <w:rPr/>
              <w:t> </w:t>
            </w:r>
          </w:p>
        </w:tc>
      </w:tr>
      <w:tr>
        <w:trPr/>
        <w:tc>
          <w:tcPr>
            <w:tcW w:w="1032" w:type="dxa"/>
            <w:tcBorders/>
            <w:shd w:fill="CCEEFF" w:val="clear"/>
            <w:vAlign w:val="center"/>
          </w:tcPr>
          <w:p>
            <w:pPr>
              <w:pStyle w:val="TableContents"/>
              <w:bidi w:val="0"/>
              <w:spacing w:before="0" w:after="0"/>
              <w:jc w:val="left"/>
              <w:rPr/>
            </w:pPr>
            <w:r>
              <w:rPr/>
              <w:t> </w:t>
            </w:r>
          </w:p>
        </w:tc>
        <w:tc>
          <w:tcPr>
            <w:tcW w:w="8043"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pPr>
            <w:r>
              <w:rPr/>
              <w:t> </w:t>
            </w:r>
          </w:p>
        </w:tc>
      </w:tr>
      <w:tr>
        <w:trPr/>
        <w:tc>
          <w:tcPr>
            <w:tcW w:w="1032" w:type="dxa"/>
            <w:tcBorders/>
            <w:shd w:fill="FFFFFF" w:val="clear"/>
            <w:vAlign w:val="center"/>
          </w:tcPr>
          <w:p>
            <w:pPr>
              <w:pStyle w:val="TableContents"/>
              <w:bidi w:val="0"/>
              <w:spacing w:before="0" w:after="0"/>
              <w:jc w:val="left"/>
              <w:rPr/>
            </w:pPr>
            <w:hyperlink w:anchor="bm_f77764d094cbe7ec">
              <w:r>
                <w:rPr>
                  <w:rStyle w:val="InternetLink"/>
                  <w:strike w:val="false"/>
                  <w:dstrike w:val="false"/>
                  <w:color w:val="0000FF"/>
                  <w:sz w:val="20"/>
                  <w:u w:val="single"/>
                  <w:effect w:val="none"/>
                </w:rPr>
                <w:t>Part I</w:t>
              </w:r>
            </w:hyperlink>
          </w:p>
        </w:tc>
        <w:tc>
          <w:tcPr>
            <w:tcW w:w="8043"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1032" w:type="dxa"/>
            <w:tcBorders/>
            <w:shd w:fill="CCEEFF" w:val="clear"/>
            <w:vAlign w:val="center"/>
          </w:tcPr>
          <w:p>
            <w:pPr>
              <w:pStyle w:val="TableContents"/>
              <w:bidi w:val="0"/>
              <w:spacing w:before="0" w:after="0"/>
              <w:jc w:val="left"/>
              <w:rPr>
                <w:sz w:val="20"/>
              </w:rPr>
            </w:pPr>
            <w:r>
              <w:rPr>
                <w:sz w:val="20"/>
              </w:rPr>
              <w:t>Item 1.</w:t>
            </w:r>
          </w:p>
        </w:tc>
        <w:tc>
          <w:tcPr>
            <w:tcW w:w="8043" w:type="dxa"/>
            <w:tcBorders/>
            <w:shd w:fill="CCEEFF" w:val="clear"/>
            <w:vAlign w:val="center"/>
          </w:tcPr>
          <w:p>
            <w:pPr>
              <w:pStyle w:val="TableContents"/>
              <w:bidi w:val="0"/>
              <w:spacing w:before="0" w:after="0"/>
              <w:jc w:val="left"/>
              <w:rPr/>
            </w:pPr>
            <w:hyperlink w:anchor="bm_3deae9ac86d0edc8">
              <w:r>
                <w:rPr>
                  <w:rStyle w:val="InternetLink"/>
                  <w:strike w:val="false"/>
                  <w:dstrike w:val="false"/>
                  <w:color w:val="0000FF"/>
                  <w:sz w:val="20"/>
                  <w:u w:val="single"/>
                  <w:effect w:val="none"/>
                </w:rPr>
                <w:t>Business</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1032" w:type="dxa"/>
            <w:tcBorders/>
            <w:shd w:fill="FFFFFF" w:val="clear"/>
            <w:vAlign w:val="center"/>
          </w:tcPr>
          <w:p>
            <w:pPr>
              <w:pStyle w:val="TableContents"/>
              <w:bidi w:val="0"/>
              <w:spacing w:before="0" w:after="0"/>
              <w:jc w:val="left"/>
              <w:rPr>
                <w:sz w:val="20"/>
              </w:rPr>
            </w:pPr>
            <w:r>
              <w:rPr>
                <w:sz w:val="20"/>
              </w:rPr>
              <w:t>Item 1A.</w:t>
            </w:r>
          </w:p>
        </w:tc>
        <w:tc>
          <w:tcPr>
            <w:tcW w:w="8043" w:type="dxa"/>
            <w:tcBorders/>
            <w:shd w:fill="FFFFFF" w:val="clear"/>
            <w:vAlign w:val="center"/>
          </w:tcPr>
          <w:p>
            <w:pPr>
              <w:pStyle w:val="TableContents"/>
              <w:bidi w:val="0"/>
              <w:spacing w:before="0" w:after="0"/>
              <w:jc w:val="left"/>
              <w:rPr/>
            </w:pPr>
            <w:hyperlink w:anchor="bm_4e95993106c2b6ba">
              <w:r>
                <w:rPr>
                  <w:rStyle w:val="InternetLink"/>
                  <w:strike w:val="false"/>
                  <w:dstrike w:val="false"/>
                  <w:color w:val="0000FF"/>
                  <w:sz w:val="20"/>
                  <w:u w:val="single"/>
                  <w:effect w:val="none"/>
                </w:rPr>
                <w:t>Risk Factors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16</w:t>
            </w:r>
          </w:p>
        </w:tc>
      </w:tr>
      <w:tr>
        <w:trPr/>
        <w:tc>
          <w:tcPr>
            <w:tcW w:w="1032" w:type="dxa"/>
            <w:tcBorders/>
            <w:shd w:fill="CCEEFF" w:val="clear"/>
            <w:vAlign w:val="center"/>
          </w:tcPr>
          <w:p>
            <w:pPr>
              <w:pStyle w:val="TableContents"/>
              <w:bidi w:val="0"/>
              <w:spacing w:before="0" w:after="0"/>
              <w:jc w:val="left"/>
              <w:rPr>
                <w:sz w:val="20"/>
              </w:rPr>
            </w:pPr>
            <w:r>
              <w:rPr>
                <w:sz w:val="20"/>
              </w:rPr>
              <w:t>Item 1B.</w:t>
            </w:r>
          </w:p>
        </w:tc>
        <w:tc>
          <w:tcPr>
            <w:tcW w:w="8043" w:type="dxa"/>
            <w:tcBorders/>
            <w:shd w:fill="CCEEFF" w:val="clear"/>
            <w:vAlign w:val="center"/>
          </w:tcPr>
          <w:p>
            <w:pPr>
              <w:pStyle w:val="TableContents"/>
              <w:bidi w:val="0"/>
              <w:spacing w:before="0" w:after="0"/>
              <w:jc w:val="left"/>
              <w:rPr/>
            </w:pPr>
            <w:hyperlink w:anchor="bm_762c59af6bd5c8f0">
              <w:r>
                <w:rPr>
                  <w:rStyle w:val="InternetLink"/>
                  <w:strike w:val="false"/>
                  <w:dstrike w:val="false"/>
                  <w:color w:val="0000FF"/>
                  <w:sz w:val="20"/>
                  <w:u w:val="single"/>
                  <w:effect w:val="none"/>
                </w:rPr>
                <w:t>Unresolved Staff Comments</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26</w:t>
            </w:r>
          </w:p>
        </w:tc>
      </w:tr>
      <w:tr>
        <w:trPr/>
        <w:tc>
          <w:tcPr>
            <w:tcW w:w="1032" w:type="dxa"/>
            <w:tcBorders/>
            <w:shd w:fill="FFFFFF" w:val="clear"/>
            <w:vAlign w:val="center"/>
          </w:tcPr>
          <w:p>
            <w:pPr>
              <w:pStyle w:val="TableContents"/>
              <w:bidi w:val="0"/>
              <w:spacing w:before="0" w:after="0"/>
              <w:jc w:val="left"/>
              <w:rPr>
                <w:sz w:val="20"/>
              </w:rPr>
            </w:pPr>
            <w:r>
              <w:rPr>
                <w:sz w:val="20"/>
              </w:rPr>
              <w:t>Item 1C.</w:t>
            </w:r>
          </w:p>
        </w:tc>
        <w:tc>
          <w:tcPr>
            <w:tcW w:w="8043" w:type="dxa"/>
            <w:tcBorders/>
            <w:shd w:fill="FFFFFF" w:val="clear"/>
            <w:vAlign w:val="center"/>
          </w:tcPr>
          <w:p>
            <w:pPr>
              <w:pStyle w:val="TableContents"/>
              <w:bidi w:val="0"/>
              <w:spacing w:before="0" w:after="0"/>
              <w:jc w:val="left"/>
              <w:rPr/>
            </w:pPr>
            <w:hyperlink w:anchor="bm_23daf4db9e044f1f">
              <w:r>
                <w:rPr>
                  <w:rStyle w:val="InternetLink"/>
                  <w:strike w:val="false"/>
                  <w:dstrike w:val="false"/>
                  <w:color w:val="0000FF"/>
                  <w:sz w:val="20"/>
                  <w:u w:val="single"/>
                  <w:effect w:val="none"/>
                </w:rPr>
                <w:t>Cybersecurity Risk Management and Strategy</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26</w:t>
            </w:r>
          </w:p>
        </w:tc>
      </w:tr>
      <w:tr>
        <w:trPr/>
        <w:tc>
          <w:tcPr>
            <w:tcW w:w="1032" w:type="dxa"/>
            <w:tcBorders/>
            <w:shd w:fill="CCEEFF" w:val="clear"/>
            <w:vAlign w:val="center"/>
          </w:tcPr>
          <w:p>
            <w:pPr>
              <w:pStyle w:val="TableContents"/>
              <w:bidi w:val="0"/>
              <w:spacing w:before="0" w:after="0"/>
              <w:jc w:val="left"/>
              <w:rPr>
                <w:sz w:val="20"/>
              </w:rPr>
            </w:pPr>
            <w:r>
              <w:rPr>
                <w:sz w:val="20"/>
              </w:rPr>
              <w:t>Item 2.</w:t>
            </w:r>
          </w:p>
        </w:tc>
        <w:tc>
          <w:tcPr>
            <w:tcW w:w="8043" w:type="dxa"/>
            <w:tcBorders/>
            <w:shd w:fill="CCEEFF" w:val="clear"/>
            <w:vAlign w:val="center"/>
          </w:tcPr>
          <w:p>
            <w:pPr>
              <w:pStyle w:val="TableContents"/>
              <w:bidi w:val="0"/>
              <w:spacing w:before="0" w:after="0"/>
              <w:jc w:val="left"/>
              <w:rPr/>
            </w:pPr>
            <w:hyperlink w:anchor="bm_2ee4aec03c4096ba">
              <w:r>
                <w:rPr>
                  <w:rStyle w:val="InternetLink"/>
                  <w:strike w:val="false"/>
                  <w:dstrike w:val="false"/>
                  <w:color w:val="0000FF"/>
                  <w:sz w:val="20"/>
                  <w:u w:val="single"/>
                  <w:effect w:val="none"/>
                </w:rPr>
                <w:t>Properties</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28</w:t>
            </w:r>
          </w:p>
        </w:tc>
      </w:tr>
      <w:tr>
        <w:trPr/>
        <w:tc>
          <w:tcPr>
            <w:tcW w:w="1032" w:type="dxa"/>
            <w:tcBorders/>
            <w:shd w:fill="FFFFFF" w:val="clear"/>
            <w:vAlign w:val="center"/>
          </w:tcPr>
          <w:p>
            <w:pPr>
              <w:pStyle w:val="TableContents"/>
              <w:bidi w:val="0"/>
              <w:spacing w:before="0" w:after="0"/>
              <w:jc w:val="left"/>
              <w:rPr>
                <w:sz w:val="20"/>
              </w:rPr>
            </w:pPr>
            <w:r>
              <w:rPr>
                <w:sz w:val="20"/>
              </w:rPr>
              <w:t>Item 3.</w:t>
            </w:r>
          </w:p>
        </w:tc>
        <w:tc>
          <w:tcPr>
            <w:tcW w:w="8043" w:type="dxa"/>
            <w:tcBorders/>
            <w:shd w:fill="FFFFFF" w:val="clear"/>
            <w:vAlign w:val="center"/>
          </w:tcPr>
          <w:p>
            <w:pPr>
              <w:pStyle w:val="TableContents"/>
              <w:bidi w:val="0"/>
              <w:spacing w:before="0" w:after="0"/>
              <w:jc w:val="left"/>
              <w:rPr/>
            </w:pPr>
            <w:hyperlink w:anchor="bm_1bb9e04304a83898">
              <w:r>
                <w:rPr>
                  <w:rStyle w:val="InternetLink"/>
                  <w:strike w:val="false"/>
                  <w:dstrike w:val="false"/>
                  <w:color w:val="0000FF"/>
                  <w:sz w:val="20"/>
                  <w:u w:val="single"/>
                  <w:effect w:val="none"/>
                </w:rPr>
                <w:t>Legal Proceedings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28</w:t>
            </w:r>
          </w:p>
        </w:tc>
      </w:tr>
      <w:tr>
        <w:trPr/>
        <w:tc>
          <w:tcPr>
            <w:tcW w:w="1032" w:type="dxa"/>
            <w:tcBorders/>
            <w:shd w:fill="CCEEFF" w:val="clear"/>
            <w:vAlign w:val="center"/>
          </w:tcPr>
          <w:p>
            <w:pPr>
              <w:pStyle w:val="TableContents"/>
              <w:bidi w:val="0"/>
              <w:spacing w:before="0" w:after="0"/>
              <w:jc w:val="left"/>
              <w:rPr>
                <w:sz w:val="20"/>
              </w:rPr>
            </w:pPr>
            <w:r>
              <w:rPr>
                <w:sz w:val="20"/>
              </w:rPr>
              <w:t>Item 4.</w:t>
            </w:r>
          </w:p>
        </w:tc>
        <w:tc>
          <w:tcPr>
            <w:tcW w:w="8043" w:type="dxa"/>
            <w:tcBorders/>
            <w:shd w:fill="CCEEFF" w:val="clear"/>
            <w:vAlign w:val="center"/>
          </w:tcPr>
          <w:p>
            <w:pPr>
              <w:pStyle w:val="TableContents"/>
              <w:bidi w:val="0"/>
              <w:spacing w:before="0" w:after="0"/>
              <w:jc w:val="left"/>
              <w:rPr/>
            </w:pPr>
            <w:hyperlink w:anchor="bm_bb2246304e5ee0ed">
              <w:r>
                <w:rPr>
                  <w:rStyle w:val="InternetLink"/>
                  <w:strike w:val="false"/>
                  <w:dstrike w:val="false"/>
                  <w:color w:val="0000FF"/>
                  <w:sz w:val="20"/>
                  <w:u w:val="single"/>
                  <w:effect w:val="none"/>
                </w:rPr>
                <w:t>Mine Safety Disclosures</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28</w:t>
            </w:r>
          </w:p>
        </w:tc>
      </w:tr>
      <w:tr>
        <w:trPr/>
        <w:tc>
          <w:tcPr>
            <w:tcW w:w="1032" w:type="dxa"/>
            <w:tcBorders/>
            <w:shd w:fill="FFFFFF" w:val="clear"/>
            <w:vAlign w:val="center"/>
          </w:tcPr>
          <w:p>
            <w:pPr>
              <w:pStyle w:val="TableContents"/>
              <w:bidi w:val="0"/>
              <w:spacing w:before="0" w:after="0"/>
              <w:jc w:val="left"/>
              <w:rPr/>
            </w:pPr>
            <w:r>
              <w:rPr/>
              <w:t> </w:t>
            </w:r>
          </w:p>
        </w:tc>
        <w:tc>
          <w:tcPr>
            <w:tcW w:w="8043"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center"/>
              <w:rPr/>
            </w:pPr>
            <w:r>
              <w:rPr/>
              <w:t> </w:t>
            </w:r>
          </w:p>
        </w:tc>
      </w:tr>
      <w:tr>
        <w:trPr/>
        <w:tc>
          <w:tcPr>
            <w:tcW w:w="1032" w:type="dxa"/>
            <w:tcBorders/>
            <w:shd w:fill="CCEEFF" w:val="clear"/>
            <w:vAlign w:val="center"/>
          </w:tcPr>
          <w:p>
            <w:pPr>
              <w:pStyle w:val="TableContents"/>
              <w:bidi w:val="0"/>
              <w:spacing w:before="0" w:after="0"/>
              <w:jc w:val="left"/>
              <w:rPr/>
            </w:pPr>
            <w:hyperlink w:anchor="bm_796cc489b77a6097">
              <w:r>
                <w:rPr>
                  <w:rStyle w:val="InternetLink"/>
                  <w:strike w:val="false"/>
                  <w:dstrike w:val="false"/>
                  <w:color w:val="0000FF"/>
                  <w:sz w:val="20"/>
                  <w:u w:val="single"/>
                  <w:effect w:val="none"/>
                </w:rPr>
                <w:t xml:space="preserve">Part II </w:t>
              </w:r>
            </w:hyperlink>
          </w:p>
        </w:tc>
        <w:tc>
          <w:tcPr>
            <w:tcW w:w="8043"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29</w:t>
            </w:r>
          </w:p>
        </w:tc>
      </w:tr>
      <w:tr>
        <w:trPr/>
        <w:tc>
          <w:tcPr>
            <w:tcW w:w="1032" w:type="dxa"/>
            <w:tcBorders/>
            <w:shd w:fill="FFFFFF" w:val="clear"/>
            <w:vAlign w:val="center"/>
          </w:tcPr>
          <w:p>
            <w:pPr>
              <w:pStyle w:val="TableContents"/>
              <w:bidi w:val="0"/>
              <w:spacing w:before="0" w:after="0"/>
              <w:jc w:val="left"/>
              <w:rPr>
                <w:sz w:val="20"/>
              </w:rPr>
            </w:pPr>
            <w:r>
              <w:rPr>
                <w:sz w:val="20"/>
              </w:rPr>
              <w:t>Item 5.</w:t>
            </w:r>
          </w:p>
        </w:tc>
        <w:tc>
          <w:tcPr>
            <w:tcW w:w="8043" w:type="dxa"/>
            <w:tcBorders/>
            <w:shd w:fill="FFFFFF" w:val="clear"/>
            <w:vAlign w:val="center"/>
          </w:tcPr>
          <w:p>
            <w:pPr>
              <w:pStyle w:val="TableContents"/>
              <w:bidi w:val="0"/>
              <w:spacing w:before="0" w:after="0"/>
              <w:jc w:val="left"/>
              <w:rPr/>
            </w:pPr>
            <w:hyperlink w:anchor="bm_049abd6f6636671e">
              <w:r>
                <w:rPr>
                  <w:rStyle w:val="InternetLink"/>
                  <w:strike w:val="false"/>
                  <w:dstrike w:val="false"/>
                  <w:color w:val="0000FF"/>
                  <w:sz w:val="20"/>
                  <w:u w:val="single"/>
                  <w:effect w:val="none"/>
                </w:rPr>
                <w:t xml:space="preserve">Market for Registrant's Common Equity, Related Stockholder Matters and Issuer Purchases of Equity Securities </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29</w:t>
            </w:r>
          </w:p>
        </w:tc>
      </w:tr>
      <w:tr>
        <w:trPr/>
        <w:tc>
          <w:tcPr>
            <w:tcW w:w="1032" w:type="dxa"/>
            <w:tcBorders/>
            <w:shd w:fill="CCEEFF" w:val="clear"/>
            <w:vAlign w:val="center"/>
          </w:tcPr>
          <w:p>
            <w:pPr>
              <w:pStyle w:val="TableContents"/>
              <w:bidi w:val="0"/>
              <w:spacing w:before="0" w:after="0"/>
              <w:jc w:val="left"/>
              <w:rPr>
                <w:sz w:val="20"/>
              </w:rPr>
            </w:pPr>
            <w:r>
              <w:rPr>
                <w:sz w:val="20"/>
              </w:rPr>
              <w:t>Item 6.</w:t>
            </w:r>
          </w:p>
        </w:tc>
        <w:tc>
          <w:tcPr>
            <w:tcW w:w="8043" w:type="dxa"/>
            <w:tcBorders/>
            <w:shd w:fill="CCEEFF" w:val="clear"/>
            <w:vAlign w:val="center"/>
          </w:tcPr>
          <w:p>
            <w:pPr>
              <w:pStyle w:val="TableContents"/>
              <w:bidi w:val="0"/>
              <w:spacing w:before="0" w:after="0"/>
              <w:jc w:val="left"/>
              <w:rPr/>
            </w:pPr>
            <w:hyperlink w:anchor="bm_216134d7ba1a33c6">
              <w:r>
                <w:rPr>
                  <w:rStyle w:val="InternetLink"/>
                  <w:strike w:val="false"/>
                  <w:dstrike w:val="false"/>
                  <w:color w:val="0000FF"/>
                  <w:sz w:val="20"/>
                  <w:u w:val="single"/>
                  <w:effect w:val="none"/>
                </w:rPr>
                <w:t>Reserved</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30</w:t>
            </w:r>
          </w:p>
        </w:tc>
      </w:tr>
      <w:tr>
        <w:trPr/>
        <w:tc>
          <w:tcPr>
            <w:tcW w:w="1032" w:type="dxa"/>
            <w:tcBorders/>
            <w:shd w:fill="FFFFFF" w:val="clear"/>
            <w:vAlign w:val="center"/>
          </w:tcPr>
          <w:p>
            <w:pPr>
              <w:pStyle w:val="TableContents"/>
              <w:bidi w:val="0"/>
              <w:spacing w:before="0" w:after="0"/>
              <w:jc w:val="left"/>
              <w:rPr>
                <w:sz w:val="20"/>
              </w:rPr>
            </w:pPr>
            <w:r>
              <w:rPr>
                <w:sz w:val="20"/>
              </w:rPr>
              <w:t>Item 7.</w:t>
            </w:r>
          </w:p>
        </w:tc>
        <w:tc>
          <w:tcPr>
            <w:tcW w:w="8043" w:type="dxa"/>
            <w:tcBorders/>
            <w:shd w:fill="FFFFFF" w:val="clear"/>
            <w:vAlign w:val="center"/>
          </w:tcPr>
          <w:p>
            <w:pPr>
              <w:pStyle w:val="TableContents"/>
              <w:bidi w:val="0"/>
              <w:spacing w:before="0" w:after="0"/>
              <w:jc w:val="left"/>
              <w:rPr/>
            </w:pPr>
            <w:hyperlink w:anchor="bm_ed2f31d64de4d72b">
              <w:r>
                <w:rPr>
                  <w:rStyle w:val="InternetLink"/>
                  <w:strike w:val="false"/>
                  <w:dstrike w:val="false"/>
                  <w:color w:val="0000FF"/>
                  <w:sz w:val="20"/>
                  <w:u w:val="single"/>
                  <w:effect w:val="none"/>
                </w:rPr>
                <w:t>Management's Discussion and Analysis of Financial Condition and Results of Operations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30</w:t>
            </w:r>
          </w:p>
        </w:tc>
      </w:tr>
      <w:tr>
        <w:trPr/>
        <w:tc>
          <w:tcPr>
            <w:tcW w:w="1032" w:type="dxa"/>
            <w:tcBorders/>
            <w:shd w:fill="CCEEFF" w:val="clear"/>
            <w:vAlign w:val="center"/>
          </w:tcPr>
          <w:p>
            <w:pPr>
              <w:pStyle w:val="TableContents"/>
              <w:bidi w:val="0"/>
              <w:spacing w:before="0" w:after="0"/>
              <w:jc w:val="left"/>
              <w:rPr>
                <w:sz w:val="20"/>
              </w:rPr>
            </w:pPr>
            <w:r>
              <w:rPr>
                <w:sz w:val="20"/>
              </w:rPr>
              <w:t>Item 7A.</w:t>
            </w:r>
          </w:p>
        </w:tc>
        <w:tc>
          <w:tcPr>
            <w:tcW w:w="8043" w:type="dxa"/>
            <w:tcBorders/>
            <w:shd w:fill="CCEEFF" w:val="clear"/>
            <w:vAlign w:val="center"/>
          </w:tcPr>
          <w:p>
            <w:pPr>
              <w:pStyle w:val="TableContents"/>
              <w:bidi w:val="0"/>
              <w:spacing w:before="0" w:after="0"/>
              <w:jc w:val="left"/>
              <w:rPr/>
            </w:pPr>
            <w:hyperlink w:anchor="bm_4dab01656729a928">
              <w:r>
                <w:rPr>
                  <w:rStyle w:val="InternetLink"/>
                  <w:strike w:val="false"/>
                  <w:dstrike w:val="false"/>
                  <w:color w:val="0000FF"/>
                  <w:sz w:val="20"/>
                  <w:u w:val="single"/>
                  <w:effect w:val="none"/>
                </w:rPr>
                <w:t>Quantitative and Qualitative Disclosures about Market Risk</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45</w:t>
            </w:r>
          </w:p>
        </w:tc>
      </w:tr>
      <w:tr>
        <w:trPr/>
        <w:tc>
          <w:tcPr>
            <w:tcW w:w="1032" w:type="dxa"/>
            <w:tcBorders/>
            <w:shd w:fill="FFFFFF" w:val="clear"/>
            <w:vAlign w:val="center"/>
          </w:tcPr>
          <w:p>
            <w:pPr>
              <w:pStyle w:val="TableContents"/>
              <w:bidi w:val="0"/>
              <w:spacing w:before="0" w:after="0"/>
              <w:jc w:val="left"/>
              <w:rPr>
                <w:sz w:val="20"/>
              </w:rPr>
            </w:pPr>
            <w:r>
              <w:rPr>
                <w:sz w:val="20"/>
              </w:rPr>
              <w:t>Item 8.</w:t>
            </w:r>
          </w:p>
        </w:tc>
        <w:tc>
          <w:tcPr>
            <w:tcW w:w="8043" w:type="dxa"/>
            <w:tcBorders/>
            <w:shd w:fill="FFFFFF" w:val="clear"/>
            <w:vAlign w:val="center"/>
          </w:tcPr>
          <w:p>
            <w:pPr>
              <w:pStyle w:val="TableContents"/>
              <w:bidi w:val="0"/>
              <w:spacing w:before="0" w:after="0"/>
              <w:jc w:val="left"/>
              <w:rPr/>
            </w:pPr>
            <w:hyperlink w:anchor="bm_0da7b5e8f22a3ed0">
              <w:r>
                <w:rPr>
                  <w:rStyle w:val="InternetLink"/>
                  <w:strike w:val="false"/>
                  <w:dstrike w:val="false"/>
                  <w:color w:val="0000FF"/>
                  <w:sz w:val="20"/>
                  <w:u w:val="single"/>
                  <w:effect w:val="none"/>
                </w:rPr>
                <w:t>Financial Statements and Supplementary Data</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47</w:t>
            </w:r>
          </w:p>
        </w:tc>
      </w:tr>
      <w:tr>
        <w:trPr/>
        <w:tc>
          <w:tcPr>
            <w:tcW w:w="1032" w:type="dxa"/>
            <w:tcBorders/>
            <w:shd w:fill="CCEEFF" w:val="clear"/>
            <w:vAlign w:val="center"/>
          </w:tcPr>
          <w:p>
            <w:pPr>
              <w:pStyle w:val="TableContents"/>
              <w:bidi w:val="0"/>
              <w:spacing w:before="0" w:after="0"/>
              <w:jc w:val="left"/>
              <w:rPr>
                <w:sz w:val="20"/>
              </w:rPr>
            </w:pPr>
            <w:r>
              <w:rPr>
                <w:sz w:val="20"/>
              </w:rPr>
              <w:t>Item 9.</w:t>
            </w:r>
          </w:p>
        </w:tc>
        <w:tc>
          <w:tcPr>
            <w:tcW w:w="8043" w:type="dxa"/>
            <w:tcBorders/>
            <w:shd w:fill="CCEEFF" w:val="clear"/>
            <w:vAlign w:val="center"/>
          </w:tcPr>
          <w:p>
            <w:pPr>
              <w:pStyle w:val="TableContents"/>
              <w:bidi w:val="0"/>
              <w:spacing w:before="0" w:after="0"/>
              <w:jc w:val="left"/>
              <w:rPr/>
            </w:pPr>
            <w:hyperlink w:anchor="bm_b1004eb270c78c47">
              <w:r>
                <w:rPr>
                  <w:rStyle w:val="InternetLink"/>
                  <w:strike w:val="false"/>
                  <w:dstrike w:val="false"/>
                  <w:color w:val="0000FF"/>
                  <w:sz w:val="20"/>
                  <w:u w:val="single"/>
                  <w:effect w:val="none"/>
                </w:rPr>
                <w:t>Changes in and Disagreements with Accountants on Accounting and Financial Disclosure</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84</w:t>
            </w:r>
          </w:p>
        </w:tc>
      </w:tr>
      <w:tr>
        <w:trPr/>
        <w:tc>
          <w:tcPr>
            <w:tcW w:w="1032" w:type="dxa"/>
            <w:tcBorders/>
            <w:shd w:fill="FFFFFF" w:val="clear"/>
            <w:vAlign w:val="center"/>
          </w:tcPr>
          <w:p>
            <w:pPr>
              <w:pStyle w:val="TableContents"/>
              <w:bidi w:val="0"/>
              <w:spacing w:before="0" w:after="0"/>
              <w:jc w:val="left"/>
              <w:rPr>
                <w:sz w:val="20"/>
              </w:rPr>
            </w:pPr>
            <w:r>
              <w:rPr>
                <w:sz w:val="20"/>
              </w:rPr>
              <w:t>Item 9A.</w:t>
            </w:r>
          </w:p>
        </w:tc>
        <w:tc>
          <w:tcPr>
            <w:tcW w:w="8043" w:type="dxa"/>
            <w:tcBorders/>
            <w:shd w:fill="FFFFFF" w:val="clear"/>
            <w:vAlign w:val="center"/>
          </w:tcPr>
          <w:p>
            <w:pPr>
              <w:pStyle w:val="TableContents"/>
              <w:bidi w:val="0"/>
              <w:spacing w:before="0" w:after="0"/>
              <w:jc w:val="left"/>
              <w:rPr/>
            </w:pPr>
            <w:hyperlink w:anchor="bm_262b53f0f87959b6">
              <w:r>
                <w:rPr>
                  <w:rStyle w:val="InternetLink"/>
                  <w:strike w:val="false"/>
                  <w:dstrike w:val="false"/>
                  <w:color w:val="0000FF"/>
                  <w:sz w:val="20"/>
                  <w:u w:val="single"/>
                  <w:effect w:val="none"/>
                </w:rPr>
                <w:t>Controls and Procedures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84</w:t>
            </w:r>
          </w:p>
        </w:tc>
      </w:tr>
      <w:tr>
        <w:trPr/>
        <w:tc>
          <w:tcPr>
            <w:tcW w:w="1032" w:type="dxa"/>
            <w:tcBorders/>
            <w:shd w:fill="CCEEFF" w:val="clear"/>
            <w:vAlign w:val="center"/>
          </w:tcPr>
          <w:p>
            <w:pPr>
              <w:pStyle w:val="TableContents"/>
              <w:bidi w:val="0"/>
              <w:spacing w:before="0" w:after="0"/>
              <w:jc w:val="left"/>
              <w:rPr>
                <w:sz w:val="20"/>
              </w:rPr>
            </w:pPr>
            <w:r>
              <w:rPr>
                <w:sz w:val="20"/>
              </w:rPr>
              <w:t>Item 9B.</w:t>
            </w:r>
          </w:p>
        </w:tc>
        <w:tc>
          <w:tcPr>
            <w:tcW w:w="8043" w:type="dxa"/>
            <w:tcBorders/>
            <w:shd w:fill="CCEEFF" w:val="clear"/>
            <w:vAlign w:val="center"/>
          </w:tcPr>
          <w:p>
            <w:pPr>
              <w:pStyle w:val="TableContents"/>
              <w:bidi w:val="0"/>
              <w:spacing w:before="0" w:after="0"/>
              <w:jc w:val="left"/>
              <w:rPr/>
            </w:pPr>
            <w:hyperlink w:anchor="bm_7004e3b292786927">
              <w:r>
                <w:rPr>
                  <w:rStyle w:val="InternetLink"/>
                  <w:strike w:val="false"/>
                  <w:dstrike w:val="false"/>
                  <w:color w:val="0000FF"/>
                  <w:sz w:val="20"/>
                  <w:u w:val="single"/>
                  <w:effect w:val="none"/>
                </w:rPr>
                <w:t>Other Information</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FFFFFF" w:val="clear"/>
            <w:vAlign w:val="center"/>
          </w:tcPr>
          <w:p>
            <w:pPr>
              <w:pStyle w:val="TableContents"/>
              <w:bidi w:val="0"/>
              <w:spacing w:before="0" w:after="0"/>
              <w:jc w:val="left"/>
              <w:rPr>
                <w:sz w:val="20"/>
              </w:rPr>
            </w:pPr>
            <w:r>
              <w:rPr>
                <w:sz w:val="20"/>
              </w:rPr>
              <w:t>Item 9C.</w:t>
            </w:r>
          </w:p>
        </w:tc>
        <w:tc>
          <w:tcPr>
            <w:tcW w:w="8043" w:type="dxa"/>
            <w:tcBorders/>
            <w:shd w:fill="FFFFFF" w:val="clear"/>
            <w:vAlign w:val="center"/>
          </w:tcPr>
          <w:p>
            <w:pPr>
              <w:pStyle w:val="TableContents"/>
              <w:bidi w:val="0"/>
              <w:spacing w:before="0" w:after="0"/>
              <w:jc w:val="left"/>
              <w:rPr/>
            </w:pPr>
            <w:hyperlink w:anchor="bm_acb34ff2eceb90b1">
              <w:r>
                <w:rPr>
                  <w:rStyle w:val="InternetLink"/>
                  <w:strike w:val="false"/>
                  <w:dstrike w:val="false"/>
                  <w:color w:val="0000FF"/>
                  <w:sz w:val="20"/>
                  <w:u w:val="single"/>
                  <w:effect w:val="none"/>
                </w:rPr>
                <w:t>Disclosure Regarding Foreign Jurisdictions that Prevent Inspections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CCEEFF" w:val="clear"/>
            <w:vAlign w:val="center"/>
          </w:tcPr>
          <w:p>
            <w:pPr>
              <w:pStyle w:val="TableContents"/>
              <w:bidi w:val="0"/>
              <w:spacing w:before="0" w:after="0"/>
              <w:jc w:val="left"/>
              <w:rPr/>
            </w:pPr>
            <w:r>
              <w:rPr/>
              <w:t> </w:t>
            </w:r>
          </w:p>
        </w:tc>
        <w:tc>
          <w:tcPr>
            <w:tcW w:w="8043"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pPr>
            <w:r>
              <w:rPr/>
              <w:t> </w:t>
            </w:r>
          </w:p>
        </w:tc>
      </w:tr>
      <w:tr>
        <w:trPr/>
        <w:tc>
          <w:tcPr>
            <w:tcW w:w="1032" w:type="dxa"/>
            <w:tcBorders/>
            <w:shd w:fill="FFFFFF" w:val="clear"/>
            <w:vAlign w:val="center"/>
          </w:tcPr>
          <w:p>
            <w:pPr>
              <w:pStyle w:val="TableContents"/>
              <w:bidi w:val="0"/>
              <w:spacing w:before="0" w:after="0"/>
              <w:jc w:val="left"/>
              <w:rPr/>
            </w:pPr>
            <w:hyperlink w:anchor="bm_98fc0c8544b26ccd">
              <w:r>
                <w:rPr>
                  <w:rStyle w:val="InternetLink"/>
                  <w:strike w:val="false"/>
                  <w:dstrike w:val="false"/>
                  <w:color w:val="0000FF"/>
                  <w:sz w:val="20"/>
                  <w:u w:val="single"/>
                  <w:effect w:val="none"/>
                </w:rPr>
                <w:t>Part III</w:t>
              </w:r>
            </w:hyperlink>
          </w:p>
        </w:tc>
        <w:tc>
          <w:tcPr>
            <w:tcW w:w="8043" w:type="dxa"/>
            <w:tcBorders/>
            <w:shd w:fill="FFFFFF" w:val="clear"/>
            <w:vAlign w:val="center"/>
          </w:tcPr>
          <w:p>
            <w:pPr>
              <w:pStyle w:val="TableContents"/>
              <w:bidi w:val="0"/>
              <w:spacing w:before="0" w:after="283"/>
              <w:jc w:val="left"/>
              <w:rPr>
                <w:sz w:val="4"/>
                <w:szCs w:val="4"/>
              </w:rPr>
            </w:pPr>
            <w:r>
              <w:rPr>
                <w:sz w:val="4"/>
                <w:szCs w:val="4"/>
              </w:rPr>
            </w:r>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CCEEFF" w:val="clear"/>
            <w:vAlign w:val="center"/>
          </w:tcPr>
          <w:p>
            <w:pPr>
              <w:pStyle w:val="TableContents"/>
              <w:bidi w:val="0"/>
              <w:spacing w:before="0" w:after="0"/>
              <w:jc w:val="left"/>
              <w:rPr>
                <w:sz w:val="20"/>
              </w:rPr>
            </w:pPr>
            <w:r>
              <w:rPr>
                <w:sz w:val="20"/>
              </w:rPr>
              <w:t>Item 10.</w:t>
            </w:r>
          </w:p>
        </w:tc>
        <w:tc>
          <w:tcPr>
            <w:tcW w:w="8043" w:type="dxa"/>
            <w:tcBorders/>
            <w:shd w:fill="CCEEFF" w:val="clear"/>
            <w:vAlign w:val="center"/>
          </w:tcPr>
          <w:p>
            <w:pPr>
              <w:pStyle w:val="TableContents"/>
              <w:bidi w:val="0"/>
              <w:spacing w:before="0" w:after="0"/>
              <w:jc w:val="left"/>
              <w:rPr/>
            </w:pPr>
            <w:hyperlink w:anchor="bm_0d58b31e2cebf368">
              <w:r>
                <w:rPr>
                  <w:rStyle w:val="InternetLink"/>
                  <w:strike w:val="false"/>
                  <w:dstrike w:val="false"/>
                  <w:color w:val="0000FF"/>
                  <w:sz w:val="20"/>
                  <w:u w:val="single"/>
                  <w:effect w:val="none"/>
                </w:rPr>
                <w:t>Directors, Executive Officers and Corporate Governance</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FFFFFF" w:val="clear"/>
            <w:vAlign w:val="center"/>
          </w:tcPr>
          <w:p>
            <w:pPr>
              <w:pStyle w:val="TableContents"/>
              <w:bidi w:val="0"/>
              <w:spacing w:before="0" w:after="0"/>
              <w:jc w:val="left"/>
              <w:rPr>
                <w:sz w:val="20"/>
              </w:rPr>
            </w:pPr>
            <w:r>
              <w:rPr>
                <w:sz w:val="20"/>
              </w:rPr>
              <w:t>Item 11.</w:t>
            </w:r>
          </w:p>
        </w:tc>
        <w:tc>
          <w:tcPr>
            <w:tcW w:w="8043" w:type="dxa"/>
            <w:tcBorders/>
            <w:shd w:fill="FFFFFF" w:val="clear"/>
            <w:vAlign w:val="center"/>
          </w:tcPr>
          <w:p>
            <w:pPr>
              <w:pStyle w:val="TableContents"/>
              <w:bidi w:val="0"/>
              <w:spacing w:before="0" w:after="0"/>
              <w:jc w:val="left"/>
              <w:rPr/>
            </w:pPr>
            <w:hyperlink w:anchor="bm_8c551d92a69fde4b">
              <w:r>
                <w:rPr>
                  <w:rStyle w:val="InternetLink"/>
                  <w:strike w:val="false"/>
                  <w:dstrike w:val="false"/>
                  <w:color w:val="0000FF"/>
                  <w:sz w:val="20"/>
                  <w:u w:val="single"/>
                  <w:effect w:val="none"/>
                </w:rPr>
                <w:t>Executive Compensation</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CCEEFF" w:val="clear"/>
            <w:vAlign w:val="center"/>
          </w:tcPr>
          <w:p>
            <w:pPr>
              <w:pStyle w:val="TableContents"/>
              <w:bidi w:val="0"/>
              <w:spacing w:before="0" w:after="0"/>
              <w:jc w:val="left"/>
              <w:rPr>
                <w:sz w:val="20"/>
              </w:rPr>
            </w:pPr>
            <w:r>
              <w:rPr>
                <w:sz w:val="20"/>
              </w:rPr>
              <w:t>Item 12.</w:t>
            </w:r>
          </w:p>
        </w:tc>
        <w:tc>
          <w:tcPr>
            <w:tcW w:w="8043" w:type="dxa"/>
            <w:tcBorders/>
            <w:shd w:fill="CCEEFF" w:val="clear"/>
            <w:vAlign w:val="center"/>
          </w:tcPr>
          <w:p>
            <w:pPr>
              <w:pStyle w:val="TableContents"/>
              <w:bidi w:val="0"/>
              <w:spacing w:before="0" w:after="0"/>
              <w:jc w:val="left"/>
              <w:rPr/>
            </w:pPr>
            <w:hyperlink w:anchor="bm_3127583efe610944">
              <w:r>
                <w:rPr>
                  <w:rStyle w:val="InternetLink"/>
                  <w:strike w:val="false"/>
                  <w:dstrike w:val="false"/>
                  <w:color w:val="0000FF"/>
                  <w:sz w:val="20"/>
                  <w:u w:val="single"/>
                  <w:effect w:val="none"/>
                </w:rPr>
                <w:t>Security Ownership of Certain Beneficial Owners and Management and Related Stockholder Matters</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FFFFFF" w:val="clear"/>
            <w:vAlign w:val="center"/>
          </w:tcPr>
          <w:p>
            <w:pPr>
              <w:pStyle w:val="TableContents"/>
              <w:bidi w:val="0"/>
              <w:spacing w:before="0" w:after="0"/>
              <w:jc w:val="left"/>
              <w:rPr>
                <w:sz w:val="20"/>
              </w:rPr>
            </w:pPr>
            <w:r>
              <w:rPr>
                <w:sz w:val="20"/>
              </w:rPr>
              <w:t>Item 13.</w:t>
            </w:r>
          </w:p>
        </w:tc>
        <w:tc>
          <w:tcPr>
            <w:tcW w:w="8043" w:type="dxa"/>
            <w:tcBorders/>
            <w:shd w:fill="FFFFFF" w:val="clear"/>
            <w:vAlign w:val="center"/>
          </w:tcPr>
          <w:p>
            <w:pPr>
              <w:pStyle w:val="TableContents"/>
              <w:bidi w:val="0"/>
              <w:spacing w:before="0" w:after="0"/>
              <w:jc w:val="left"/>
              <w:rPr/>
            </w:pPr>
            <w:hyperlink w:anchor="bm_2689eb21cd180e8c">
              <w:r>
                <w:rPr>
                  <w:rStyle w:val="InternetLink"/>
                  <w:strike w:val="false"/>
                  <w:dstrike w:val="false"/>
                  <w:color w:val="0000FF"/>
                  <w:sz w:val="20"/>
                  <w:u w:val="single"/>
                  <w:effect w:val="none"/>
                </w:rPr>
                <w:t>Certain Relationships and Related Transactions, and Director Independence</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CCEEFF" w:val="clear"/>
            <w:vAlign w:val="center"/>
          </w:tcPr>
          <w:p>
            <w:pPr>
              <w:pStyle w:val="TableContents"/>
              <w:bidi w:val="0"/>
              <w:spacing w:before="0" w:after="0"/>
              <w:jc w:val="left"/>
              <w:rPr>
                <w:sz w:val="20"/>
              </w:rPr>
            </w:pPr>
            <w:r>
              <w:rPr>
                <w:sz w:val="20"/>
              </w:rPr>
              <w:t>Item 14.</w:t>
            </w:r>
          </w:p>
        </w:tc>
        <w:tc>
          <w:tcPr>
            <w:tcW w:w="8043" w:type="dxa"/>
            <w:tcBorders/>
            <w:shd w:fill="CCEEFF" w:val="clear"/>
            <w:vAlign w:val="center"/>
          </w:tcPr>
          <w:p>
            <w:pPr>
              <w:pStyle w:val="TableContents"/>
              <w:bidi w:val="0"/>
              <w:spacing w:before="0" w:after="0"/>
              <w:jc w:val="left"/>
              <w:rPr/>
            </w:pPr>
            <w:hyperlink w:anchor="bm_71f10112a6f8acd3">
              <w:r>
                <w:rPr>
                  <w:rStyle w:val="InternetLink"/>
                  <w:strike w:val="false"/>
                  <w:dstrike w:val="false"/>
                  <w:color w:val="0000FF"/>
                  <w:sz w:val="20"/>
                  <w:u w:val="single"/>
                  <w:effect w:val="none"/>
                </w:rPr>
                <w:t>Principal Accounting Fees and Services</w:t>
              </w:r>
            </w:hyperlink>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85</w:t>
            </w:r>
          </w:p>
        </w:tc>
      </w:tr>
      <w:tr>
        <w:trPr/>
        <w:tc>
          <w:tcPr>
            <w:tcW w:w="1032" w:type="dxa"/>
            <w:tcBorders/>
            <w:shd w:fill="FFFFFF" w:val="clear"/>
            <w:vAlign w:val="center"/>
          </w:tcPr>
          <w:p>
            <w:pPr>
              <w:pStyle w:val="TableContents"/>
              <w:bidi w:val="0"/>
              <w:spacing w:before="0" w:after="0"/>
              <w:jc w:val="left"/>
              <w:rPr/>
            </w:pPr>
            <w:r>
              <w:rPr/>
              <w:t> </w:t>
            </w:r>
          </w:p>
        </w:tc>
        <w:tc>
          <w:tcPr>
            <w:tcW w:w="8043"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center"/>
              <w:rPr/>
            </w:pPr>
            <w:r>
              <w:rPr/>
              <w:t> </w:t>
            </w:r>
          </w:p>
        </w:tc>
      </w:tr>
      <w:tr>
        <w:trPr/>
        <w:tc>
          <w:tcPr>
            <w:tcW w:w="1032" w:type="dxa"/>
            <w:tcBorders/>
            <w:shd w:fill="CCEEFF" w:val="clear"/>
            <w:vAlign w:val="center"/>
          </w:tcPr>
          <w:p>
            <w:pPr>
              <w:pStyle w:val="TableContents"/>
              <w:bidi w:val="0"/>
              <w:spacing w:before="0" w:after="0"/>
              <w:jc w:val="left"/>
              <w:rPr/>
            </w:pPr>
            <w:hyperlink w:anchor="bm_85b7b9ba13df710d">
              <w:r>
                <w:rPr>
                  <w:rStyle w:val="InternetLink"/>
                  <w:strike w:val="false"/>
                  <w:dstrike w:val="false"/>
                  <w:color w:val="0000FF"/>
                  <w:sz w:val="20"/>
                  <w:u w:val="single"/>
                  <w:effect w:val="none"/>
                </w:rPr>
                <w:t xml:space="preserve">Part IV </w:t>
              </w:r>
            </w:hyperlink>
          </w:p>
        </w:tc>
        <w:tc>
          <w:tcPr>
            <w:tcW w:w="8043"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86</w:t>
            </w:r>
          </w:p>
        </w:tc>
      </w:tr>
      <w:tr>
        <w:trPr/>
        <w:tc>
          <w:tcPr>
            <w:tcW w:w="1032" w:type="dxa"/>
            <w:tcBorders/>
            <w:shd w:fill="FFFFFF" w:val="clear"/>
            <w:vAlign w:val="center"/>
          </w:tcPr>
          <w:p>
            <w:pPr>
              <w:pStyle w:val="TableContents"/>
              <w:bidi w:val="0"/>
              <w:spacing w:before="0" w:after="0"/>
              <w:jc w:val="left"/>
              <w:rPr>
                <w:sz w:val="20"/>
              </w:rPr>
            </w:pPr>
            <w:r>
              <w:rPr>
                <w:sz w:val="20"/>
              </w:rPr>
              <w:t>Item 15.</w:t>
            </w:r>
          </w:p>
        </w:tc>
        <w:tc>
          <w:tcPr>
            <w:tcW w:w="8043" w:type="dxa"/>
            <w:tcBorders/>
            <w:shd w:fill="FFFFFF" w:val="clear"/>
            <w:vAlign w:val="center"/>
          </w:tcPr>
          <w:p>
            <w:pPr>
              <w:pStyle w:val="TableContents"/>
              <w:bidi w:val="0"/>
              <w:spacing w:before="0" w:after="0"/>
              <w:jc w:val="left"/>
              <w:rPr/>
            </w:pPr>
            <w:hyperlink w:anchor="bm_b429dfbee460e7b2">
              <w:r>
                <w:rPr>
                  <w:rStyle w:val="InternetLink"/>
                  <w:strike w:val="false"/>
                  <w:dstrike w:val="false"/>
                  <w:color w:val="0000FF"/>
                  <w:sz w:val="20"/>
                  <w:u w:val="single"/>
                  <w:effect w:val="none"/>
                </w:rPr>
                <w:t>Exhibits and Financial Statement Schedules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86</w:t>
            </w:r>
          </w:p>
        </w:tc>
      </w:tr>
      <w:tr>
        <w:trPr/>
        <w:tc>
          <w:tcPr>
            <w:tcW w:w="1032" w:type="dxa"/>
            <w:tcBorders/>
            <w:shd w:fill="CCEEFF" w:val="clear"/>
            <w:vAlign w:val="center"/>
          </w:tcPr>
          <w:p>
            <w:pPr>
              <w:pStyle w:val="TableContents"/>
              <w:bidi w:val="0"/>
              <w:spacing w:before="0" w:after="0"/>
              <w:jc w:val="left"/>
              <w:rPr/>
            </w:pPr>
            <w:r>
              <w:rPr/>
              <w:t> </w:t>
            </w:r>
          </w:p>
        </w:tc>
        <w:tc>
          <w:tcPr>
            <w:tcW w:w="8043"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pPr>
            <w:r>
              <w:rPr/>
              <w:t> </w:t>
            </w:r>
          </w:p>
        </w:tc>
      </w:tr>
      <w:tr>
        <w:trPr/>
        <w:tc>
          <w:tcPr>
            <w:tcW w:w="1032" w:type="dxa"/>
            <w:tcBorders/>
            <w:shd w:fill="FFFFFF" w:val="clear"/>
            <w:vAlign w:val="center"/>
          </w:tcPr>
          <w:p>
            <w:pPr>
              <w:pStyle w:val="TableContents"/>
              <w:bidi w:val="0"/>
              <w:spacing w:before="0" w:after="0"/>
              <w:jc w:val="left"/>
              <w:rPr/>
            </w:pPr>
            <w:r>
              <w:rPr/>
              <w:t> </w:t>
            </w:r>
          </w:p>
        </w:tc>
        <w:tc>
          <w:tcPr>
            <w:tcW w:w="8043" w:type="dxa"/>
            <w:tcBorders/>
            <w:shd w:fill="FFFFFF" w:val="clear"/>
            <w:vAlign w:val="center"/>
          </w:tcPr>
          <w:p>
            <w:pPr>
              <w:pStyle w:val="TableContents"/>
              <w:bidi w:val="0"/>
              <w:spacing w:before="0" w:after="0"/>
              <w:jc w:val="left"/>
              <w:rPr/>
            </w:pPr>
            <w:hyperlink w:anchor="bm_271a802240459869">
              <w:r>
                <w:rPr>
                  <w:rStyle w:val="InternetLink"/>
                  <w:strike w:val="false"/>
                  <w:dstrike w:val="false"/>
                  <w:color w:val="0000FF"/>
                  <w:sz w:val="20"/>
                  <w:u w:val="single"/>
                  <w:effect w:val="none"/>
                </w:rPr>
                <w:t>Signatures</w:t>
              </w:r>
            </w:hyperlink>
          </w:p>
        </w:tc>
        <w:tc>
          <w:tcPr>
            <w:tcW w:w="113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90</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hyperlink w:anchor="TOC">
        <w:bookmarkStart w:id="7" w:name="bm_f77764d094cbe7ec"/>
        <w:bookmarkEnd w:id="7"/>
        <w:r>
          <w:rPr>
            <w:rStyle w:val="InternetLink"/>
            <w:b/>
            <w:strike w:val="false"/>
            <w:dstrike w:val="false"/>
            <w:color w:val="000000"/>
            <w:sz w:val="20"/>
            <w:u w:val="none"/>
            <w:effect w:val="none"/>
          </w:rPr>
          <w:t>Part I</w:t>
        </w:r>
      </w:hyperlink>
    </w:p>
    <w:p>
      <w:pPr>
        <w:pStyle w:val="TextBody"/>
        <w:bidi w:val="0"/>
        <w:spacing w:lineRule="atLeast" w:line="240" w:before="0" w:after="0"/>
        <w:jc w:val="center"/>
        <w:rPr/>
      </w:pPr>
      <w:r>
        <w:rPr/>
        <w:t> </w:t>
      </w:r>
    </w:p>
    <w:p>
      <w:pPr>
        <w:pStyle w:val="TextBody"/>
        <w:bidi w:val="0"/>
        <w:spacing w:lineRule="atLeast" w:line="240" w:before="0" w:after="0"/>
        <w:jc w:val="both"/>
        <w:rPr/>
      </w:pPr>
      <w:bookmarkStart w:id="8" w:name="bm_3deae9ac86d0edc8"/>
      <w:bookmarkEnd w:id="8"/>
      <w:r>
        <w:rPr>
          <w:b/>
          <w:sz w:val="20"/>
        </w:rPr>
        <w:t xml:space="preserve">Item 1. </w:t>
      </w:r>
      <w:hyperlink w:anchor="TOC">
        <w:r>
          <w:rPr>
            <w:rStyle w:val="InternetLink"/>
            <w:b/>
            <w:strike w:val="false"/>
            <w:dstrike w:val="false"/>
            <w:color w:val="000000"/>
            <w:sz w:val="20"/>
            <w:u w:val="none"/>
            <w:effect w:val="none"/>
          </w:rPr>
          <w:t>Business</w:t>
        </w:r>
      </w:hyperlink>
    </w:p>
    <w:p>
      <w:pPr>
        <w:pStyle w:val="TextBody"/>
        <w:bidi w:val="0"/>
        <w:spacing w:lineRule="atLeast" w:line="240" w:before="200" w:after="200"/>
        <w:jc w:val="both"/>
        <w:rPr>
          <w:i/>
          <w:sz w:val="20"/>
        </w:rPr>
      </w:pPr>
      <w:r>
        <w:rPr>
          <w:i/>
          <w:sz w:val="20"/>
        </w:rPr>
        <w:t>References in this report to "we," "our," "us," the "Company" and "Euronet" refer to Euronet Worldwide, Inc. and its subsidiaries unless the context indicates otherwise.</w:t>
      </w:r>
    </w:p>
    <w:p>
      <w:pPr>
        <w:pStyle w:val="TextBody"/>
        <w:bidi w:val="0"/>
        <w:spacing w:lineRule="atLeast" w:line="240" w:before="0" w:after="0"/>
        <w:jc w:val="center"/>
        <w:rPr>
          <w:b/>
          <w:sz w:val="20"/>
        </w:rPr>
      </w:pPr>
      <w:r>
        <w:rPr>
          <w:b/>
          <w:sz w:val="20"/>
        </w:rPr>
        <w:t>Business Overview</w:t>
      </w:r>
    </w:p>
    <w:p>
      <w:pPr>
        <w:pStyle w:val="TextBody"/>
        <w:bidi w:val="0"/>
        <w:spacing w:lineRule="atLeast" w:line="240" w:before="200" w:after="200"/>
        <w:jc w:val="both"/>
        <w:rPr>
          <w:b/>
          <w:i/>
          <w:sz w:val="20"/>
        </w:rPr>
      </w:pPr>
      <w:r>
        <w:rPr>
          <w:b/>
          <w:i/>
          <w:sz w:val="20"/>
        </w:rPr>
        <w:t>General Overview</w:t>
      </w:r>
    </w:p>
    <w:p>
      <w:pPr>
        <w:pStyle w:val="TextBody"/>
        <w:bidi w:val="0"/>
        <w:spacing w:lineRule="atLeast" w:line="240" w:before="200" w:after="200"/>
        <w:jc w:val="both"/>
        <w:rPr/>
      </w:pPr>
      <w:r>
        <w:rPr>
          <w:sz w:val="20"/>
        </w:rPr>
        <w:t>Euronet</w:t>
      </w:r>
      <w:r>
        <w:rPr/>
        <w:t> </w:t>
      </w:r>
      <w:r>
        <w:rPr>
          <w:sz w:val="20"/>
        </w:rPr>
        <w:t>is a leader in electronic payment and transaction processing solutions for Financial Institutions, Retailers, Service Providers, and Individual Consumers utilizing our global payments network, platforms, and technologies. Through a collection of diverse technologies and services, our business segments and solutions meet a wide variety of payments requirements and process transactions throughout the world. We move money in all the ways the world depends on. With a global footprint, we provide compliant solutions that make financial transactions easier, faster, and secure.</w:t>
      </w:r>
    </w:p>
    <w:p>
      <w:pPr>
        <w:pStyle w:val="TextBody"/>
        <w:bidi w:val="0"/>
        <w:spacing w:lineRule="atLeast" w:line="240" w:before="200" w:after="200"/>
        <w:jc w:val="both"/>
        <w:rPr>
          <w:b/>
          <w:i/>
          <w:sz w:val="20"/>
        </w:rPr>
      </w:pPr>
      <w:r>
        <w:rPr>
          <w:b/>
          <w:i/>
          <w:sz w:val="20"/>
        </w:rPr>
        <w:t>Core Business Segments</w:t>
      </w:r>
    </w:p>
    <w:p>
      <w:pPr>
        <w:pStyle w:val="TextBody"/>
        <w:bidi w:val="0"/>
        <w:spacing w:lineRule="atLeast" w:line="240" w:before="200" w:after="200"/>
        <w:jc w:val="both"/>
        <w:rPr/>
      </w:pPr>
      <w:r>
        <w:rPr>
          <w:sz w:val="20"/>
        </w:rPr>
        <w:t xml:space="preserve">We operate in the following three segments as of </w:t>
      </w:r>
      <w:r>
        <w:rPr>
          <w:rFonts w:ascii="Times New Roman" w:hAnsi="Times New Roman"/>
          <w:sz w:val="20"/>
        </w:rPr>
        <w:t>December 31, 2025</w:t>
      </w:r>
      <w:r>
        <w:rPr>
          <w:sz w:val="20"/>
        </w:rPr>
        <w:t>:</w:t>
      </w:r>
    </w:p>
    <w:p>
      <w:pPr>
        <w:pStyle w:val="TextBody"/>
        <w:bidi w:val="0"/>
        <w:spacing w:lineRule="atLeast" w:line="240" w:before="200" w:after="200"/>
        <w:jc w:val="both"/>
        <w:rPr>
          <w:b/>
          <w:i/>
          <w:sz w:val="20"/>
          <w:u w:val="single"/>
        </w:rPr>
      </w:pPr>
      <w:r>
        <w:rPr>
          <w:b/>
          <w:i/>
          <w:sz w:val="20"/>
          <w:u w:val="single"/>
        </w:rPr>
        <w:t>Electronic Funds Transfer ("EFT") Segment</w:t>
      </w:r>
    </w:p>
    <w:p>
      <w:pPr>
        <w:pStyle w:val="TextBody"/>
        <w:bidi w:val="0"/>
        <w:spacing w:lineRule="atLeast" w:line="240" w:before="200" w:after="200"/>
        <w:jc w:val="both"/>
        <w:rPr/>
      </w:pPr>
      <w:r>
        <w:rPr>
          <w:sz w:val="20"/>
        </w:rPr>
        <w:t xml:space="preserve">Our Electronic Funds Transfer ("EFT") segment meets the needs of financial institutions and consumers through Euronet-owned and outsourced Automated Teller Machines ("ATMs") and Point-of-Sale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w:t>
      </w:r>
      <w:r>
        <w:rPr>
          <w:rFonts w:ascii="Times New Roman" w:hAnsi="Times New Roman"/>
          <w:sz w:val="20"/>
        </w:rPr>
        <w:t>56,818</w:t>
      </w:r>
      <w:r>
        <w:rPr/>
        <w:t xml:space="preserve"> </w:t>
      </w:r>
      <w:r>
        <w:rPr>
          <w:sz w:val="20"/>
        </w:rPr>
        <w:t xml:space="preserve">ATMs, as of </w:t>
      </w:r>
      <w:r>
        <w:rPr>
          <w:rFonts w:ascii="Times New Roman" w:hAnsi="Times New Roman"/>
          <w:sz w:val="20"/>
        </w:rPr>
        <w:t>December 31, 2025</w:t>
      </w:r>
      <w:r>
        <w:rPr>
          <w:sz w:val="20"/>
        </w:rPr>
        <w:t xml:space="preserve">, and approximately </w:t>
      </w:r>
      <w:r>
        <w:rPr>
          <w:rFonts w:ascii="Times New Roman" w:hAnsi="Times New Roman"/>
          <w:sz w:val="20"/>
        </w:rPr>
        <w:t>610,000</w:t>
      </w:r>
      <w:r>
        <w:rPr/>
        <w:t xml:space="preserve"> </w:t>
      </w:r>
      <w:r>
        <w:rPr>
          <w:sz w:val="20"/>
        </w:rPr>
        <w:t xml:space="preserve">POS terminals. In </w:t>
      </w:r>
      <w:r>
        <w:rPr>
          <w:rFonts w:ascii="Times New Roman" w:hAnsi="Times New Roman"/>
          <w:sz w:val="20"/>
        </w:rPr>
        <w:t>2025</w:t>
      </w:r>
      <w:r>
        <w:rPr>
          <w:sz w:val="20"/>
        </w:rPr>
        <w:t>, the EFT Processing Segment accounted for approximately</w:t>
      </w:r>
      <w:r>
        <w:rPr/>
        <w:t> </w:t>
      </w:r>
      <w:r>
        <w:rPr>
          <w:rFonts w:ascii="Times New Roman" w:hAnsi="Times New Roman"/>
          <w:sz w:val="20"/>
        </w:rPr>
        <w:t>30</w:t>
      </w:r>
      <w:r>
        <w:rPr>
          <w:sz w:val="20"/>
        </w:rPr>
        <w:t>%</w:t>
      </w:r>
      <w:r>
        <w:rPr/>
        <w:t> </w:t>
      </w:r>
      <w:r>
        <w:rPr>
          <w:sz w:val="20"/>
        </w:rPr>
        <w:t>of Euronet's consolidated revenues.</w:t>
      </w:r>
    </w:p>
    <w:p>
      <w:pPr>
        <w:pStyle w:val="TextBody"/>
        <w:bidi w:val="0"/>
        <w:spacing w:lineRule="atLeast" w:line="240" w:before="200" w:after="200"/>
        <w:jc w:val="both"/>
        <w:rPr>
          <w:b/>
          <w:i/>
          <w:sz w:val="20"/>
          <w:u w:val="single"/>
        </w:rPr>
      </w:pPr>
      <w:r>
        <w:rPr>
          <w:b/>
          <w:i/>
          <w:sz w:val="20"/>
          <w:u w:val="single"/>
        </w:rPr>
        <w:t>epay Segment</w:t>
      </w:r>
    </w:p>
    <w:p>
      <w:pPr>
        <w:pStyle w:val="TextBody"/>
        <w:bidi w:val="0"/>
        <w:spacing w:lineRule="atLeast" w:line="240" w:before="200" w:after="200"/>
        <w:jc w:val="both"/>
        <w:rPr/>
      </w:pPr>
      <w:r>
        <w:rPr>
          <w:sz w:val="20"/>
        </w:rPr>
        <w:t>Our epay segment provides retail payment solutions and delivers innovative connections between the digital content of the world’s leading brands and consumers. epay has one of the largest retail networks across Europe and Asia Pacific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w:t>
      </w:r>
      <w:r>
        <w:rPr/>
        <w:t> </w:t>
      </w:r>
      <w:r>
        <w:rPr>
          <w:rFonts w:ascii="Times New Roman" w:hAnsi="Times New Roman"/>
          <w:sz w:val="20"/>
        </w:rPr>
        <w:t>749,000</w:t>
      </w:r>
      <w:r>
        <w:rPr/>
        <w:t> </w:t>
      </w:r>
      <w:r>
        <w:rPr>
          <w:sz w:val="20"/>
        </w:rPr>
        <w:t>POS terminals that enable electronic processing of prepaid mobile airtime "top-up" services and other digital media content.</w:t>
      </w:r>
      <w:r>
        <w:rPr/>
        <w:t> </w:t>
      </w:r>
      <w:r>
        <w:rPr>
          <w:sz w:val="20"/>
        </w:rPr>
        <w:t xml:space="preserve">In </w:t>
      </w:r>
      <w:r>
        <w:rPr>
          <w:rFonts w:ascii="Times New Roman" w:hAnsi="Times New Roman"/>
          <w:sz w:val="20"/>
        </w:rPr>
        <w:t>2025</w:t>
      </w:r>
      <w:r>
        <w:rPr>
          <w:sz w:val="20"/>
        </w:rPr>
        <w:t>, the epay Segment accounted for approximately</w:t>
      </w:r>
      <w:r>
        <w:rPr/>
        <w:t> </w:t>
      </w:r>
      <w:r>
        <w:rPr>
          <w:rFonts w:ascii="Times New Roman" w:hAnsi="Times New Roman"/>
          <w:sz w:val="20"/>
        </w:rPr>
        <w:t>28</w:t>
      </w:r>
      <w:r>
        <w:rPr>
          <w:sz w:val="20"/>
        </w:rPr>
        <w:t>%</w:t>
      </w:r>
      <w:r>
        <w:rPr/>
        <w:t> </w:t>
      </w:r>
      <w:r>
        <w:rPr>
          <w:sz w:val="20"/>
        </w:rPr>
        <w:t>of Euronet's consolidated revenues.</w:t>
      </w:r>
    </w:p>
    <w:p>
      <w:pPr>
        <w:pStyle w:val="TextBody"/>
        <w:bidi w:val="0"/>
        <w:spacing w:lineRule="atLeast" w:line="240" w:before="200" w:after="200"/>
        <w:jc w:val="both"/>
        <w:rPr>
          <w:b/>
          <w:i/>
          <w:sz w:val="20"/>
          <w:u w:val="single"/>
        </w:rPr>
      </w:pPr>
      <w:r>
        <w:rPr>
          <w:b/>
          <w:i/>
          <w:sz w:val="20"/>
          <w:u w:val="single"/>
        </w:rPr>
        <w:t>Money Transfer Segment</w:t>
      </w:r>
    </w:p>
    <w:p>
      <w:pPr>
        <w:pStyle w:val="TextBody"/>
        <w:bidi w:val="0"/>
        <w:spacing w:lineRule="atLeast" w:line="240" w:before="200" w:after="200"/>
        <w:jc w:val="both"/>
        <w:rPr/>
      </w:pPr>
      <w:r>
        <w:rPr>
          <w:sz w:val="20"/>
        </w:rPr>
        <w:t xml:space="preserve">Our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w:t>
      </w:r>
      <w:r>
        <w:rPr>
          <w:rFonts w:ascii="Times New Roman" w:hAnsi="Times New Roman"/>
          <w:sz w:val="20"/>
        </w:rPr>
        <w:t>207</w:t>
      </w:r>
      <w:r>
        <w:rPr/>
        <w:t> </w:t>
      </w:r>
      <w:r>
        <w:rPr>
          <w:sz w:val="20"/>
        </w:rPr>
        <w:t>countries and territories, enabling banks, fintechs and big tech platforms to integrate an international payments solution into their own platforms.</w:t>
      </w:r>
      <w:r>
        <w:rPr/>
        <w:t> </w:t>
      </w:r>
      <w:r>
        <w:rPr>
          <w:sz w:val="20"/>
        </w:rPr>
        <w:t xml:space="preserve">In </w:t>
      </w:r>
      <w:r>
        <w:rPr>
          <w:rFonts w:ascii="Times New Roman" w:hAnsi="Times New Roman"/>
          <w:sz w:val="20"/>
        </w:rPr>
        <w:t>2025</w:t>
      </w:r>
      <w:r>
        <w:rPr>
          <w:sz w:val="20"/>
        </w:rPr>
        <w:t xml:space="preserve">, the Money Transfer Segment accounted for approximately </w:t>
      </w:r>
      <w:r>
        <w:rPr>
          <w:rFonts w:ascii="Times New Roman" w:hAnsi="Times New Roman"/>
          <w:sz w:val="20"/>
        </w:rPr>
        <w:t>42</w:t>
      </w:r>
      <w:r>
        <w:rPr>
          <w:sz w:val="20"/>
        </w:rPr>
        <w:t>%</w:t>
      </w:r>
      <w:r>
        <w:rPr/>
        <w:t> </w:t>
      </w:r>
      <w:r>
        <w:rPr>
          <w:sz w:val="20"/>
        </w:rPr>
        <w:t>of Euronet's consolidated revenues.</w:t>
      </w:r>
    </w:p>
    <w:p>
      <w:pPr>
        <w:pStyle w:val="TextBody"/>
        <w:bidi w:val="0"/>
        <w:spacing w:lineRule="atLeast" w:line="240" w:before="200" w:after="200"/>
        <w:jc w:val="both"/>
        <w:rPr>
          <w:sz w:val="20"/>
        </w:rPr>
      </w:pPr>
      <w:r>
        <w:rPr>
          <w:sz w:val="20"/>
        </w:rPr>
        <w:t xml:space="preserve">Ria Money Transfer, one of the largest consumer remittance companies in the world offers real-time international money transfers with a special focus on emerging markets. In addition, Ria offers safe and affordable money transfers through a global network of cash locations and online. </w:t>
      </w:r>
    </w:p>
    <w:p>
      <w:pPr>
        <w:pStyle w:val="TextBody"/>
        <w:bidi w:val="0"/>
        <w:spacing w:lineRule="atLeast" w:line="240" w:before="200" w:after="200"/>
        <w:jc w:val="both"/>
        <w:rPr>
          <w:sz w:val="20"/>
        </w:rPr>
      </w:pPr>
      <w:r>
        <w:rPr>
          <w:sz w:val="20"/>
        </w:rPr>
        <w:t xml:space="preserve">Xe offers web and app based currency information and industry-leading consumer and business cross border money transfer services. Customers can send money, buy property overseas, and execute other international payments via the Xe website or app. </w:t>
      </w:r>
    </w:p>
    <w:p>
      <w:pPr>
        <w:pStyle w:val="TextBody"/>
        <w:bidi w:val="0"/>
        <w:spacing w:lineRule="atLeast" w:line="240" w:before="200" w:after="200"/>
        <w:jc w:val="both"/>
        <w:rPr/>
      </w:pPr>
      <w:r>
        <w:rPr>
          <w:sz w:val="20"/>
        </w:rPr>
        <w:t>Dandelion is a leading real-time cross-border payment platform; it offers consumer and business transaction processing and fulfillment with alternative payout channels like bank accounts, cash pick-up and mobile wallets. Dandelion powers cross-border payments for Xe and Ria, as well as third party banks, fintechs, and big tech platforms.</w:t>
      </w: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i/>
          <w:sz w:val="20"/>
        </w:rPr>
      </w:pPr>
      <w:r>
        <w:rPr>
          <w:b/>
          <w:i/>
          <w:sz w:val="20"/>
        </w:rPr>
        <w:t>Historical Perspective</w:t>
      </w:r>
    </w:p>
    <w:p>
      <w:pPr>
        <w:pStyle w:val="TextBody"/>
        <w:bidi w:val="0"/>
        <w:spacing w:lineRule="atLeast" w:line="240" w:before="0" w:after="200"/>
        <w:jc w:val="both"/>
        <w:rPr/>
      </w:pPr>
      <w:r>
        <w:rPr>
          <w:sz w:val="20"/>
        </w:rPr>
        <w:t>Euronet</w:t>
      </w:r>
      <w:r>
        <w:rPr/>
        <w:t> </w:t>
      </w:r>
      <w:r>
        <w:rPr>
          <w:sz w:val="20"/>
        </w:rPr>
        <w:t>started in Central Europe in 1994 and has grown to become a global real-time digital and cash payments network with millions of touchpoints today, with products and services in more than 200 countries and territories provided through its own brand and branded business segments, Euronet and its financial technologies and networks offer payment transaction services. Euronet serves clients from</w:t>
      </w:r>
      <w:r>
        <w:rPr/>
        <w:t xml:space="preserve">  </w:t>
      </w:r>
      <w:r>
        <w:rPr>
          <w:rFonts w:ascii="Times New Roman" w:hAnsi="Times New Roman"/>
          <w:sz w:val="20"/>
        </w:rPr>
        <w:t>72</w:t>
      </w:r>
      <w:r>
        <w:rPr/>
        <w:t xml:space="preserve"> </w:t>
      </w:r>
      <w:r>
        <w:rPr>
          <w:sz w:val="20"/>
        </w:rPr>
        <w:t>offices worldwide.</w:t>
      </w:r>
    </w:p>
    <w:p>
      <w:pPr>
        <w:pStyle w:val="TextBody"/>
        <w:bidi w:val="0"/>
        <w:spacing w:lineRule="atLeast" w:line="240" w:before="0" w:after="200"/>
        <w:jc w:val="both"/>
        <w:rPr>
          <w:b/>
          <w:i/>
          <w:sz w:val="20"/>
        </w:rPr>
      </w:pPr>
      <w:r>
        <w:rPr>
          <w:b/>
          <w:i/>
          <w:sz w:val="20"/>
        </w:rPr>
        <w:t>Recent Developments</w:t>
      </w:r>
    </w:p>
    <w:p>
      <w:pPr>
        <w:pStyle w:val="TextBody"/>
        <w:bidi w:val="0"/>
        <w:spacing w:before="0" w:after="0"/>
        <w:jc w:val="both"/>
        <w:rPr>
          <w:sz w:val="20"/>
        </w:rPr>
      </w:pPr>
      <w:r>
        <w:rPr>
          <w:sz w:val="20"/>
        </w:rPr>
        <w:t xml:space="preserve">On October 30, 2025, the Company completed the acquisition of </w:t>
      </w:r>
      <w:r>
        <w:rPr>
          <w:rFonts w:ascii="Times New Roman" w:hAnsi="Times New Roman"/>
          <w:sz w:val="20"/>
        </w:rPr>
        <w:t>100</w:t>
      </w:r>
      <w:r>
        <w:rPr>
          <w:sz w:val="20"/>
        </w:rPr>
        <w:t xml:space="preserve">% of the outstanding equity of CoreCard Corporation. [CoreCard is a global modern issuer processor with end-to-end solutions across credit, prepaid, and debit that are digital-first, API centric, and architected to enable fast implementations.] </w:t>
      </w:r>
    </w:p>
    <w:p>
      <w:pPr>
        <w:pStyle w:val="TextBody"/>
        <w:bidi w:val="0"/>
        <w:spacing w:before="0" w:after="0"/>
        <w:jc w:val="both"/>
        <w:rPr/>
      </w:pPr>
      <w:r>
        <w:rPr/>
        <w:t> </w:t>
      </w:r>
    </w:p>
    <w:p>
      <w:pPr>
        <w:pStyle w:val="TextBody"/>
        <w:bidi w:val="0"/>
        <w:spacing w:before="0" w:after="0"/>
        <w:jc w:val="both"/>
        <w:rPr>
          <w:sz w:val="20"/>
        </w:rPr>
      </w:pPr>
      <w:r>
        <w:rPr>
          <w:sz w:val="20"/>
        </w:rPr>
        <w:t>On May 31, 2025, Euronet completed the acquisition of a </w:t>
      </w:r>
      <w:r>
        <w:rPr>
          <w:rFonts w:ascii="Times New Roman" w:hAnsi="Times New Roman"/>
          <w:sz w:val="20"/>
        </w:rPr>
        <w:t>60</w:t>
      </w:r>
      <w:r>
        <w:rPr>
          <w:sz w:val="20"/>
        </w:rPr>
        <w:t>% equity stake in UNIDOS CO. LTD, a leading funds transfer business in Japan operating under the name Kyodai Remittance.  </w:t>
      </w:r>
    </w:p>
    <w:p>
      <w:pPr>
        <w:pStyle w:val="TextBody"/>
        <w:bidi w:val="0"/>
        <w:spacing w:before="0" w:after="0"/>
        <w:jc w:val="both"/>
        <w:rPr/>
      </w:pPr>
      <w:r>
        <w:rPr/>
        <w:t> </w:t>
      </w:r>
    </w:p>
    <w:p>
      <w:pPr>
        <w:pStyle w:val="TextBody"/>
        <w:bidi w:val="0"/>
        <w:spacing w:before="0" w:after="0"/>
        <w:jc w:val="both"/>
        <w:rPr>
          <w:sz w:val="20"/>
        </w:rPr>
      </w:pPr>
      <w:r>
        <w:rPr>
          <w:sz w:val="20"/>
        </w:rPr>
        <w:t>For additional information regarding these acquisitions, see Note 6, Acquisitions, to the Consolidated Financial Statements.</w:t>
      </w:r>
    </w:p>
    <w:p>
      <w:pPr>
        <w:pStyle w:val="TextBody"/>
        <w:shd w:fill="FFFFFF" w:val="clear"/>
        <w:bidi w:val="0"/>
        <w:spacing w:lineRule="atLeast" w:line="240" w:before="200" w:after="200"/>
        <w:jc w:val="center"/>
        <w:rPr>
          <w:b/>
          <w:sz w:val="20"/>
        </w:rPr>
      </w:pPr>
      <w:r>
        <w:rPr>
          <w:b/>
          <w:sz w:val="20"/>
        </w:rPr>
        <w:t>Business Segment Overview</w:t>
      </w:r>
    </w:p>
    <w:p>
      <w:pPr>
        <w:pStyle w:val="TextBody"/>
        <w:bidi w:val="0"/>
        <w:spacing w:lineRule="atLeast" w:line="240" w:before="200" w:after="200"/>
        <w:jc w:val="both"/>
        <w:rPr>
          <w:sz w:val="20"/>
        </w:rPr>
      </w:pPr>
      <w:r>
        <w:rPr>
          <w:sz w:val="20"/>
        </w:rPr>
        <w:t>For a discussion of operating results by segment, please see Item 7 - Management's Discussion and Analysis of Financial Condition and Results of Operations, and Note 18, Business Segment Information, to the Consolidated Financial Statements.</w:t>
      </w:r>
    </w:p>
    <w:p>
      <w:pPr>
        <w:pStyle w:val="TextBody"/>
        <w:bidi w:val="0"/>
        <w:spacing w:lineRule="atLeast" w:line="240" w:before="200" w:after="200"/>
        <w:jc w:val="both"/>
        <w:rPr/>
      </w:pPr>
      <w:r>
        <w:rPr>
          <w:b/>
          <w:sz w:val="20"/>
        </w:rPr>
        <w:t>EFT Processing Segment</w:t>
      </w:r>
      <w:r>
        <w:rPr/>
        <w:t xml:space="preserve"> </w:t>
      </w:r>
    </w:p>
    <w:p>
      <w:pPr>
        <w:pStyle w:val="TextBody"/>
        <w:bidi w:val="0"/>
        <w:spacing w:lineRule="atLeast" w:line="240" w:before="200" w:after="200"/>
        <w:jc w:val="both"/>
        <w:rPr>
          <w:b/>
          <w:sz w:val="20"/>
        </w:rPr>
      </w:pPr>
      <w:r>
        <w:rPr>
          <w:b/>
          <w:sz w:val="20"/>
        </w:rPr>
        <w:t>Overview</w:t>
      </w:r>
    </w:p>
    <w:p>
      <w:pPr>
        <w:pStyle w:val="TextBody"/>
        <w:bidi w:val="0"/>
        <w:spacing w:lineRule="atLeast" w:line="240" w:before="200" w:after="200"/>
        <w:jc w:val="both"/>
        <w:rPr/>
      </w:pPr>
      <w:r>
        <w:rPr>
          <w:sz w:val="20"/>
        </w:rPr>
        <w:t>Our EFT Processing Segment provides comprehensive electronic payment solutions consisting of ATM cash withdrawal and deposit services, ATM network participation, outsourced ATM and POS management solutions, credit, debit and prepaid card outsourcing, card issuing and merchant acquiring services. In addition to our core business, we offer a variety of value-added services, including ATM and POS DCC, domestic and international surcharge, foreign currency dispensing, advertising, digital content sales at ATMs, Customer Relationship Management ("CRM"), prepaid mobile top-up, bill payment, money transfer, fraud management,</w:t>
      </w:r>
      <w:r>
        <w:rPr/>
        <w:t> </w:t>
      </w:r>
      <w:r>
        <w:rPr>
          <w:sz w:val="20"/>
        </w:rPr>
        <w:t>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r>
        <w:rPr/>
        <w:t> </w:t>
      </w:r>
    </w:p>
    <w:p>
      <w:pPr>
        <w:pStyle w:val="TextBody"/>
        <w:bidi w:val="0"/>
        <w:spacing w:lineRule="atLeast" w:line="240" w:before="200" w:after="200"/>
        <w:jc w:val="both"/>
        <w:rPr>
          <w:b/>
          <w:sz w:val="20"/>
        </w:rPr>
      </w:pPr>
      <w:r>
        <w:rPr>
          <w:b/>
          <w:sz w:val="20"/>
        </w:rPr>
        <w:t>Sources of Revenues</w:t>
      </w:r>
    </w:p>
    <w:p>
      <w:pPr>
        <w:pStyle w:val="TextBody"/>
        <w:bidi w:val="0"/>
        <w:spacing w:lineRule="atLeast" w:line="240" w:before="200" w:after="200"/>
        <w:jc w:val="both"/>
        <w:rPr/>
      </w:pPr>
      <w:r>
        <w:rPr>
          <w:sz w:val="20"/>
        </w:rPr>
        <w:t xml:space="preserve">The primary sources of revenues generated by our ATM network are recurring monthly management fees, transaction-based fees, surcharges, and margins earned on DCC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operate across Europe, Africa, the Middle East, Asia Pacific, Latin America and the United States. As of </w:t>
      </w:r>
      <w:r>
        <w:rPr>
          <w:rFonts w:ascii="Times New Roman" w:hAnsi="Times New Roman"/>
          <w:sz w:val="20"/>
        </w:rPr>
        <w:t>December 31, 2025</w:t>
      </w:r>
      <w:r>
        <w:rPr>
          <w:sz w:val="20"/>
        </w:rPr>
        <w:t xml:space="preserve">, we operated </w:t>
      </w:r>
      <w:r>
        <w:rPr>
          <w:rFonts w:ascii="Times New Roman" w:hAnsi="Times New Roman"/>
          <w:sz w:val="20"/>
        </w:rPr>
        <w:t>56,818</w:t>
      </w:r>
      <w:r>
        <w:rPr/>
        <w:t xml:space="preserve"> </w:t>
      </w:r>
      <w:r>
        <w:rPr>
          <w:sz w:val="20"/>
        </w:rPr>
        <w:t xml:space="preserve">ATMs compared to </w:t>
      </w:r>
      <w:r>
        <w:rPr>
          <w:rFonts w:ascii="Times New Roman" w:hAnsi="Times New Roman"/>
          <w:sz w:val="20"/>
        </w:rPr>
        <w:t>55,248</w:t>
      </w:r>
      <w:r>
        <w:rPr/>
        <w:t xml:space="preserve"> </w:t>
      </w:r>
      <w:r>
        <w:rPr>
          <w:sz w:val="20"/>
        </w:rPr>
        <w:t xml:space="preserve">at </w:t>
      </w:r>
      <w:r>
        <w:rPr>
          <w:rFonts w:ascii="Times New Roman" w:hAnsi="Times New Roman"/>
          <w:sz w:val="20"/>
        </w:rPr>
        <w:t>December 31, 2024</w:t>
      </w:r>
      <w:r>
        <w:rPr>
          <w:sz w:val="20"/>
        </w:rPr>
        <w:t>.</w:t>
      </w:r>
    </w:p>
    <w:p>
      <w:pPr>
        <w:pStyle w:val="TextBody"/>
        <w:bidi w:val="0"/>
        <w:spacing w:lineRule="atLeast" w:line="240" w:before="200" w:after="200"/>
        <w:jc w:val="both"/>
        <w:rPr/>
      </w:pPr>
      <w:r>
        <w:rPr>
          <w:sz w:val="20"/>
        </w:rPr>
        <w:t>We monitor the number of transactions made by cardholders on our network. These include cash withdrawals, balance inquiries, deposits, prepaid mobile airtime recharge purchases, DCC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w:t>
      </w:r>
      <w:r>
        <w:rPr/>
        <w:t> </w:t>
      </w:r>
      <w:r>
        <w:rPr>
          <w:rFonts w:ascii="Times New Roman" w:hAnsi="Times New Roman"/>
          <w:sz w:val="20"/>
        </w:rPr>
        <w:t>37.3</w:t>
      </w:r>
      <w:r>
        <w:rPr>
          <w:sz w:val="20"/>
        </w:rPr>
        <w:t>% as indicated in the following table:</w:t>
      </w:r>
    </w:p>
    <w:tbl>
      <w:tblPr>
        <w:tblW w:w="6405" w:type="dxa"/>
        <w:jc w:val="left"/>
        <w:tblInd w:w="0" w:type="dxa"/>
        <w:tblLayout w:type="fixed"/>
        <w:tblCellMar>
          <w:top w:w="0" w:type="dxa"/>
          <w:left w:w="0" w:type="dxa"/>
          <w:bottom w:w="0" w:type="dxa"/>
          <w:right w:w="0" w:type="dxa"/>
        </w:tblCellMar>
      </w:tblPr>
      <w:tblGrid>
        <w:gridCol w:w="3755"/>
        <w:gridCol w:w="485"/>
        <w:gridCol w:w="485"/>
        <w:gridCol w:w="485"/>
        <w:gridCol w:w="590"/>
        <w:gridCol w:w="605"/>
      </w:tblGrid>
      <w:tr>
        <w:trPr/>
        <w:tc>
          <w:tcPr>
            <w:tcW w:w="3755" w:type="dxa"/>
            <w:tcBorders/>
            <w:vAlign w:val="center"/>
          </w:tcPr>
          <w:p>
            <w:pPr>
              <w:pStyle w:val="TableContents"/>
              <w:bidi w:val="0"/>
              <w:spacing w:before="0" w:after="0"/>
              <w:jc w:val="left"/>
              <w:rPr>
                <w:rFonts w:ascii="Times New Roman" w:hAnsi="Times New Roman"/>
                <w:sz w:val="16"/>
                <w:u w:val="single"/>
              </w:rPr>
            </w:pPr>
            <w:r>
              <w:rPr>
                <w:rFonts w:ascii="Times New Roman" w:hAnsi="Times New Roman"/>
                <w:sz w:val="16"/>
                <w:u w:val="single"/>
              </w:rPr>
              <w:t>(in millions)</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2021</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2022</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2023</w:t>
            </w:r>
          </w:p>
        </w:tc>
        <w:tc>
          <w:tcPr>
            <w:tcW w:w="590"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2024</w:t>
            </w:r>
          </w:p>
        </w:tc>
        <w:tc>
          <w:tcPr>
            <w:tcW w:w="60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2025</w:t>
            </w:r>
          </w:p>
        </w:tc>
      </w:tr>
      <w:tr>
        <w:trPr/>
        <w:tc>
          <w:tcPr>
            <w:tcW w:w="3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 Segment transactions per year</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4,366</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6,459</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8,473</w:t>
            </w:r>
          </w:p>
        </w:tc>
        <w:tc>
          <w:tcPr>
            <w:tcW w:w="59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11,424</w:t>
            </w:r>
          </w:p>
        </w:tc>
        <w:tc>
          <w:tcPr>
            <w:tcW w:w="60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15,534</w:t>
            </w:r>
          </w:p>
        </w:tc>
      </w:tr>
    </w:tbl>
    <w:p>
      <w:pPr>
        <w:pStyle w:val="TextBody"/>
        <w:bidi w:val="0"/>
        <w:spacing w:lineRule="atLeast" w:line="240" w:before="200" w:after="200"/>
        <w:jc w:val="both"/>
        <w:rPr/>
      </w:pPr>
      <w:r>
        <w:rPr>
          <w:sz w:val="20"/>
        </w:rPr>
        <w:t>The increase in transactions for the past few years is the result of a significant increase in the volume of lower value, real time payment processing transactions on any wallet or e-commerce site in Asia Pacific. The associated revenue of these lower value, digitally</w:t>
      </w:r>
      <w:r>
        <w:rPr/>
        <w:t> </w:t>
      </w:r>
      <w:r>
        <w:rPr>
          <w:sz w:val="20"/>
        </w:rPr>
        <w:t>initiated payment processing transactions is lower. As a result, our revenue growth will not correlate proportionately with the increase in our transaction volume growth.</w:t>
      </w:r>
    </w:p>
    <w:p>
      <w:pPr>
        <w:pStyle w:val="TextBody"/>
        <w:bidi w:val="0"/>
        <w:spacing w:lineRule="atLeast" w:line="240" w:before="200" w:after="0"/>
        <w:jc w:val="both"/>
        <w:rPr/>
      </w:pPr>
      <w:r>
        <w:rPr>
          <w:sz w:val="20"/>
        </w:rPr>
        <w:t>Our processing centers for the EFT Processing Segment are located in Germany, Hungary, India, China, Indonesia, Pakistan and the U.S. Our processing centers run two types of proprietary transaction switching software: our legacy ITM software, which we have used and sold to financial institutions since 1998 through our Software Solutions unit, and an innovative switching software package named "Ren", which is hosted in Germany, India and Indonesia, that was released in 2019. The processing centers operate 24 hours a day, seven days a week. We have been progressively transitioning all of our networks to Ren.</w:t>
      </w:r>
      <w:r>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sz w:val="20"/>
        </w:rPr>
      </w:pPr>
      <w:r>
        <w:rPr>
          <w:b/>
          <w:sz w:val="20"/>
        </w:rPr>
        <w:t>EFT Processing Products and Services</w:t>
      </w:r>
    </w:p>
    <w:p>
      <w:pPr>
        <w:pStyle w:val="TextBody"/>
        <w:bidi w:val="0"/>
        <w:spacing w:lineRule="atLeast" w:line="240" w:before="200" w:after="200"/>
        <w:jc w:val="both"/>
        <w:rPr>
          <w:b/>
          <w:i/>
          <w:sz w:val="20"/>
        </w:rPr>
      </w:pPr>
      <w:r>
        <w:rPr>
          <w:b/>
          <w:i/>
          <w:sz w:val="20"/>
        </w:rPr>
        <w:t>Outsourced Management Solutions</w:t>
      </w:r>
    </w:p>
    <w:p>
      <w:pPr>
        <w:pStyle w:val="TextBody"/>
        <w:bidi w:val="0"/>
        <w:spacing w:lineRule="atLeast" w:line="240" w:before="200" w:after="200"/>
        <w:jc w:val="both"/>
        <w:rPr>
          <w:sz w:val="20"/>
        </w:rPr>
      </w:pPr>
      <w:r>
        <w:rPr>
          <w:sz w:val="20"/>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 management of automated deposit terminals, management of credit, debit and prepaid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new outsourced management solutions agreements should provide additional revenue with lower incremental cost.</w:t>
      </w:r>
    </w:p>
    <w:p>
      <w:pPr>
        <w:pStyle w:val="TextBody"/>
        <w:bidi w:val="0"/>
        <w:spacing w:lineRule="atLeast" w:line="240" w:before="200" w:after="200"/>
        <w:jc w:val="both"/>
        <w:rPr>
          <w:sz w:val="20"/>
        </w:rPr>
      </w:pPr>
      <w:r>
        <w:rPr>
          <w:sz w:val="20"/>
        </w:rPr>
        <w:t>Our outsourced management solutions agreements generally provide for fixed monthly management fees and, in most cases, fees payable for each transaction. The transaction fees under these agreements are generally lower than those under card acceptance agreements.</w:t>
      </w:r>
    </w:p>
    <w:p>
      <w:pPr>
        <w:pStyle w:val="TextBody"/>
        <w:bidi w:val="0"/>
        <w:spacing w:lineRule="atLeast" w:line="240" w:before="200" w:after="200"/>
        <w:jc w:val="both"/>
        <w:rPr>
          <w:b/>
          <w:i/>
          <w:sz w:val="20"/>
        </w:rPr>
      </w:pPr>
      <w:r>
        <w:rPr>
          <w:b/>
          <w:i/>
          <w:sz w:val="20"/>
        </w:rPr>
        <w:t>Euronet-Branded ATM Transaction Processing</w:t>
      </w:r>
    </w:p>
    <w:p>
      <w:pPr>
        <w:pStyle w:val="TextBody"/>
        <w:bidi w:val="0"/>
        <w:spacing w:lineRule="atLeast" w:line="240" w:before="200" w:after="200"/>
        <w:jc w:val="both"/>
        <w:rPr/>
      </w:pPr>
      <w:r>
        <w:rPr>
          <w:sz w:val="20"/>
        </w:rPr>
        <w:t>Our Euronet-branded ATM networks, also known as IAD networks, are primarily managed by a processing center that uses our market-leading internally developed software solutions. The ATMs in our IAD networks are able to process transactions for holders of credit, debit and prepaid products issued by or bearing the logos of financial institutions and international card organizations such as American Express®, Visa®, Mastercard®, JCB®, Diners Club International®, Discover®</w:t>
      </w:r>
      <w:r>
        <w:rPr/>
        <w:t xml:space="preserve"> </w:t>
      </w:r>
      <w:r>
        <w:rPr>
          <w:sz w:val="20"/>
        </w:rPr>
        <w:t>and UnionPay International®, as well as international ATM networks such as PLUS®, CIRRUS® and PULSE® or domestic networks such as NYCE, Shazam, AFFN, STAR and others across North America. This is accomplished through our agreements and relationships with these institutions, international credit, debit and prepaid card issuers, international card associations and domestic card associations.</w:t>
      </w:r>
    </w:p>
    <w:p>
      <w:pPr>
        <w:pStyle w:val="TextBody"/>
        <w:bidi w:val="0"/>
        <w:spacing w:lineRule="atLeast" w:line="240" w:before="200" w:after="200"/>
        <w:jc w:val="both"/>
        <w:rPr/>
      </w:pPr>
      <w:r>
        <w:rPr>
          <w:sz w:val="20"/>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w:t>
      </w:r>
      <w:r>
        <w:rPr/>
        <w:t> </w:t>
      </w:r>
      <w:r>
        <w:rPr>
          <w:sz w:val="20"/>
        </w:rPr>
        <w:t>also charge a direct access fee or surcharge to cardholders at the ATM. The direct access fee is added to the amount of the cash withdrawal and debited from the cardholder's account.</w:t>
      </w:r>
    </w:p>
    <w:p>
      <w:pPr>
        <w:pStyle w:val="TextBody"/>
        <w:shd w:fill="FFFFFF" w:val="clear"/>
        <w:bidi w:val="0"/>
        <w:spacing w:lineRule="atLeast" w:line="240" w:before="200" w:after="200"/>
        <w:jc w:val="both"/>
        <w:rPr>
          <w:sz w:val="20"/>
        </w:rPr>
      </w:pPr>
      <w:r>
        <w:rPr>
          <w:sz w:val="20"/>
        </w:rPr>
        <w:t>We generally receive fees or earn margins from our customers for all types of ATM transactions:</w:t>
      </w:r>
    </w:p>
    <w:p>
      <w:pPr>
        <w:pStyle w:val="TextBody"/>
        <w:shd w:fill="FFFFFF" w:val="clear"/>
        <w:bidi w:val="0"/>
        <w:spacing w:lineRule="atLeast" w:line="240" w:before="200" w:after="200"/>
        <w:jc w:val="both"/>
        <w:rPr>
          <w:b/>
          <w:i/>
          <w:sz w:val="20"/>
        </w:rPr>
      </w:pPr>
      <w:r>
        <w:rPr>
          <w:b/>
          <w:i/>
          <w:sz w:val="20"/>
        </w:rPr>
        <w:t>Card Acceptance or Sponsorship Agreements</w:t>
      </w:r>
    </w:p>
    <w:p>
      <w:pPr>
        <w:pStyle w:val="TextBody"/>
        <w:shd w:fill="FFFFFF" w:val="clear"/>
        <w:bidi w:val="0"/>
        <w:spacing w:lineRule="atLeast" w:line="240" w:before="200" w:after="0"/>
        <w:jc w:val="both"/>
        <w:rPr/>
      </w:pPr>
      <w:r>
        <w:rPr>
          <w:sz w:val="20"/>
        </w:rPr>
        <w:t>Our agreements with financial institutions and international card organizations generally provide that all credit and debit cards issued by the financial institution or organization may be used at all</w:t>
      </w:r>
      <w:r>
        <w:rPr/>
        <w:t> </w:t>
      </w:r>
      <w:r>
        <w:rPr>
          <w:sz w:val="20"/>
        </w:rPr>
        <w:t>ATMs</w:t>
      </w:r>
      <w:r>
        <w:rPr/>
        <w:t> </w:t>
      </w:r>
      <w:r>
        <w:rPr>
          <w:sz w:val="20"/>
        </w:rPr>
        <w:t>that we operate in for a given market. In most markets, we operate under sponsorship by our own e-money or payment service licensed entities. In some markets, we have agreements with a financial institution under which</w:t>
      </w:r>
      <w:r>
        <w:rPr/>
        <w:t> </w:t>
      </w:r>
      <w:r>
        <w:rPr>
          <w:sz w:val="20"/>
        </w:rPr>
        <w:t>we are designated as a service provider (which we refer to as "sponsorship agreements") for the acceptance of domestic cards and/or cards bearing international logos, such as Visa</w:t>
      </w:r>
      <w:r>
        <w:rPr>
          <w:sz w:val="6"/>
        </w:rPr>
        <w:t>®</w:t>
      </w:r>
      <w:r>
        <w:rPr/>
        <w:t> </w:t>
      </w:r>
      <w:r>
        <w:rPr>
          <w:sz w:val="20"/>
        </w:rPr>
        <w:t>and</w:t>
      </w:r>
      <w:r>
        <w:rPr/>
        <w:t> </w:t>
      </w:r>
      <w:r>
        <w:rPr>
          <w:sz w:val="20"/>
        </w:rPr>
        <w:t>Mastercard</w:t>
      </w:r>
      <w:r>
        <w:rPr>
          <w:sz w:val="6"/>
        </w:rPr>
        <w:t>®</w:t>
      </w:r>
      <w:r>
        <w:rPr>
          <w:sz w:val="20"/>
        </w:rPr>
        <w:t>.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w:t>
      </w:r>
      <w:r>
        <w:rPr/>
        <w:t> </w:t>
      </w:r>
      <w:r>
        <w:rPr>
          <w:sz w:val="20"/>
        </w:rPr>
        <w:t>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provide a significant portion of the cash to our IAD network to fund ATM transactions ourselves.</w:t>
      </w:r>
      <w:r>
        <w:rPr/>
        <w:t> </w:t>
      </w:r>
      <w:r>
        <w:rPr>
          <w:sz w:val="20"/>
        </w:rPr>
        <w:t>Euronet</w:t>
      </w:r>
      <w:r>
        <w:rPr/>
        <w:t> </w:t>
      </w:r>
      <w:r>
        <w:rPr>
          <w:sz w:val="20"/>
        </w:rPr>
        <w:t>is generally liable for cash in the ATM networks.</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sz w:val="20"/>
        </w:rPr>
      </w:pPr>
      <w:r>
        <w:rPr>
          <w:sz w:val="20"/>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pStyle w:val="TextBody"/>
        <w:bidi w:val="0"/>
        <w:spacing w:lineRule="atLeast" w:line="240" w:before="0" w:after="0"/>
        <w:jc w:val="both"/>
        <w:rPr/>
      </w:pPr>
      <w:r>
        <w:rPr/>
        <w:t> </w:t>
      </w:r>
    </w:p>
    <w:p>
      <w:pPr>
        <w:pStyle w:val="TextBody"/>
        <w:bidi w:val="0"/>
        <w:spacing w:lineRule="atLeast" w:line="240" w:before="0" w:after="0"/>
        <w:jc w:val="both"/>
        <w:rPr/>
      </w:pPr>
      <w:r>
        <w:rPr>
          <w:b/>
          <w:i/>
          <w:sz w:val="20"/>
        </w:rPr>
        <w:t>Dynamic Currency Conversion</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offer dynamic currency conversion, or DCC, over our IAD networks, ATM networks that we operate on an outsourced basis for financial institutions, and over financial institutions'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the transactions are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sz w:val="20"/>
        </w:rPr>
      </w:pPr>
      <w:r>
        <w:rPr>
          <w:sz w:val="20"/>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financial institutions, or where we offer DCC as a stand-alone service to financial institutions or merchants, we share the foreign exchange margin. The foreign exchange margin on a DCC transaction increases the amount Euronet earns from the underlying ATM or POS transaction and supports deployment of additional ATMs in new locations.</w:t>
      </w:r>
    </w:p>
    <w:p>
      <w:pPr>
        <w:pStyle w:val="TextBody"/>
        <w:bidi w:val="0"/>
        <w:spacing w:lineRule="atLeast" w:line="240" w:before="200" w:after="200"/>
        <w:jc w:val="both"/>
        <w:rPr>
          <w:b/>
          <w:i/>
          <w:sz w:val="20"/>
        </w:rPr>
      </w:pPr>
      <w:r>
        <w:rPr>
          <w:b/>
          <w:i/>
          <w:sz w:val="20"/>
        </w:rPr>
        <w:t>Other Products and Services</w:t>
      </w:r>
    </w:p>
    <w:p>
      <w:pPr>
        <w:pStyle w:val="TextBody"/>
        <w:bidi w:val="0"/>
        <w:spacing w:lineRule="atLeast" w:line="240" w:before="200" w:after="200"/>
        <w:jc w:val="both"/>
        <w:rPr>
          <w:sz w:val="20"/>
        </w:rPr>
      </w:pPr>
      <w:r>
        <w:rPr>
          <w:sz w:val="20"/>
        </w:rPr>
        <w:t>Our network of owned or operated ATMs allows for the sale of additional financial and other products or services at a low incremental cost. We have developed value-added services in addition to basic cash withdrawal and balance inquiry transactions. These value-added services include mobile top-up, fraud management, bill payment, domestic and international surcharge, CRM, foreign remittance payout, cardless payout, banknote recycling, electronic content, ticket and voucher, foreign currency withdrawal, advertising and tax-refund services. We are committed to the ongoing development of innovative new products and services to offer our EFT processing customers.</w:t>
      </w:r>
    </w:p>
    <w:p>
      <w:pPr>
        <w:pStyle w:val="TextBody"/>
        <w:bidi w:val="0"/>
        <w:spacing w:lineRule="atLeast" w:line="240" w:before="200" w:after="200"/>
        <w:jc w:val="both"/>
        <w:rPr>
          <w:sz w:val="20"/>
        </w:rPr>
      </w:pPr>
      <w:r>
        <w:rPr>
          <w:sz w:val="20"/>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pStyle w:val="TextBody"/>
        <w:bidi w:val="0"/>
        <w:spacing w:lineRule="atLeast" w:line="240" w:before="200" w:after="200"/>
        <w:jc w:val="both"/>
        <w:rPr>
          <w:b/>
          <w:i/>
          <w:sz w:val="20"/>
        </w:rPr>
      </w:pPr>
      <w:r>
        <w:rPr>
          <w:b/>
          <w:i/>
          <w:sz w:val="20"/>
        </w:rPr>
        <w:t>Software Solutions</w:t>
      </w:r>
    </w:p>
    <w:p>
      <w:pPr>
        <w:pStyle w:val="TextBody"/>
        <w:bidi w:val="0"/>
        <w:spacing w:lineRule="atLeast" w:line="240" w:before="200" w:after="200"/>
        <w:jc w:val="both"/>
        <w:rPr/>
      </w:pPr>
      <w:r>
        <w:rPr>
          <w:sz w:val="20"/>
        </w:rPr>
        <w:t>We also offer a suite of integrated software solutions for electronic payments and transaction delivery systems.</w:t>
      </w:r>
      <w:r>
        <w:rPr/>
        <w:t> </w:t>
      </w:r>
      <w:r>
        <w:rPr>
          <w:sz w:val="20"/>
        </w:rPr>
        <w:t>We generate revenues for our software products from licensing, professional services and maintenance fees for software and sales of related hardware, primarily to financial institutions around the world.</w:t>
      </w:r>
      <w:r>
        <w:rPr/>
        <w:t> </w:t>
      </w:r>
    </w:p>
    <w:p>
      <w:pPr>
        <w:pStyle w:val="TextBody"/>
        <w:bidi w:val="0"/>
        <w:spacing w:lineRule="atLeast" w:line="288" w:before="200" w:after="200"/>
        <w:jc w:val="both"/>
        <w:rPr>
          <w:b/>
          <w:sz w:val="20"/>
        </w:rPr>
      </w:pPr>
      <w:r>
        <w:rPr>
          <w:b/>
          <w:sz w:val="20"/>
        </w:rPr>
        <w:t>Ren Payments Platform</w:t>
      </w:r>
    </w:p>
    <w:p>
      <w:pPr>
        <w:pStyle w:val="TextBody"/>
        <w:bidi w:val="0"/>
        <w:spacing w:lineRule="atLeast" w:line="240" w:before="0" w:after="0"/>
        <w:jc w:val="both"/>
        <w:rPr>
          <w:sz w:val="20"/>
        </w:rPr>
      </w:pPr>
      <w:r>
        <w:rPr>
          <w:sz w:val="20"/>
        </w:rPr>
        <w:t xml:space="preserve">Ren was built from the ground up to operate in the evolving digital payments landscape of real-time settlements and emerging forms of payment, including QR codes, PINs and biometrics. Ren primarily serves financial institutions, central banks and fintech companies. It is offered as an on-premise technology where these businesses install the platform in their own data centers or as a software as a service (SaaS) offering where development teams access it in Euronet’s global data centers using APIs. Versatile, Ren can be used as a payment hub or to deliver core banking functionality such as issuing, merchant acquiring, transaction switching, and ATM management. For real-time payments, Ren is used by central banks to process transactions and member banks that use Ren to connect their legacy systems to real-time payment networks in their countries. </w:t>
      </w:r>
    </w:p>
    <w:p>
      <w:pPr>
        <w:pStyle w:val="TextBody"/>
        <w:bidi w:val="0"/>
        <w:spacing w:lineRule="atLeast" w:line="288" w:before="200" w:after="200"/>
        <w:jc w:val="both"/>
        <w:rPr>
          <w:b/>
          <w:sz w:val="20"/>
        </w:rPr>
      </w:pPr>
      <w:r>
        <w:rPr>
          <w:b/>
          <w:sz w:val="20"/>
        </w:rPr>
        <w:t>EFT Processing Segment Strategy</w:t>
      </w:r>
    </w:p>
    <w:p>
      <w:pPr>
        <w:pStyle w:val="TextBody"/>
        <w:bidi w:val="0"/>
        <w:spacing w:lineRule="atLeast" w:line="240" w:before="200" w:after="200"/>
        <w:jc w:val="both"/>
        <w:rPr/>
      </w:pPr>
      <w:r>
        <w:rPr>
          <w:sz w:val="20"/>
        </w:rPr>
        <w:t>The EFT Processing Segment maintains a strategy to expand the network of ATMs and POS terminals into new and existing markets that have the greatest potential for growth. We</w:t>
      </w:r>
      <w:r>
        <w:rPr/>
        <w:t> </w:t>
      </w:r>
      <w:r>
        <w:rPr>
          <w:sz w:val="20"/>
        </w:rPr>
        <w:t>continue to</w:t>
      </w:r>
      <w:r>
        <w:rPr/>
        <w:t> </w:t>
      </w:r>
      <w:r>
        <w:rPr>
          <w:sz w:val="20"/>
        </w:rPr>
        <w:t>focus on diversifying our business by expanding our market presence and product portfolio, as well as outsourcing</w:t>
      </w:r>
      <w:r>
        <w:rPr/>
        <w:t> </w:t>
      </w:r>
      <w:r>
        <w:rPr>
          <w:sz w:val="20"/>
        </w:rPr>
        <w:t>opportunities.</w:t>
      </w:r>
      <w:r>
        <w:rPr/>
        <w:t> </w:t>
      </w:r>
      <w:r>
        <w:rPr>
          <w:sz w:val="20"/>
        </w:rPr>
        <w:t>In addition, we follow a supporting strategy to increase the penetration of value added (or complementary) services across our existing customer base, including DCC, transaction-based fees, surcharge, cardless payment, banknote recycling solutions, tax refund services, advertising, fraud management, bill payment, mobile top-up, CRM and foreign remittance payout.</w:t>
      </w:r>
      <w:r>
        <w:rPr/>
        <w:t> </w:t>
      </w:r>
    </w:p>
    <w:p>
      <w:pPr>
        <w:pStyle w:val="TextBody"/>
        <w:bidi w:val="0"/>
        <w:spacing w:lineRule="atLeast" w:line="240" w:before="0" w:after="0"/>
        <w:jc w:val="both"/>
        <w:rPr/>
      </w:pPr>
      <w:r>
        <w:rPr>
          <w:sz w:val="20"/>
        </w:rPr>
        <w:t>We continually strive to make our own ATM networks more efficient by removing unprofitable ATMs and redeploying them to new profitable locations. We make selective additions to our own ATM network if we see market demand and profit opportunities. In tourist locations, we also seasonally deactivate</w:t>
      </w:r>
      <w:r>
        <w:rPr/>
        <w:t> </w:t>
      </w:r>
      <w:r>
        <w:rPr>
          <w:sz w:val="20"/>
        </w:rPr>
        <w:t>ATMs</w:t>
      </w:r>
      <w:r>
        <w:rPr/>
        <w:t> </w:t>
      </w:r>
      <w:r>
        <w:rPr>
          <w:sz w:val="20"/>
        </w:rPr>
        <w:t>when tourist activity is low.</w:t>
      </w:r>
    </w:p>
    <w:p>
      <w:pPr>
        <w:pStyle w:val="TextBody"/>
        <w:bidi w:val="0"/>
        <w:spacing w:lineRule="atLeast" w:line="240" w:before="200" w:after="200"/>
        <w:jc w:val="both"/>
        <w:rPr>
          <w:sz w:val="20"/>
        </w:rPr>
      </w:pPr>
      <w:r>
        <w:rPr>
          <w:sz w:val="20"/>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potential partners.</w:t>
      </w:r>
    </w:p>
    <w:p>
      <w:pPr>
        <w:pStyle w:val="TextBody"/>
        <w:bidi w:val="0"/>
        <w:spacing w:lineRule="atLeast" w:line="240" w:before="200" w:after="200"/>
        <w:jc w:val="both"/>
        <w:rPr>
          <w:sz w:val="20"/>
        </w:rPr>
      </w:pPr>
      <w:r>
        <w:rPr>
          <w:sz w:val="20"/>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debit and prepaid card outsourcing business could provide continued growth while minimizing our capital investment.</w:t>
      </w:r>
    </w:p>
    <w:p>
      <w:pPr>
        <w:pStyle w:val="TextBody"/>
        <w:bidi w:val="0"/>
        <w:spacing w:lineRule="atLeast" w:line="240" w:before="0" w:after="0"/>
        <w:jc w:val="both"/>
        <w:rPr/>
      </w:pPr>
      <w:r>
        <w:rPr>
          <w:sz w:val="20"/>
        </w:rPr>
        <w:t>In addition, complementary services offered by our epay Segment, where we provide prepaid mobile top-up services through POS terminals, strengthens the EFT Processing Segment's line of services. We plan to continue to expand our</w:t>
      </w:r>
      <w:r>
        <w:rPr/>
        <w:t> </w:t>
      </w:r>
      <w:r>
        <w:rPr>
          <w:sz w:val="20"/>
        </w:rPr>
        <w:t>technology and business methods into other markets where we operate and further leverage our relationships with mobile operators, other content providers and financial institutions to facilitate that expansion.</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lineRule="atLeast" w:line="240" w:before="0" w:after="160"/>
        <w:jc w:val="both"/>
        <w:rPr>
          <w:b/>
          <w:sz w:val="20"/>
        </w:rPr>
      </w:pPr>
      <w:r>
        <w:rPr>
          <w:b/>
          <w:sz w:val="20"/>
        </w:rPr>
        <w:t>Seasonality</w:t>
      </w:r>
    </w:p>
    <w:p>
      <w:pPr>
        <w:pStyle w:val="TextBody"/>
        <w:bidi w:val="0"/>
        <w:spacing w:lineRule="atLeast" w:line="240" w:before="0" w:after="160"/>
        <w:jc w:val="both"/>
        <w:rPr>
          <w:sz w:val="20"/>
        </w:rPr>
      </w:pPr>
      <w:r>
        <w:rPr>
          <w:sz w:val="20"/>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seasonally activating ATMs in tourist locations that experience significantly higher traffic during their peak tourist seasons. We then seasonally deactivate, or shut down those ATMs during the slower months, which results in lower overall transaction volumes in the EFT Processing Segment during those months. As we have expanded our IAD network in tourist locations, the financial impact of seasonally activating and deactivating has increased, because we continue to bear the expense of seasonally deactivated ATMs even though they do not generate transactions during the slower months.</w:t>
      </w:r>
    </w:p>
    <w:p>
      <w:pPr>
        <w:pStyle w:val="TextBody"/>
        <w:bidi w:val="0"/>
        <w:spacing w:lineRule="atLeast" w:line="240" w:before="0" w:after="160"/>
        <w:jc w:val="both"/>
        <w:rPr>
          <w:b/>
          <w:sz w:val="20"/>
        </w:rPr>
      </w:pPr>
      <w:r>
        <w:rPr>
          <w:b/>
          <w:sz w:val="20"/>
        </w:rPr>
        <w:t>Significant Customers and Government Contracts</w:t>
      </w:r>
    </w:p>
    <w:p>
      <w:pPr>
        <w:pStyle w:val="TextBody"/>
        <w:bidi w:val="0"/>
        <w:spacing w:lineRule="atLeast" w:line="240" w:before="0" w:after="160"/>
        <w:jc w:val="both"/>
        <w:rPr/>
      </w:pPr>
      <w:r>
        <w:rPr>
          <w:sz w:val="20"/>
        </w:rPr>
        <w:t>No individual customer of the EFT Processing Segment makes up greater than 10% of total consolidated revenues. EFT</w:t>
      </w:r>
      <w:r>
        <w:rPr/>
        <w:t> </w:t>
      </w:r>
      <w:r>
        <w:rPr>
          <w:sz w:val="20"/>
        </w:rPr>
        <w:t>maintains contract relationships with a number of banks, financial institutions, telecommunications</w:t>
      </w:r>
      <w:r>
        <w:rPr/>
        <w:t> </w:t>
      </w:r>
      <w:r>
        <w:rPr>
          <w:sz w:val="20"/>
        </w:rPr>
        <w:t>companies, and clients whose ownership includes the government.</w:t>
      </w:r>
      <w:r>
        <w:rPr/>
        <w:t> </w:t>
      </w:r>
    </w:p>
    <w:p>
      <w:pPr>
        <w:pStyle w:val="TextBody"/>
        <w:bidi w:val="0"/>
        <w:spacing w:lineRule="atLeast" w:line="240" w:before="0" w:after="160"/>
        <w:jc w:val="both"/>
        <w:rPr>
          <w:b/>
          <w:sz w:val="20"/>
        </w:rPr>
      </w:pPr>
      <w:r>
        <w:rPr>
          <w:b/>
          <w:sz w:val="20"/>
        </w:rPr>
        <w:t>Competition</w:t>
      </w:r>
    </w:p>
    <w:p>
      <w:pPr>
        <w:pStyle w:val="TextBody"/>
        <w:bidi w:val="0"/>
        <w:spacing w:lineRule="atLeast" w:line="240" w:before="0" w:after="0"/>
        <w:jc w:val="both"/>
        <w:rPr/>
      </w:pPr>
      <w:r>
        <w:rPr>
          <w:sz w:val="20"/>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 EFT Processing Segment include breadth of service offering, network availability and response time, price to both the financial institution and to its customers, ATM location and access to other networks.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epay Segment</w:t>
      </w:r>
      <w:r>
        <w:rPr/>
        <w:t xml:space="preserve"> </w:t>
      </w:r>
    </w:p>
    <w:p>
      <w:pPr>
        <w:pStyle w:val="TextBody"/>
        <w:bidi w:val="0"/>
        <w:spacing w:lineRule="atLeast" w:line="220" w:before="0" w:after="0"/>
        <w:jc w:val="both"/>
        <w:rPr/>
      </w:pPr>
      <w:r>
        <w:rPr/>
        <w:t> </w:t>
      </w:r>
    </w:p>
    <w:p>
      <w:pPr>
        <w:pStyle w:val="TextBody"/>
        <w:bidi w:val="0"/>
        <w:spacing w:lineRule="atLeast" w:line="220" w:before="0" w:after="0"/>
        <w:jc w:val="both"/>
        <w:rPr>
          <w:b/>
          <w:sz w:val="20"/>
        </w:rPr>
      </w:pPr>
      <w:r>
        <w:rPr>
          <w:b/>
          <w:sz w:val="20"/>
        </w:rPr>
        <w:t>Overview</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We currently process and distribute prepaid mobile airtime and other electronic content and payment processing services for various prepaid products, cards, and services on a network of approximately</w:t>
      </w:r>
      <w:r>
        <w:rPr/>
        <w:t> </w:t>
      </w:r>
      <w:r>
        <w:rPr>
          <w:rFonts w:ascii="Times New Roman" w:hAnsi="Times New Roman"/>
          <w:sz w:val="20"/>
        </w:rPr>
        <w:t>749,000</w:t>
      </w:r>
      <w:r>
        <w:rPr/>
        <w:t> </w:t>
      </w:r>
      <w:r>
        <w:rPr>
          <w:sz w:val="20"/>
        </w:rPr>
        <w:t>POS terminals</w:t>
      </w:r>
      <w:r>
        <w:rPr/>
        <w:t> </w:t>
      </w:r>
      <w:r>
        <w:rPr>
          <w:sz w:val="20"/>
        </w:rPr>
        <w:t xml:space="preserve">across approximately </w:t>
      </w:r>
      <w:r>
        <w:rPr>
          <w:rFonts w:ascii="Times New Roman" w:hAnsi="Times New Roman"/>
          <w:sz w:val="20"/>
        </w:rPr>
        <w:t>363,000</w:t>
      </w:r>
      <w:r>
        <w:rPr/>
        <w:t> </w:t>
      </w:r>
      <w:r>
        <w:rPr>
          <w:sz w:val="20"/>
        </w:rPr>
        <w:t>retailer locations in Europe, the Middle East and Africa, Asia Pacific, North America and South America. Our processing centers for the epay</w:t>
      </w:r>
      <w:r>
        <w:rPr/>
        <w:t> </w:t>
      </w:r>
      <w:r>
        <w:rPr>
          <w:sz w:val="20"/>
        </w:rPr>
        <w:t>segment are located in</w:t>
      </w:r>
      <w:r>
        <w:rPr/>
        <w:t> </w:t>
      </w:r>
      <w:r>
        <w:rPr>
          <w:sz w:val="20"/>
        </w:rPr>
        <w:t>the</w:t>
      </w:r>
      <w:r>
        <w:rPr/>
        <w:t> </w:t>
      </w:r>
      <w:r>
        <w:rPr>
          <w:sz w:val="20"/>
        </w:rPr>
        <w:t>United Kingdom, Germany, Italy, and the United States.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have continued to expand our prepaid business in new and existing markets by drawing upon our depth of</w:t>
      </w:r>
      <w:r>
        <w:rPr/>
        <w:t> </w:t>
      </w:r>
      <w:r>
        <w:rPr>
          <w:sz w:val="20"/>
        </w:rPr>
        <w:t>experience to build and expand relationships with content providers, mobile operators, and retailers. We offer</w:t>
      </w:r>
      <w:r>
        <w:rPr/>
        <w:t> </w:t>
      </w:r>
      <w:r>
        <w:rPr>
          <w:sz w:val="20"/>
        </w:rPr>
        <w:t>a wide range of products across our retail networks, including prepaid mobile airtime, prepaid debit cards, prepaid gift cards, other prepaid electronic content such as music, games and software, prepaid vouchers, transport payments and lottery, and bill payment processing assistance through partnerships with various licensed money transmitters.</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Sources of Revenues</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The epay Segment generates commissions and processing fees from the distribution of electronic content from mobile operators and other content providers.</w:t>
      </w:r>
      <w:r>
        <w:rPr/>
        <w:t> </w:t>
      </w:r>
      <w:r>
        <w:rPr>
          <w:sz w:val="20"/>
        </w:rPr>
        <w:t xml:space="preserve">In </w:t>
      </w:r>
      <w:r>
        <w:rPr>
          <w:rFonts w:ascii="Times New Roman" w:hAnsi="Times New Roman"/>
          <w:sz w:val="20"/>
        </w:rPr>
        <w:t>2025</w:t>
      </w:r>
      <w:r>
        <w:rPr>
          <w:sz w:val="20"/>
        </w:rPr>
        <w:t xml:space="preserve">, approximately </w:t>
      </w:r>
      <w:r>
        <w:rPr>
          <w:rFonts w:ascii="Times New Roman" w:hAnsi="Times New Roman"/>
          <w:sz w:val="20"/>
        </w:rPr>
        <w:t>73</w:t>
      </w:r>
      <w:r>
        <w:rPr>
          <w:sz w:val="20"/>
        </w:rPr>
        <w:t xml:space="preserve">% of total revenues and approximately </w:t>
      </w:r>
      <w:r>
        <w:rPr>
          <w:rFonts w:ascii="Times New Roman" w:hAnsi="Times New Roman"/>
          <w:sz w:val="20"/>
        </w:rPr>
        <w:t>78</w:t>
      </w:r>
      <w:r>
        <w:rPr>
          <w:sz w:val="20"/>
        </w:rPr>
        <w:t>% of gross profit for the epay Segment was from electronic content other than prepaid mobile airtime (digital media products).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Customers using mobile phones generally pay for usage in one of two ways: (1) through</w:t>
      </w:r>
      <w:r>
        <w:rPr/>
        <w:t> </w:t>
      </w:r>
      <w:r>
        <w:rPr>
          <w:sz w:val="20"/>
        </w:rPr>
        <w:t>"postpaid" accounts, where usage is billed at the end of each billing period, or (2) through "prepaid" accounts, where customers pay in advance by crediting their accounts prior to usage.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xml:space="preserve">Although mobile operators in the U.S. and certain European countries have provided service principally through postpaid accounts, the norm in many other countries in Europe and the rest of the world is to offer wireless service on a prepaid basis.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purchased amount of the mobile airtime. We maintain systems that know the amount of mobile top-up sold by the retailer which allows us in turn to bill that retailer for the mobile top-up sold.</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multi-year agreements with the retailers.</w:t>
      </w:r>
      <w:r>
        <w:rPr/>
        <w:t> </w:t>
      </w:r>
      <w:r>
        <w:rPr>
          <w:sz w:val="20"/>
        </w:rPr>
        <w:t>In addition to the sale of traditional mobile top-up volume described above, we have expanded distribution into digital media products and other value-added services. We have leveraged our existing technology infrastructure to sell digital media products, which have been sold through</w:t>
      </w:r>
      <w:r>
        <w:rPr/>
        <w:t> </w:t>
      </w:r>
      <w:r>
        <w:rPr>
          <w:sz w:val="20"/>
        </w:rPr>
        <w:t>our traditional retail network and new retailer networks such as digital channels. In the U.S., most prepaid digital media content is purchased for gifting; in markets outside the U.S., consumers generally purchase prepaid digital media content for self-use.</w:t>
      </w:r>
      <w:r>
        <w:rPr/>
        <w:t> </w:t>
      </w:r>
    </w:p>
    <w:p>
      <w:pPr>
        <w:pStyle w:val="TextBody"/>
        <w:bidi w:val="0"/>
        <w:spacing w:lineRule="atLeast" w:line="240" w:before="200" w:after="200"/>
        <w:jc w:val="both"/>
        <w:rPr>
          <w:b/>
          <w:sz w:val="20"/>
        </w:rPr>
      </w:pPr>
      <w:r>
        <w:rPr>
          <w:b/>
          <w:sz w:val="20"/>
        </w:rPr>
        <w:t>epay Products and Services</w:t>
      </w:r>
    </w:p>
    <w:p>
      <w:pPr>
        <w:pStyle w:val="TextBody"/>
        <w:bidi w:val="0"/>
        <w:spacing w:lineRule="atLeast" w:line="240" w:before="200" w:after="200"/>
        <w:jc w:val="both"/>
        <w:rPr>
          <w:b/>
          <w:i/>
          <w:sz w:val="20"/>
        </w:rPr>
      </w:pPr>
      <w:r>
        <w:rPr>
          <w:b/>
          <w:i/>
          <w:sz w:val="20"/>
        </w:rPr>
        <w:t>Prepaid Mobile Airtime Transaction Processing</w:t>
      </w:r>
    </w:p>
    <w:p>
      <w:pPr>
        <w:pStyle w:val="TextBody"/>
        <w:bidi w:val="0"/>
        <w:spacing w:lineRule="atLeast" w:line="240" w:before="200" w:after="0"/>
        <w:jc w:val="both"/>
        <w:rPr>
          <w:sz w:val="20"/>
        </w:rPr>
      </w:pPr>
      <w:r>
        <w:rPr>
          <w:sz w:val="20"/>
        </w:rPr>
        <w:t>We process prepaid mobile airtime top-up transactions on our international POS network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pStyle w:val="TextBody"/>
        <w:bidi w:val="0"/>
        <w:spacing w:lineRule="atLeast" w:line="240" w:before="0" w:after="0"/>
        <w:jc w:val="both"/>
        <w:rPr/>
      </w:pPr>
      <w:r>
        <w:rPr/>
        <w:t> </w:t>
      </w:r>
    </w:p>
    <w:p>
      <w:pPr>
        <w:pStyle w:val="TextBody"/>
        <w:bidi w:val="0"/>
        <w:spacing w:lineRule="atLeast" w:line="260" w:before="0" w:after="0"/>
        <w:jc w:val="both"/>
        <w:rPr>
          <w:b/>
          <w:i/>
          <w:sz w:val="20"/>
        </w:rPr>
      </w:pPr>
      <w:r>
        <w:rPr>
          <w:b/>
          <w:i/>
          <w:sz w:val="20"/>
        </w:rPr>
        <w:t>Closed Loop Gift Cards</w:t>
      </w:r>
    </w:p>
    <w:p>
      <w:pPr>
        <w:pStyle w:val="TextBody"/>
        <w:bidi w:val="0"/>
        <w:spacing w:lineRule="atLeast" w:line="220" w:before="0" w:after="0"/>
        <w:jc w:val="both"/>
        <w:rPr/>
      </w:pPr>
      <w:r>
        <w:rPr/>
        <w:t> </w:t>
      </w:r>
    </w:p>
    <w:p>
      <w:pPr>
        <w:pStyle w:val="TextBody"/>
        <w:bidi w:val="0"/>
        <w:spacing w:lineRule="atLeast" w:line="240" w:before="0" w:after="0"/>
        <w:jc w:val="both"/>
        <w:rPr>
          <w:sz w:val="20"/>
        </w:rPr>
      </w:pPr>
      <w:r>
        <w:rPr>
          <w:sz w:val="20"/>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pStyle w:val="TextBody"/>
        <w:bidi w:val="0"/>
        <w:spacing w:lineRule="atLeast" w:line="220" w:before="0" w:after="0"/>
        <w:jc w:val="both"/>
        <w:rPr/>
      </w:pPr>
      <w:r>
        <w:rPr/>
        <w:t> </w:t>
      </w:r>
    </w:p>
    <w:p>
      <w:pPr>
        <w:pStyle w:val="TextBody"/>
        <w:bidi w:val="0"/>
        <w:spacing w:lineRule="atLeast" w:line="220" w:before="0" w:after="0"/>
        <w:jc w:val="both"/>
        <w:rPr>
          <w:b/>
          <w:i/>
          <w:sz w:val="20"/>
        </w:rPr>
      </w:pPr>
      <w:r>
        <w:rPr>
          <w:b/>
          <w:i/>
          <w:sz w:val="20"/>
        </w:rPr>
        <w:t>Open Loop Gift Cards</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Open loop gift cards are prepaid gift cards associated with an electronic payment network (such as Visa</w:t>
      </w:r>
      <w:r>
        <w:rPr>
          <w:sz w:val="8"/>
        </w:rPr>
        <w:t>®</w:t>
      </w:r>
      <w:r>
        <w:rPr/>
        <w:t xml:space="preserve"> </w:t>
      </w:r>
      <w:r>
        <w:rPr>
          <w:sz w:val="20"/>
        </w:rPr>
        <w:t>or Mastercard</w:t>
      </w:r>
      <w:r>
        <w:rPr>
          <w:sz w:val="8"/>
        </w:rPr>
        <w:t>®</w:t>
      </w:r>
      <w:r>
        <w:rPr>
          <w:sz w:val="20"/>
        </w:rPr>
        <w:t>) and are honored at multiple, unaffiliated locations (wherever cards from these networks are generally accepted). They are not merchant-specific. We distribute and issue single-use, non-reloadable open loop gift cards carrying the Visa</w:t>
      </w:r>
      <w:r>
        <w:rPr>
          <w:sz w:val="8"/>
        </w:rPr>
        <w:t>®</w:t>
      </w:r>
      <w:r>
        <w:rPr/>
        <w:t> </w:t>
      </w:r>
      <w:r>
        <w:rPr>
          <w:sz w:val="20"/>
        </w:rPr>
        <w:t>brand in our retail channels. After the consumer purchases the preloaded value gift card at a retail store location or online, the consumer must call the toll-free number on the back of the card to activate it.</w:t>
      </w:r>
    </w:p>
    <w:p>
      <w:pPr>
        <w:pStyle w:val="TextBody"/>
        <w:bidi w:val="0"/>
        <w:spacing w:lineRule="atLeast" w:line="220" w:before="0" w:after="0"/>
        <w:jc w:val="both"/>
        <w:rPr/>
      </w:pPr>
      <w:r>
        <w:rPr/>
        <w:t> </w:t>
      </w:r>
    </w:p>
    <w:p>
      <w:pPr>
        <w:pStyle w:val="TextBody"/>
        <w:bidi w:val="0"/>
        <w:spacing w:lineRule="atLeast" w:line="220" w:before="0" w:after="0"/>
        <w:jc w:val="both"/>
        <w:rPr>
          <w:b/>
          <w:i/>
          <w:sz w:val="20"/>
        </w:rPr>
      </w:pPr>
      <w:r>
        <w:rPr>
          <w:b/>
          <w:i/>
          <w:sz w:val="20"/>
        </w:rPr>
        <w:t>Open Loop Reloadable</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We distribute Visa</w:t>
      </w:r>
      <w:r>
        <w:rPr>
          <w:sz w:val="8"/>
        </w:rPr>
        <w:t>®</w:t>
      </w:r>
      <w:r>
        <w:rPr/>
        <w:t xml:space="preserve"> </w:t>
      </w:r>
      <w:r>
        <w:rPr>
          <w:sz w:val="20"/>
        </w:rPr>
        <w:t>and Mastercard</w:t>
      </w:r>
      <w:r>
        <w:rPr>
          <w:sz w:val="8"/>
        </w:rPr>
        <w:t>®</w:t>
      </w:r>
      <w:r>
        <w:rPr/>
        <w:t xml:space="preserve"> </w:t>
      </w:r>
      <w:r>
        <w:rPr>
          <w:sz w:val="20"/>
        </w:rPr>
        <w:t>issued debit cards provided by card issuers. We also manage and distribute a proprietary debit card that allows a retailer to issue its own reloadable store-branded card. Open loop reloadable cards have features similar to a bank checking account, including direct deposit,</w:t>
      </w:r>
      <w:r>
        <w:rPr/>
        <w:t> </w:t>
      </w:r>
      <w:r>
        <w:rPr>
          <w:sz w:val="20"/>
        </w:rPr>
        <w:t>purchasing capability wherever a credit card is accepted, bill payment and ATM access. Fees are charged to consumers for the initial load and reload transactions, monthly account maintenance and other transactions.</w:t>
      </w:r>
    </w:p>
    <w:p>
      <w:pPr>
        <w:pStyle w:val="TextBody"/>
        <w:bidi w:val="0"/>
        <w:spacing w:lineRule="atLeast" w:line="260" w:before="0" w:after="0"/>
        <w:jc w:val="both"/>
        <w:rPr/>
      </w:pPr>
      <w:r>
        <w:rPr/>
        <w:br/>
      </w:r>
      <w:r>
        <w:rPr>
          <w:b/>
          <w:i/>
          <w:sz w:val="20"/>
        </w:rPr>
        <w:t>Other Products and Services</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as well as POS promotions where physical goods are sold in large retailers. In certain locations, the terminals used for prepaid services can also be used for electronic funds transfer to process credit,</w:t>
      </w:r>
      <w:r>
        <w:rPr/>
        <w:t> </w:t>
      </w:r>
      <w:r>
        <w:rPr>
          <w:sz w:val="20"/>
        </w:rPr>
        <w:t>debit, and prepaid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lineRule="atLeast" w:line="288" w:before="0" w:after="200"/>
        <w:jc w:val="both"/>
        <w:rPr>
          <w:b/>
          <w:i/>
          <w:sz w:val="20"/>
        </w:rPr>
      </w:pPr>
      <w:r>
        <w:rPr>
          <w:b/>
          <w:i/>
          <w:sz w:val="20"/>
        </w:rPr>
        <w:t>Retailer and Distributor Contracts</w:t>
      </w:r>
    </w:p>
    <w:p>
      <w:pPr>
        <w:pStyle w:val="TextBody"/>
        <w:bidi w:val="0"/>
        <w:spacing w:lineRule="atLeast" w:line="240" w:before="200" w:after="0"/>
        <w:jc w:val="both"/>
        <w:rPr>
          <w:sz w:val="20"/>
        </w:rPr>
      </w:pPr>
      <w:r>
        <w:rPr>
          <w:sz w:val="20"/>
        </w:rPr>
        <w:t>We provide our prepaid services through POS terminals or web-based POS devices installed in retail outlets or, in the case of major retailers, through direct connections between their ECR systems and our processing centers. In markets where we operate proprietary technology, we generally own and maintain the POS terminals. In certain countries in Europe, the terminals are sold to the retailers or to distributors who service the retailer. Our agreements with major retailers for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number of transactions processed on our POS networks have increased over the last five years at a CAGR of approximately </w:t>
      </w:r>
      <w:r>
        <w:rPr>
          <w:rFonts w:ascii="Times New Roman" w:hAnsi="Times New Roman"/>
          <w:sz w:val="20"/>
        </w:rPr>
        <w:t>10.1</w:t>
      </w:r>
      <w:r>
        <w:rPr>
          <w:sz w:val="20"/>
        </w:rPr>
        <w:t>% as indicated in the following table:</w:t>
      </w:r>
    </w:p>
    <w:p>
      <w:pPr>
        <w:pStyle w:val="TextBody"/>
        <w:bidi w:val="0"/>
        <w:spacing w:lineRule="atLeast" w:line="240" w:before="0" w:after="0"/>
        <w:jc w:val="both"/>
        <w:rPr/>
      </w:pPr>
      <w:r>
        <w:rPr/>
        <w:t xml:space="preserve">  </w:t>
      </w:r>
    </w:p>
    <w:tbl>
      <w:tblPr>
        <w:tblW w:w="5490" w:type="dxa"/>
        <w:jc w:val="left"/>
        <w:tblInd w:w="0" w:type="dxa"/>
        <w:tblLayout w:type="fixed"/>
        <w:tblCellMar>
          <w:top w:w="0" w:type="dxa"/>
          <w:left w:w="0" w:type="dxa"/>
          <w:bottom w:w="0" w:type="dxa"/>
          <w:right w:w="0" w:type="dxa"/>
        </w:tblCellMar>
      </w:tblPr>
      <w:tblGrid>
        <w:gridCol w:w="3050"/>
        <w:gridCol w:w="485"/>
        <w:gridCol w:w="485"/>
        <w:gridCol w:w="485"/>
        <w:gridCol w:w="485"/>
        <w:gridCol w:w="500"/>
      </w:tblGrid>
      <w:tr>
        <w:trPr/>
        <w:tc>
          <w:tcPr>
            <w:tcW w:w="3050" w:type="dxa"/>
            <w:tcBorders/>
            <w:vAlign w:val="center"/>
          </w:tcPr>
          <w:p>
            <w:pPr>
              <w:pStyle w:val="TableContents"/>
              <w:bidi w:val="0"/>
              <w:spacing w:before="0" w:after="0"/>
              <w:jc w:val="left"/>
              <w:rPr>
                <w:rFonts w:ascii="Times New Roman" w:hAnsi="Times New Roman"/>
                <w:sz w:val="16"/>
                <w:u w:val="single"/>
              </w:rPr>
            </w:pPr>
            <w:r>
              <w:rPr>
                <w:rFonts w:ascii="Times New Roman" w:hAnsi="Times New Roman"/>
                <w:sz w:val="16"/>
                <w:u w:val="single"/>
              </w:rPr>
              <w:t>(in millions)</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2021</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2022</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2023</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2024</w:t>
            </w:r>
          </w:p>
        </w:tc>
        <w:tc>
          <w:tcPr>
            <w:tcW w:w="500"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2025</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 processing transactions per year</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3,120</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3,836</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3,789</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4,374</w:t>
            </w:r>
          </w:p>
        </w:tc>
        <w:tc>
          <w:tcPr>
            <w:tcW w:w="50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4,579</w:t>
            </w:r>
          </w:p>
        </w:tc>
      </w:tr>
    </w:tbl>
    <w:p>
      <w:pPr>
        <w:pStyle w:val="TextBody"/>
        <w:bidi w:val="0"/>
        <w:spacing w:lineRule="atLeast" w:line="220" w:before="0" w:after="0"/>
        <w:jc w:val="both"/>
        <w:rPr/>
      </w:pPr>
      <w:r>
        <w:rPr/>
        <w:t> </w:t>
      </w:r>
    </w:p>
    <w:p>
      <w:pPr>
        <w:pStyle w:val="TextBody"/>
        <w:bidi w:val="0"/>
        <w:spacing w:lineRule="atLeast" w:line="220" w:before="0" w:after="0"/>
        <w:jc w:val="both"/>
        <w:rPr>
          <w:b/>
          <w:sz w:val="20"/>
        </w:rPr>
      </w:pPr>
      <w:r>
        <w:rPr>
          <w:b/>
          <w:sz w:val="20"/>
        </w:rPr>
        <w:t>epay Segment Strategy</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epay's</w:t>
      </w:r>
      <w:r>
        <w:rPr/>
        <w:t> </w:t>
      </w:r>
      <w:r>
        <w:rPr>
          <w:sz w:val="20"/>
        </w:rPr>
        <w:t>strategy is to grow revenue and defend margins in developing markets by providing value-added services to mobile operators and to decrease our reliance on mobile top-up by increasing distribution of other electronic content, expanding epay</w:t>
      </w:r>
      <w:r>
        <w:rPr/>
        <w:t> </w:t>
      </w:r>
      <w:r>
        <w:rPr>
          <w:sz w:val="20"/>
        </w:rPr>
        <w:t>branded content, introducing new solutions to new and existing customers, and focusing on geographic expansion. Strategic execution behind expansion of digital media electronic content includes the development of relationships with global consumer product brands. This strategy leverages the global scale of the epay business allowing global brands to be sold in many or all the countries in which we have a presence. Examples of global brands we distribute include iTunes, Google Play, Sony, and Microsoft.</w:t>
      </w:r>
    </w:p>
    <w:p>
      <w:pPr>
        <w:pStyle w:val="TextBody"/>
        <w:bidi w:val="0"/>
        <w:spacing w:lineRule="atLeast" w:line="240" w:before="0" w:after="0"/>
        <w:jc w:val="both"/>
        <w:rPr/>
      </w:pPr>
      <w:r>
        <w:rPr/>
        <w:br/>
      </w:r>
      <w:r>
        <w:rPr>
          <w:sz w:val="20"/>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with the existing relationships that we maintain with prepaid content providers and retailers.</w:t>
      </w:r>
    </w:p>
    <w:p>
      <w:pPr>
        <w:pStyle w:val="TextBody"/>
        <w:bidi w:val="0"/>
        <w:spacing w:lineRule="atLeast" w:line="220" w:before="0" w:after="0"/>
        <w:jc w:val="both"/>
        <w:rPr/>
      </w:pPr>
      <w:r>
        <w:rPr/>
        <w:t> </w:t>
      </w:r>
    </w:p>
    <w:p>
      <w:pPr>
        <w:pStyle w:val="TextBody"/>
        <w:bidi w:val="0"/>
        <w:spacing w:lineRule="atLeast" w:line="260" w:before="0" w:after="0"/>
        <w:jc w:val="both"/>
        <w:rPr>
          <w:b/>
          <w:sz w:val="20"/>
        </w:rPr>
      </w:pPr>
      <w:r>
        <w:rPr>
          <w:b/>
          <w:sz w:val="20"/>
        </w:rPr>
        <w:t>Seasonality</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xml:space="preserve">As the product mix continues to change, the epay business is impacted by seasonality during the fourth quarter and first quarter of each year due to the higher transaction levels during the holiday season and lower levels following the holiday season. </w:t>
      </w:r>
    </w:p>
    <w:p>
      <w:pPr>
        <w:pStyle w:val="TextBody"/>
        <w:bidi w:val="0"/>
        <w:spacing w:lineRule="atLeast" w:line="220" w:before="200" w:after="0"/>
        <w:jc w:val="both"/>
        <w:rPr>
          <w:b/>
          <w:sz w:val="20"/>
        </w:rPr>
      </w:pPr>
      <w:r>
        <w:rPr>
          <w:b/>
          <w:sz w:val="20"/>
        </w:rPr>
        <w:t>Significant Customers and Government Contracts</w:t>
      </w:r>
    </w:p>
    <w:p>
      <w:pPr>
        <w:pStyle w:val="TextBody"/>
        <w:bidi w:val="0"/>
        <w:spacing w:lineRule="atLeast" w:line="220" w:before="0" w:after="0"/>
        <w:jc w:val="both"/>
        <w:rPr/>
      </w:pPr>
      <w:r>
        <w:rPr/>
        <w:t> </w:t>
      </w:r>
    </w:p>
    <w:p>
      <w:pPr>
        <w:pStyle w:val="TextBody"/>
        <w:bidi w:val="0"/>
        <w:spacing w:lineRule="atLeast" w:line="240" w:before="0" w:after="0"/>
        <w:jc w:val="both"/>
        <w:rPr/>
      </w:pPr>
      <w:r>
        <w:rPr>
          <w:sz w:val="20"/>
        </w:rPr>
        <w:t>No individual customer of our epay Segment makes up greater than 10% of total consolidated revenues.</w:t>
      </w:r>
      <w:r>
        <w:rPr/>
        <w:t> </w:t>
      </w:r>
      <w:r>
        <w:rPr>
          <w:sz w:val="20"/>
        </w:rPr>
        <w:t>epay maintains contract relationships with a number of companies, banks, post offices and telecommunications</w:t>
      </w:r>
      <w:r>
        <w:rPr/>
        <w:t> </w:t>
      </w:r>
      <w:r>
        <w:rPr>
          <w:sz w:val="20"/>
        </w:rPr>
        <w:t>providers whose ownership includes the government.</w:t>
      </w:r>
      <w:r>
        <w:rPr/>
        <w:t> </w:t>
      </w:r>
    </w:p>
    <w:p>
      <w:pPr>
        <w:pStyle w:val="TextBody"/>
        <w:bidi w:val="0"/>
        <w:spacing w:lineRule="atLeast" w:line="200" w:before="0" w:after="0"/>
        <w:jc w:val="both"/>
        <w:rPr/>
      </w:pPr>
      <w:r>
        <w:rPr/>
        <w:t> </w:t>
      </w:r>
    </w:p>
    <w:p>
      <w:pPr>
        <w:pStyle w:val="TextBody"/>
        <w:bidi w:val="0"/>
        <w:spacing w:lineRule="atLeast" w:line="220" w:before="0" w:after="0"/>
        <w:jc w:val="both"/>
        <w:rPr>
          <w:b/>
          <w:sz w:val="20"/>
        </w:rPr>
      </w:pPr>
      <w:r>
        <w:rPr>
          <w:b/>
          <w:sz w:val="20"/>
        </w:rPr>
        <w:t>Competition</w:t>
      </w:r>
    </w:p>
    <w:p>
      <w:pPr>
        <w:pStyle w:val="TextBody"/>
        <w:bidi w:val="0"/>
        <w:spacing w:lineRule="atLeast" w:line="220" w:before="0" w:after="0"/>
        <w:jc w:val="both"/>
        <w:rPr/>
      </w:pPr>
      <w:r>
        <w:rPr/>
        <w:t> </w:t>
      </w:r>
    </w:p>
    <w:p>
      <w:pPr>
        <w:pStyle w:val="TextBody"/>
        <w:bidi w:val="0"/>
        <w:spacing w:lineRule="atLeast" w:line="240" w:before="0" w:after="0"/>
        <w:jc w:val="both"/>
        <w:rPr>
          <w:sz w:val="20"/>
        </w:rPr>
      </w:pPr>
      <w:r>
        <w:rPr>
          <w:sz w:val="20"/>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principal competitive factors in the epay Segment include price (that is, the level of commission paid to retailers for each transaction), breadth of products and up-time offered on the system. Major retailers with high volumes can demand a larger share of the commission, which increases the amount of competition among service</w:t>
      </w:r>
      <w:r>
        <w:rPr/>
        <w:t> </w:t>
      </w:r>
      <w:r>
        <w:rPr>
          <w:sz w:val="20"/>
        </w:rPr>
        <w:t>providers. We are seeing signs that some mobile operators are expanding their distribution networks to provide top-up services online or via mobile devices, which provides other alternatives for consumers to use.</w:t>
      </w:r>
    </w:p>
    <w:p>
      <w:pPr>
        <w:pStyle w:val="TextBody"/>
        <w:bidi w:val="0"/>
        <w:spacing w:lineRule="atLeast" w:line="26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lineRule="atLeast" w:line="260" w:before="0" w:after="0"/>
        <w:jc w:val="both"/>
        <w:rPr>
          <w:b/>
          <w:sz w:val="20"/>
        </w:rPr>
      </w:pPr>
      <w:r>
        <w:rPr>
          <w:b/>
          <w:sz w:val="20"/>
        </w:rPr>
        <w:t>Money Transfer Segment</w:t>
      </w:r>
    </w:p>
    <w:p>
      <w:pPr>
        <w:pStyle w:val="TextBody"/>
        <w:bidi w:val="0"/>
        <w:spacing w:lineRule="atLeast" w:line="260" w:before="0" w:after="0"/>
        <w:jc w:val="both"/>
        <w:rPr/>
      </w:pPr>
      <w:r>
        <w:rPr/>
        <w:t> </w:t>
      </w:r>
    </w:p>
    <w:p>
      <w:pPr>
        <w:pStyle w:val="TextBody"/>
        <w:bidi w:val="0"/>
        <w:spacing w:lineRule="atLeast" w:line="260" w:before="0" w:after="0"/>
        <w:jc w:val="both"/>
        <w:rPr>
          <w:b/>
          <w:sz w:val="20"/>
        </w:rPr>
      </w:pPr>
      <w:r>
        <w:rPr>
          <w:b/>
          <w:sz w:val="20"/>
        </w:rPr>
        <w:t>Overview</w:t>
      </w:r>
    </w:p>
    <w:p>
      <w:pPr>
        <w:pStyle w:val="TextBody"/>
        <w:bidi w:val="0"/>
        <w:spacing w:lineRule="atLeast" w:line="260" w:before="0" w:after="0"/>
        <w:jc w:val="both"/>
        <w:rPr/>
      </w:pPr>
      <w:r>
        <w:rPr/>
        <w:t> </w:t>
      </w:r>
    </w:p>
    <w:p>
      <w:pPr>
        <w:pStyle w:val="TextBody"/>
        <w:bidi w:val="0"/>
        <w:spacing w:lineRule="atLeast" w:line="240" w:before="0" w:after="0"/>
        <w:jc w:val="both"/>
        <w:rPr/>
      </w:pPr>
      <w:r>
        <w:rPr>
          <w:sz w:val="20"/>
        </w:rPr>
        <w:t xml:space="preserve">We provide global money transfer services primarily under the brand names Ria, Xe and Dandelion. Ria provides consumer-to-consumer money transfer services through a global network of more than </w:t>
      </w:r>
      <w:r>
        <w:rPr>
          <w:rFonts w:ascii="Times New Roman" w:hAnsi="Times New Roman"/>
          <w:sz w:val="20"/>
        </w:rPr>
        <w:t>639,000</w:t>
      </w:r>
      <w:r>
        <w:rPr/>
        <w:t xml:space="preserve"> </w:t>
      </w:r>
      <w:r>
        <w:rPr>
          <w:sz w:val="20"/>
        </w:rPr>
        <w:t>locations and via our website riamoneytransfer.com.</w:t>
      </w:r>
      <w:r>
        <w:rPr/>
        <w:t> </w:t>
      </w:r>
      <w:r>
        <w:rPr>
          <w:sz w:val="20"/>
        </w:rPr>
        <w:t>We send money transfers from approximately</w:t>
      </w:r>
      <w:r>
        <w:rPr/>
        <w:t> </w:t>
      </w:r>
      <w:r>
        <w:rPr>
          <w:rFonts w:ascii="Times New Roman" w:hAnsi="Times New Roman"/>
          <w:sz w:val="20"/>
        </w:rPr>
        <w:t>143</w:t>
      </w:r>
      <w:r>
        <w:rPr/>
        <w:t xml:space="preserve"> </w:t>
      </w:r>
      <w:r>
        <w:rPr>
          <w:sz w:val="20"/>
        </w:rPr>
        <w:t xml:space="preserve">countries, with money transfer delivery completed in 207 countries and territories. The initiation of a consumer money transfer occurs through retail agents, Company-owned stores or online, while the delivery of money transfers can occur with bank correspondents, retailer agents or from certain ATMs. Our websites, and mobile wallet apps, allow consumers to send funds online, using a bank account or credit or debit card, for pay-out directly to a bank account or for cash pickup.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In addition, we provide global account-to-account money transfer services under the brand name Xe. We offer money transfer services via our website (www.xe.com) and Xe app and through customer service representatives. Xe also provides foreign currency exchange information on its currency data websites (www.xe.com and www.x-rates.com). Through Xe, we offer cash management solutions and foreign currency risk management services to small-and-medium-sized businesses.</w:t>
      </w:r>
    </w:p>
    <w:p>
      <w:pPr>
        <w:pStyle w:val="TextBody"/>
        <w:bidi w:val="0"/>
        <w:spacing w:lineRule="atLeast" w:line="240" w:before="0" w:after="0"/>
        <w:jc w:val="both"/>
        <w:rPr/>
      </w:pPr>
      <w:r>
        <w:rPr/>
        <w:t> </w:t>
      </w:r>
    </w:p>
    <w:p>
      <w:pPr>
        <w:pStyle w:val="TextBody"/>
        <w:bidi w:val="0"/>
        <w:spacing w:lineRule="atLeast" w:line="240" w:before="0" w:after="200"/>
        <w:jc w:val="both"/>
        <w:rPr/>
      </w:pPr>
      <w:r>
        <w:rPr>
          <w:sz w:val="20"/>
        </w:rPr>
        <w:t>Lastly, under the</w:t>
      </w:r>
      <w:r>
        <w:rPr/>
        <w:t> </w:t>
      </w:r>
      <w:r>
        <w:rPr>
          <w:sz w:val="20"/>
        </w:rPr>
        <w:t>brand "Dandelion", Ria offers payment processing services to third-party partners.</w:t>
      </w:r>
      <w:r>
        <w:rPr/>
        <w:t> </w:t>
      </w:r>
      <w:r>
        <w:rPr>
          <w:sz w:val="20"/>
        </w:rPr>
        <w:t>Dandelion is a leading real-time, global cross-border payment platform; it offers consumer and business transaction processing and fulfillment with alternative payout channels like bank accounts, cash pick-up and mobile wallets. Dandelion powers cross-border payments for Xe, Ria, as well as third party banks, fintechs, and big tech platforms.</w:t>
      </w:r>
      <w:r>
        <w:rPr/>
        <w:t> </w:t>
      </w:r>
    </w:p>
    <w:p>
      <w:pPr>
        <w:pStyle w:val="TextBody"/>
        <w:bidi w:val="0"/>
        <w:spacing w:lineRule="atLeast" w:line="240" w:before="200" w:after="200"/>
        <w:jc w:val="both"/>
        <w:rPr/>
      </w:pPr>
      <w:r>
        <w:rPr>
          <w:sz w:val="20"/>
        </w:rPr>
        <w:t>We monitor the number of transactions made through our money transfer networks. The number of transactions processed on our network has increased over the last five years at a CAGR of approximately</w:t>
      </w:r>
      <w:r>
        <w:rPr/>
        <w:t> </w:t>
      </w:r>
      <w:r>
        <w:rPr>
          <w:rFonts w:ascii="Times New Roman" w:hAnsi="Times New Roman"/>
          <w:sz w:val="20"/>
        </w:rPr>
        <w:t>7.9</w:t>
      </w:r>
      <w:r>
        <w:rPr>
          <w:sz w:val="20"/>
        </w:rPr>
        <w:t>%</w:t>
      </w:r>
      <w:r>
        <w:rPr/>
        <w:t> </w:t>
      </w:r>
      <w:r>
        <w:rPr>
          <w:sz w:val="20"/>
        </w:rPr>
        <w:t>as indicated in the following table:</w:t>
      </w:r>
    </w:p>
    <w:tbl>
      <w:tblPr>
        <w:tblW w:w="5415" w:type="dxa"/>
        <w:jc w:val="left"/>
        <w:tblInd w:w="0" w:type="dxa"/>
        <w:tblLayout w:type="fixed"/>
        <w:tblCellMar>
          <w:top w:w="0" w:type="dxa"/>
          <w:left w:w="0" w:type="dxa"/>
          <w:bottom w:w="0" w:type="dxa"/>
          <w:right w:w="0" w:type="dxa"/>
        </w:tblCellMar>
      </w:tblPr>
      <w:tblGrid>
        <w:gridCol w:w="2975"/>
        <w:gridCol w:w="485"/>
        <w:gridCol w:w="485"/>
        <w:gridCol w:w="485"/>
        <w:gridCol w:w="485"/>
        <w:gridCol w:w="500"/>
      </w:tblGrid>
      <w:tr>
        <w:trPr/>
        <w:tc>
          <w:tcPr>
            <w:tcW w:w="2975" w:type="dxa"/>
            <w:tcBorders/>
            <w:vAlign w:val="center"/>
          </w:tcPr>
          <w:p>
            <w:pPr>
              <w:pStyle w:val="TableContents"/>
              <w:bidi w:val="0"/>
              <w:spacing w:before="0" w:after="0"/>
              <w:jc w:val="left"/>
              <w:rPr>
                <w:rFonts w:ascii="Times New Roman" w:hAnsi="Times New Roman"/>
                <w:sz w:val="16"/>
                <w:u w:val="single"/>
              </w:rPr>
            </w:pPr>
            <w:r>
              <w:rPr>
                <w:rFonts w:ascii="Times New Roman" w:hAnsi="Times New Roman"/>
                <w:sz w:val="16"/>
                <w:u w:val="single"/>
              </w:rPr>
              <w:t>(in millions)</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2021</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2022</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2023</w:t>
            </w:r>
          </w:p>
        </w:tc>
        <w:tc>
          <w:tcPr>
            <w:tcW w:w="485"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2024</w:t>
            </w:r>
          </w:p>
        </w:tc>
        <w:tc>
          <w:tcPr>
            <w:tcW w:w="500" w:type="dxa"/>
            <w:tcBorders/>
            <w:vAlign w:val="center"/>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2025</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 transactions per year</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135.1</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147.9</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161.7</w:t>
            </w:r>
          </w:p>
        </w:tc>
        <w:tc>
          <w:tcPr>
            <w:tcW w:w="48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176.9</w:t>
            </w:r>
          </w:p>
        </w:tc>
        <w:tc>
          <w:tcPr>
            <w:tcW w:w="50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183.4</w:t>
            </w:r>
          </w:p>
        </w:tc>
      </w:tr>
    </w:tbl>
    <w:p>
      <w:pPr>
        <w:pStyle w:val="TextBody"/>
        <w:bidi w:val="0"/>
        <w:spacing w:lineRule="atLeast" w:line="220" w:before="0" w:after="0"/>
        <w:jc w:val="both"/>
        <w:rPr/>
      </w:pPr>
      <w:r>
        <w:rPr/>
        <w:t> </w:t>
      </w:r>
    </w:p>
    <w:p>
      <w:pPr>
        <w:pStyle w:val="TextBody"/>
        <w:bidi w:val="0"/>
        <w:spacing w:lineRule="atLeast" w:line="240" w:before="0" w:after="0"/>
        <w:jc w:val="both"/>
        <w:rPr/>
      </w:pPr>
      <w:r>
        <w:rPr>
          <w:sz w:val="20"/>
        </w:rPr>
        <w:t>Our sending agent network includes a variety of agents, including Walmart, large/medium size regional retailers, convenience stores, bodegas, multi-service shops and phone centers, which are predominantly found in areas with a</w:t>
      </w:r>
      <w:r>
        <w:rPr/>
        <w:t> </w:t>
      </w:r>
      <w:r>
        <w:rPr>
          <w:sz w:val="20"/>
        </w:rPr>
        <w:t>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are one of the largest global money transfer companies measured by revenues and transaction volumes. Our Money Transfer Segment processed approximately $</w:t>
      </w:r>
      <w:r>
        <w:rPr>
          <w:rFonts w:ascii="Times New Roman" w:hAnsi="Times New Roman"/>
          <w:sz w:val="20"/>
        </w:rPr>
        <w:t>77.6</w:t>
      </w:r>
      <w:r>
        <w:rPr/>
        <w:t xml:space="preserve"> </w:t>
      </w:r>
      <w:r>
        <w:rPr>
          <w:sz w:val="20"/>
        </w:rPr>
        <w:t xml:space="preserve">billion in money transfers in </w:t>
      </w:r>
      <w:r>
        <w:rPr>
          <w:rFonts w:ascii="Times New Roman" w:hAnsi="Times New Roman"/>
          <w:sz w:val="20"/>
        </w:rPr>
        <w:t>2025</w:t>
      </w:r>
      <w:r>
        <w:rPr>
          <w:sz w:val="20"/>
        </w:rPr>
        <w:t>.</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Sources of Revenues</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sz w:val="20"/>
        </w:rPr>
      </w:pPr>
      <w:r>
        <w:rPr>
          <w:sz w:val="20"/>
        </w:rPr>
        <w:t>Revenues in the Money Transfer Segment are primarily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Money Transfer Products and Services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Money transfer products and services are sold primarily through the following channels: at agent locations, Company-owned stores, mobile apps,</w:t>
      </w:r>
      <w:r>
        <w:rPr/>
        <w:t> </w:t>
      </w:r>
      <w:r>
        <w:rPr>
          <w:sz w:val="20"/>
        </w:rPr>
        <w:t>TeleRia</w:t>
      </w:r>
      <w:r>
        <w:rPr/>
        <w:t> </w:t>
      </w:r>
      <w:r>
        <w:rPr>
          <w:sz w:val="20"/>
        </w:rPr>
        <w:t>phone, and on internet enabled devices at riamoneytransfer.com</w:t>
      </w:r>
      <w:r>
        <w:rPr/>
        <w:t> </w:t>
      </w:r>
      <w:r>
        <w:rPr>
          <w:sz w:val="20"/>
        </w:rPr>
        <w:t>and xe.com.</w:t>
      </w:r>
      <w:r>
        <w:rPr/>
        <w:t> </w:t>
      </w:r>
      <w:r>
        <w:rPr>
          <w:sz w:val="20"/>
        </w:rPr>
        <w:t xml:space="preserve">In an online transaction, customers send funds, using a bank account or credit or debit card, for pay-out at most of our agent locations around the world or directly to a bank account.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In addition to money transfers, Ria also offers customers bill payment services, payment alternatives such as money orders, comprehensive check cashing services for a wide variety of issued checks, along with competitive foreign currency exchange services and mobile top-up. Our bill payment services offer timely posting of customer bills for approximately 8,000 companies, including electric and gas utilities and telephone/wireless companies. These services are all offered through our Company-owned stores while select services are offered through our agents in certain markets.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Under the brand "Dandelion", Ria offers payment processing services to third party partners.</w:t>
      </w:r>
      <w:r>
        <w:rPr/>
        <w:t> </w:t>
      </w:r>
      <w:r>
        <w:rPr>
          <w:sz w:val="20"/>
        </w:rPr>
        <w:t>The Dandelion cross-border payments platform provides financial institutions,</w:t>
      </w:r>
      <w:r>
        <w:rPr/>
        <w:t> </w:t>
      </w:r>
      <w:r>
        <w:rPr>
          <w:sz w:val="20"/>
        </w:rPr>
        <w:t>fintechs</w:t>
      </w:r>
      <w:r>
        <w:rPr/>
        <w:t> </w:t>
      </w:r>
      <w:r>
        <w:rPr>
          <w:sz w:val="20"/>
        </w:rPr>
        <w:t>such as digital wallets and banks, and enterprise software companies access to</w:t>
      </w:r>
      <w:r>
        <w:rPr/>
        <w:t> </w:t>
      </w:r>
      <w:r>
        <w:rPr>
          <w:sz w:val="20"/>
        </w:rPr>
        <w:t>Euronet's</w:t>
      </w:r>
      <w:r>
        <w:rPr/>
        <w:t> </w:t>
      </w:r>
      <w:r>
        <w:rPr>
          <w:sz w:val="20"/>
        </w:rPr>
        <w:t>money transfer network through an API connection.</w:t>
      </w:r>
      <w:r>
        <w:rPr/>
        <w:t> </w:t>
      </w:r>
      <w:r>
        <w:rPr>
          <w:sz w:val="20"/>
        </w:rPr>
        <w:t xml:space="preserve">This enables these companies to build financial solutions with real-time payment capabilities to the more than </w:t>
      </w:r>
      <w:r>
        <w:rPr>
          <w:rFonts w:ascii="Times New Roman" w:hAnsi="Times New Roman"/>
          <w:sz w:val="20"/>
        </w:rPr>
        <w:t>639,000</w:t>
      </w:r>
      <w:r>
        <w:rPr/>
        <w:t xml:space="preserve"> </w:t>
      </w:r>
      <w:r>
        <w:rPr>
          <w:sz w:val="20"/>
        </w:rPr>
        <w:t>cash pick up locations, 4.1</w:t>
      </w:r>
      <w:r>
        <w:rPr/>
        <w:t> </w:t>
      </w:r>
      <w:r>
        <w:rPr>
          <w:sz w:val="20"/>
        </w:rPr>
        <w:t>billion bank accounts, 3.7</w:t>
      </w:r>
      <w:r>
        <w:rPr/>
        <w:t> </w:t>
      </w:r>
      <w:r>
        <w:rPr>
          <w:sz w:val="20"/>
        </w:rPr>
        <w:t>billion digital wallet accounts and 4.0 billion Visa® debit cards via Visa Direct® the</w:t>
      </w:r>
      <w:r>
        <w:rPr/>
        <w:t> </w:t>
      </w:r>
      <w:r>
        <w:rPr>
          <w:sz w:val="20"/>
        </w:rPr>
        <w:t>Euronet</w:t>
      </w:r>
      <w:r>
        <w:rPr/>
        <w:t> </w:t>
      </w:r>
      <w:r>
        <w:rPr>
          <w:sz w:val="20"/>
        </w:rPr>
        <w:t>money transfer network reaches.</w:t>
      </w:r>
    </w:p>
    <w:p>
      <w:pPr>
        <w:pStyle w:val="TextBody"/>
        <w:bidi w:val="0"/>
        <w:spacing w:lineRule="atLeast" w:line="240" w:before="200" w:after="0"/>
        <w:jc w:val="both"/>
        <w:rPr>
          <w:sz w:val="20"/>
        </w:rPr>
      </w:pPr>
      <w:r>
        <w:rPr>
          <w:sz w:val="20"/>
        </w:rPr>
        <w:t>Xe offers an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Money Transfer Segment Strategy</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Money Transfer Segment's strategy is to increase the volume of money transfers processed by leveraging our existing banking and merchant/retailer relationships to expand</w:t>
      </w:r>
      <w:r>
        <w:rPr/>
        <w:t> </w:t>
      </w:r>
      <w:r>
        <w:rPr>
          <w:sz w:val="20"/>
        </w:rPr>
        <w:t>direct to consumer digital products, and Dandelion’s wholesale products through its</w:t>
      </w:r>
      <w:r>
        <w:rPr/>
        <w:t> </w:t>
      </w:r>
      <w:r>
        <w:rPr>
          <w:sz w:val="20"/>
        </w:rPr>
        <w:t>agent and correspondent networks in existing corridors. In addition, we pursue expansion into high-potential money transfer corridors from the U.S. and internationally beyond the traditional U.S. to Mexico corridor. Further, we expect to continue to take advantage of</w:t>
      </w:r>
      <w:r>
        <w:rPr/>
        <w:t> </w:t>
      </w:r>
      <w:r>
        <w:rPr>
          <w:sz w:val="20"/>
        </w:rPr>
        <w:t>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Seasonality</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xml:space="preserve">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Significant Customers and Government Contracts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Competition</w:t>
      </w:r>
    </w:p>
    <w:p>
      <w:pPr>
        <w:pStyle w:val="TextBody"/>
        <w:bidi w:val="0"/>
        <w:spacing w:lineRule="atLeast" w:line="240" w:before="0" w:after="0"/>
        <w:jc w:val="left"/>
        <w:rPr/>
      </w:pPr>
      <w:r>
        <w:rPr/>
        <w:t> </w:t>
      </w:r>
    </w:p>
    <w:p>
      <w:pPr>
        <w:pStyle w:val="TextBody"/>
        <w:bidi w:val="0"/>
        <w:spacing w:lineRule="atLeast" w:line="240" w:before="0" w:after="0"/>
        <w:jc w:val="both"/>
        <w:rPr>
          <w:sz w:val="20"/>
        </w:rPr>
      </w:pPr>
      <w:r>
        <w:rPr>
          <w:sz w:val="20"/>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Money Transfer Segment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web-based services, mobile apps, and digital currencies. Our continued growth also depends upon our ability to compete effectively with these alternative technologies.</w:t>
      </w:r>
    </w:p>
    <w:p>
      <w:pPr>
        <w:pStyle w:val="TextBody"/>
        <w:bidi w:val="0"/>
        <w:spacing w:lineRule="atLeast" w:line="240" w:before="200" w:after="0"/>
        <w:jc w:val="center"/>
        <w:rPr>
          <w:b/>
          <w:sz w:val="20"/>
        </w:rPr>
      </w:pPr>
      <w:r>
        <w:rPr>
          <w:b/>
          <w:sz w:val="20"/>
        </w:rPr>
        <w:t>Employees</w:t>
      </w:r>
    </w:p>
    <w:p>
      <w:pPr>
        <w:pStyle w:val="TextBody"/>
        <w:bidi w:val="0"/>
        <w:spacing w:lineRule="atLeast" w:line="240" w:before="0" w:after="0"/>
        <w:jc w:val="center"/>
        <w:rPr/>
      </w:pPr>
      <w:r>
        <w:rPr/>
        <w:t> </w:t>
      </w:r>
    </w:p>
    <w:p>
      <w:pPr>
        <w:pStyle w:val="TextBody"/>
        <w:bidi w:val="0"/>
        <w:spacing w:lineRule="atLeast" w:line="240" w:before="0" w:after="0"/>
        <w:jc w:val="both"/>
        <w:rPr/>
      </w:pPr>
      <w:r>
        <w:rPr>
          <w:sz w:val="20"/>
        </w:rPr>
        <w:t xml:space="preserve">We had approximately </w:t>
      </w:r>
      <w:r>
        <w:rPr>
          <w:rFonts w:ascii="Times New Roman" w:hAnsi="Times New Roman"/>
          <w:sz w:val="20"/>
        </w:rPr>
        <w:t>10,800</w:t>
      </w:r>
      <w:r>
        <w:rPr>
          <w:sz w:val="20"/>
        </w:rPr>
        <w:t xml:space="preserve">, </w:t>
      </w:r>
      <w:r>
        <w:rPr>
          <w:rFonts w:ascii="Times New Roman" w:hAnsi="Times New Roman"/>
          <w:sz w:val="20"/>
        </w:rPr>
        <w:t>10,600</w:t>
      </w:r>
      <w:r>
        <w:rPr/>
        <w:t xml:space="preserve"> </w:t>
      </w:r>
      <w:r>
        <w:rPr>
          <w:sz w:val="20"/>
        </w:rPr>
        <w:t>and</w:t>
      </w:r>
      <w:r>
        <w:rPr/>
        <w:t> </w:t>
      </w:r>
      <w:r>
        <w:rPr>
          <w:rFonts w:ascii="Times New Roman" w:hAnsi="Times New Roman"/>
          <w:sz w:val="20"/>
        </w:rPr>
        <w:t>10,000</w:t>
      </w:r>
      <w:r>
        <w:rPr/>
        <w:t xml:space="preserve"> </w:t>
      </w:r>
      <w:r>
        <w:rPr>
          <w:sz w:val="20"/>
        </w:rPr>
        <w:t xml:space="preserve">employees as of </w:t>
      </w:r>
      <w:r>
        <w:rPr>
          <w:rFonts w:ascii="Times New Roman" w:hAnsi="Times New Roman"/>
          <w:sz w:val="20"/>
        </w:rPr>
        <w:t>December 31, 2025</w:t>
      </w:r>
      <w:r>
        <w:rPr>
          <w:sz w:val="20"/>
        </w:rPr>
        <w:t xml:space="preserve">, </w:t>
      </w:r>
      <w:r>
        <w:rPr>
          <w:rFonts w:ascii="Times New Roman" w:hAnsi="Times New Roman"/>
          <w:sz w:val="20"/>
        </w:rPr>
        <w:t>2024</w:t>
      </w:r>
      <w:r>
        <w:rPr>
          <w:sz w:val="20"/>
        </w:rPr>
        <w:t xml:space="preserve">, and </w:t>
      </w:r>
      <w:r>
        <w:rPr>
          <w:rFonts w:ascii="Times New Roman" w:hAnsi="Times New Roman"/>
          <w:sz w:val="20"/>
        </w:rPr>
        <w:t>2023</w:t>
      </w:r>
      <w:r>
        <w:rPr>
          <w:sz w:val="20"/>
        </w:rPr>
        <w:t xml:space="preserve">,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w:t>
      </w:r>
      <w:r>
        <w:rPr>
          <w:rFonts w:ascii="Times New Roman" w:hAnsi="Times New Roman"/>
          <w:sz w:val="20"/>
        </w:rPr>
        <w:t>2025</w:t>
      </w:r>
      <w:r>
        <w:rPr/>
        <w:t xml:space="preserve"> </w:t>
      </w:r>
      <w:r>
        <w:rPr>
          <w:sz w:val="20"/>
        </w:rPr>
        <w:t>and we consider relations with our employees to be good.</w:t>
      </w:r>
    </w:p>
    <w:p>
      <w:pPr>
        <w:pStyle w:val="TextBody"/>
        <w:bidi w:val="0"/>
        <w:spacing w:lineRule="atLeast" w:line="220" w:before="0" w:after="0"/>
        <w:jc w:val="both"/>
        <w:rPr/>
      </w:pPr>
      <w:r>
        <w:rPr/>
        <w:t> </w:t>
      </w:r>
    </w:p>
    <w:p>
      <w:pPr>
        <w:pStyle w:val="TextBody"/>
        <w:bidi w:val="0"/>
        <w:spacing w:lineRule="atLeast" w:line="240" w:before="0" w:after="0"/>
        <w:jc w:val="center"/>
        <w:rPr>
          <w:b/>
          <w:sz w:val="20"/>
        </w:rPr>
      </w:pPr>
      <w:r>
        <w:rPr>
          <w:b/>
          <w:sz w:val="20"/>
        </w:rPr>
        <w:t>Government Regulation</w:t>
      </w:r>
    </w:p>
    <w:p>
      <w:pPr>
        <w:pStyle w:val="TextBody"/>
        <w:bidi w:val="0"/>
        <w:spacing w:lineRule="atLeast" w:line="200" w:before="0" w:after="0"/>
        <w:jc w:val="both"/>
        <w:rPr/>
      </w:pPr>
      <w:r>
        <w:rPr/>
        <w:t> </w:t>
      </w:r>
    </w:p>
    <w:p>
      <w:pPr>
        <w:pStyle w:val="TextBody"/>
        <w:bidi w:val="0"/>
        <w:spacing w:lineRule="atLeast" w:line="240" w:before="0" w:after="0"/>
        <w:jc w:val="both"/>
        <w:rPr/>
      </w:pPr>
      <w:r>
        <w:rPr>
          <w:sz w:val="20"/>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and sanctions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mobile apps or online. For more discussion, see Item 1A - Risk Factors.</w:t>
      </w:r>
      <w:r>
        <w:rPr/>
        <w:t>   </w:t>
      </w:r>
    </w:p>
    <w:p>
      <w:pPr>
        <w:pStyle w:val="TextBody"/>
        <w:bidi w:val="0"/>
        <w:spacing w:lineRule="atLeast" w:line="200" w:before="0" w:after="0"/>
        <w:jc w:val="both"/>
        <w:rPr/>
      </w:pPr>
      <w:r>
        <w:rPr/>
        <w:t> </w:t>
      </w:r>
    </w:p>
    <w:p>
      <w:pPr>
        <w:pStyle w:val="TextBody"/>
        <w:bidi w:val="0"/>
        <w:spacing w:lineRule="atLeast" w:line="240" w:before="0" w:after="0"/>
        <w:jc w:val="both"/>
        <w:rPr>
          <w:sz w:val="20"/>
        </w:rPr>
      </w:pPr>
      <w:r>
        <w:rPr>
          <w:sz w:val="20"/>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pStyle w:val="TextBody"/>
        <w:bidi w:val="0"/>
        <w:spacing w:lineRule="atLeast" w:line="200" w:before="0" w:after="0"/>
        <w:jc w:val="both"/>
        <w:rPr/>
      </w:pPr>
      <w:r>
        <w:rPr/>
        <w:t> </w:t>
      </w:r>
    </w:p>
    <w:p>
      <w:pPr>
        <w:pStyle w:val="TextBody"/>
        <w:bidi w:val="0"/>
        <w:spacing w:lineRule="atLeast" w:line="240" w:before="0" w:after="0"/>
        <w:jc w:val="both"/>
        <w:rPr>
          <w:sz w:val="20"/>
        </w:rPr>
      </w:pPr>
      <w:r>
        <w:rPr>
          <w:sz w:val="20"/>
        </w:rPr>
        <w:t>Certain of our European product offerings, including in particular our money transfer services, merchant acquiring, and bill payment products, are regulated payment services requiring a license under the Second Payment Services Directive (PSD2).</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sz w:val="20"/>
        </w:rPr>
        <w:t>PSD2 requires a license to perform certain defined "payment services" in a European Economic Area (“EEA”) Member State and such license may be extended throughout other Member States of the EEA through passporting of the license (either on a freedom of service or freedom of establishment basis).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Greece and Spain and are complying with these requirements. We passported our U.K., German, and Spanish payment services authorizations to several EEA Member States. As a result of Brexit, our U.K, payment institution is no longer capable of passporting its license into the EEA and the relevant EEA business was transferred to our other licenses prior to the end of the Brexit transition period. Additionally, in the U.K., we have obtained an e-money license. The e-money license allows Euronet to issue e-money and provide the same payment services as a PSD2 licensee.</w:t>
      </w:r>
      <w:r>
        <w:rPr/>
        <w:t> </w:t>
      </w:r>
      <w:r>
        <w:rPr>
          <w:sz w:val="20"/>
        </w:rPr>
        <w:t>The e-money license imposes certain requirements similar to those of the payment services license, including minimum capital requirements, consumer disclosure and internal controls.</w:t>
      </w:r>
      <w:r>
        <w:rPr/>
        <w:t> </w:t>
      </w:r>
    </w:p>
    <w:p>
      <w:pPr>
        <w:pStyle w:val="TextBody"/>
        <w:bidi w:val="0"/>
        <w:spacing w:lineRule="atLeast" w:line="200" w:before="0" w:after="0"/>
        <w:jc w:val="both"/>
        <w:rPr/>
      </w:pPr>
      <w:r>
        <w:rPr/>
        <w:t> </w:t>
      </w:r>
    </w:p>
    <w:p>
      <w:pPr>
        <w:pStyle w:val="TextBody"/>
        <w:bidi w:val="0"/>
        <w:spacing w:lineRule="atLeast" w:line="240" w:before="0" w:after="0"/>
        <w:jc w:val="both"/>
        <w:rPr>
          <w:b/>
          <w:sz w:val="20"/>
        </w:rPr>
      </w:pPr>
      <w:r>
        <w:rPr>
          <w:b/>
          <w:sz w:val="20"/>
        </w:rPr>
        <w:t>Money Transfer and Payment Instrument Licensing</w:t>
      </w:r>
    </w:p>
    <w:p>
      <w:pPr>
        <w:pStyle w:val="TextBody"/>
        <w:bidi w:val="0"/>
        <w:spacing w:lineRule="atLeast" w:line="200" w:before="0" w:after="0"/>
        <w:jc w:val="both"/>
        <w:rPr/>
      </w:pPr>
      <w:r>
        <w:rPr/>
        <w:t> </w:t>
      </w:r>
    </w:p>
    <w:p>
      <w:pPr>
        <w:pStyle w:val="TextBody"/>
        <w:bidi w:val="0"/>
        <w:spacing w:lineRule="atLeast" w:line="240" w:before="0" w:after="200"/>
        <w:jc w:val="both"/>
        <w:rPr/>
      </w:pPr>
      <w:r>
        <w:rPr>
          <w:sz w:val="20"/>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w:t>
      </w:r>
      <w:r>
        <w:rPr/>
        <w:t> </w:t>
      </w:r>
      <w:r>
        <w:rPr>
          <w:sz w:val="20"/>
        </w:rPr>
        <w:t>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pStyle w:val="TextBody"/>
        <w:bidi w:val="0"/>
        <w:spacing w:lineRule="atLeast" w:line="240" w:before="200" w:after="200"/>
        <w:jc w:val="both"/>
        <w:rPr>
          <w:sz w:val="20"/>
        </w:rPr>
      </w:pPr>
      <w:r>
        <w:rPr>
          <w:sz w:val="20"/>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pStyle w:val="TextBody"/>
        <w:bidi w:val="0"/>
        <w:spacing w:lineRule="atLeast" w:line="240" w:before="0" w:after="160"/>
        <w:jc w:val="both"/>
        <w:rPr>
          <w:sz w:val="20"/>
        </w:rPr>
      </w:pPr>
      <w:r>
        <w:rPr>
          <w:sz w:val="20"/>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pStyle w:val="TextBody"/>
        <w:bidi w:val="0"/>
        <w:spacing w:lineRule="atLeast" w:line="240" w:before="0" w:after="200"/>
        <w:jc w:val="both"/>
        <w:rPr>
          <w:sz w:val="20"/>
        </w:rPr>
      </w:pPr>
      <w:r>
        <w:rPr>
          <w:sz w:val="20"/>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pStyle w:val="TextBody"/>
        <w:bidi w:val="0"/>
        <w:spacing w:lineRule="atLeast" w:line="240" w:before="0" w:after="200"/>
        <w:jc w:val="both"/>
        <w:rPr>
          <w:b/>
          <w:sz w:val="20"/>
        </w:rPr>
      </w:pPr>
      <w:r>
        <w:rPr>
          <w:b/>
          <w:sz w:val="20"/>
        </w:rPr>
        <w:t>Escheat Regulations</w:t>
      </w:r>
    </w:p>
    <w:p>
      <w:pPr>
        <w:pStyle w:val="TextBody"/>
        <w:bidi w:val="0"/>
        <w:spacing w:lineRule="atLeast" w:line="240" w:before="0" w:after="160"/>
        <w:jc w:val="both"/>
        <w:rPr>
          <w:sz w:val="20"/>
        </w:rPr>
      </w:pPr>
      <w:r>
        <w:rPr>
          <w:sz w:val="20"/>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pStyle w:val="TextBody"/>
        <w:bidi w:val="0"/>
        <w:spacing w:lineRule="atLeast" w:line="240" w:before="0" w:after="160"/>
        <w:jc w:val="both"/>
        <w:rPr>
          <w:b/>
          <w:sz w:val="20"/>
        </w:rPr>
      </w:pPr>
      <w:r>
        <w:rPr>
          <w:b/>
          <w:sz w:val="20"/>
        </w:rPr>
        <w:t>Privacy and Information Security Regulations</w:t>
      </w:r>
    </w:p>
    <w:p>
      <w:pPr>
        <w:pStyle w:val="TextBody"/>
        <w:bidi w:val="0"/>
        <w:spacing w:lineRule="atLeast" w:line="240" w:before="0" w:after="200"/>
        <w:jc w:val="both"/>
        <w:rPr/>
      </w:pPr>
      <w:r>
        <w:rPr>
          <w:sz w:val="20"/>
        </w:rPr>
        <w:t>Our operations involve the collection and storage of certain types of personal customer</w:t>
      </w:r>
      <w:r>
        <w:rPr/>
        <w:t> </w:t>
      </w:r>
      <w:r>
        <w:rPr>
          <w:sz w:val="20"/>
        </w:rPr>
        <w:t>data that are subject to privacy and security laws in the U.S. and abroad. In the United States, we are subject to the Gramm-Leach-Bliley Act ("GLBA") and various state laws including California Consumer Privacy Act ("CCPA") and California Financial Information Privacy Act, which require that financial institutions have in place policies regarding the collection, processing, storage, and disclosure of information considered nonpublic personal information. Laws in other countries include the E.U.'s General Data Protection Regulation (2016/679) ("GDPR"), as well as the laws of other countries.</w:t>
      </w:r>
      <w:r>
        <w:rPr/>
        <w:t> </w:t>
      </w:r>
      <w:r>
        <w:rPr>
          <w:sz w:val="20"/>
        </w:rPr>
        <w:t>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pPr>
      <w:r>
        <w:rPr>
          <w:sz w:val="20"/>
        </w:rPr>
        <w:t>We comply with the GLBA and applicable state privacy provisions. 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w:t>
      </w:r>
      <w:r>
        <w:rPr/>
        <w:t> </w:t>
      </w:r>
      <w:r>
        <w:rPr>
          <w:sz w:val="20"/>
        </w:rPr>
        <w:t>II" decision). Despite the July 2020 ruling of the European Court of Justice, we believe we remain in compliance with E.U. regulations regarding the transfer of personal data to the United States and other jurisdictions.</w:t>
      </w:r>
    </w:p>
    <w:p>
      <w:pPr>
        <w:pStyle w:val="TextBody"/>
        <w:bidi w:val="0"/>
        <w:spacing w:lineRule="atLeast" w:line="240" w:before="200" w:after="200"/>
        <w:jc w:val="both"/>
        <w:rPr>
          <w:sz w:val="20"/>
        </w:rPr>
      </w:pPr>
      <w:r>
        <w:rPr>
          <w:sz w:val="20"/>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pStyle w:val="TextBody"/>
        <w:bidi w:val="0"/>
        <w:spacing w:lineRule="atLeast" w:line="240" w:before="200" w:after="200"/>
        <w:jc w:val="both"/>
        <w:rPr>
          <w:b/>
          <w:sz w:val="20"/>
        </w:rPr>
      </w:pPr>
      <w:r>
        <w:rPr>
          <w:b/>
          <w:sz w:val="20"/>
        </w:rPr>
        <w:t>Anti-corruption and Bribery</w:t>
      </w:r>
    </w:p>
    <w:p>
      <w:pPr>
        <w:pStyle w:val="TextBody"/>
        <w:bidi w:val="0"/>
        <w:spacing w:lineRule="atLeast" w:line="240" w:before="200" w:after="200"/>
        <w:jc w:val="both"/>
        <w:rPr/>
      </w:pPr>
      <w:r>
        <w:rPr>
          <w:sz w:val="20"/>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w:t>
      </w:r>
      <w:r>
        <w:rPr/>
        <w:t> </w:t>
      </w:r>
      <w:r>
        <w:rPr>
          <w:sz w:val="20"/>
        </w:rPr>
        <w:t>The anti-corruption provisions of the FCPA are enforced by the United States Department of Justice.</w:t>
      </w:r>
      <w:r>
        <w:rPr/>
        <w:t> </w:t>
      </w:r>
      <w:r>
        <w:rPr>
          <w:sz w:val="20"/>
        </w:rPr>
        <w:t>In addition, the Securities and Exchange Commission ("SEC") requires strict compliance with certain accounting and internal control standards set forth under the FCPA.</w:t>
      </w:r>
      <w:r>
        <w:rPr/>
        <w:t> </w:t>
      </w:r>
      <w:r>
        <w:rPr>
          <w:sz w:val="20"/>
        </w:rPr>
        <w:t>Because our services are offered in many countries throughout the world and we do business with a number of banks and other financial institutions owned or controlled by foreign governments,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w:t>
      </w:r>
      <w:r>
        <w:rPr/>
        <w:t> </w:t>
      </w:r>
      <w:r>
        <w:rPr>
          <w:sz w:val="20"/>
        </w:rPr>
        <w:t>Such penalties could have a material adverse effect on our business, financial condition, and results of operations.</w:t>
      </w:r>
    </w:p>
    <w:p>
      <w:pPr>
        <w:pStyle w:val="TextBody"/>
        <w:bidi w:val="0"/>
        <w:spacing w:lineRule="atLeast" w:line="288" w:before="200" w:after="200"/>
        <w:jc w:val="both"/>
        <w:rPr/>
      </w:pPr>
      <w:r>
        <w:rPr>
          <w:b/>
          <w:sz w:val="20"/>
        </w:rPr>
        <w:t>Sanctions</w:t>
      </w:r>
      <w:r>
        <w:rPr/>
        <w:t> </w:t>
      </w:r>
      <w:r>
        <w:rPr>
          <w:b/>
          <w:sz w:val="20"/>
        </w:rPr>
        <w:t>Compliance</w:t>
      </w:r>
    </w:p>
    <w:p>
      <w:pPr>
        <w:pStyle w:val="TextBody"/>
        <w:bidi w:val="0"/>
        <w:spacing w:lineRule="atLeast" w:line="240" w:before="0" w:after="0"/>
        <w:jc w:val="both"/>
        <w:rPr/>
      </w:pPr>
      <w:r>
        <w:rPr>
          <w:sz w:val="20"/>
        </w:rPr>
        <w:t>In addition to anti-money laundering laws and regulations, our products and services are subject to economic and trade sanctions laws and regulations promulgated by OFAC and other jurisdictions in which our products and services are offered.</w:t>
      </w:r>
      <w:r>
        <w:rPr/>
        <w:t xml:space="preserve">  </w:t>
      </w:r>
      <w:r>
        <w:rPr>
          <w:sz w:val="20"/>
        </w:rPr>
        <w:t>The sanctions laws and regulations prohibit or restrict transactions to or from (or dealings with or involving) certain countries, regions, governments, and in certain circumstances, specified foreign nationals, as well as with certain individuals and entities such as narcotics traffickers, terrorists, and terrorist organizations. These sanctions laws and regulations require screening of transactions against government watch-lists, including but not limited to, the watch-lists maintained by OFAC, and include transactional and other reporting to government agencies.</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Compliance Policies and Programs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have developed risk-based policies and programs to comply with existing and new laws, regulations and other</w:t>
      </w:r>
      <w:r>
        <w:rPr/>
        <w:t> </w:t>
      </w:r>
      <w:r>
        <w:rPr>
          <w:sz w:val="20"/>
        </w:rPr>
        <w:t>requirements outlined above, including having dedicated compliance personnel, training programs, automated monitoring systems and support functions for our offices and agents. To assist in managing and monitoring our</w:t>
      </w:r>
      <w:r>
        <w:rPr/>
        <w:t> </w:t>
      </w:r>
      <w:r>
        <w:rPr>
          <w:sz w:val="20"/>
        </w:rPr>
        <w:t>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 as well as our consumer protection policies and procedures.</w:t>
      </w:r>
    </w:p>
    <w:p>
      <w:pPr>
        <w:pStyle w:val="TextBody"/>
        <w:bidi w:val="0"/>
        <w:spacing w:lineRule="atLeast" w:line="240" w:before="0" w:after="0"/>
        <w:jc w:val="center"/>
        <w:rPr/>
      </w:pPr>
      <w:r>
        <w:rPr/>
        <w:br/>
      </w:r>
      <w:r>
        <w:rPr>
          <w:b/>
          <w:sz w:val="20"/>
        </w:rPr>
        <w:t>Intellectual Property</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Each of our three operating segments utilizes intellectual property which is protected in varying degrees by a combination of trademark, patent, and copyright laws, as well as trade secret protection, license, and confidentiality agreements.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brand names of "Ria," "Ria Financial Services," "Ria Envia," "Xe," "Dandelion," derivations of those brand names and certain other brand names, and related logos, are material to our Money Transfer Segment and are registered trademarks and/or service marks in most of the markets in which our Money Transfer Segment operates. Consumer perception of these brand names and logos is important to the growth prospects of our money transfer business. We also hold a U.S. patent on a card-based money transfer and bill payment system that allows transactions to be initiated primarily through POS terminals and integrated cash register systems.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With respect to our EFT Processing Segment, we have registered or applied for registration of our trademarks, including the names "Euronet" and/or our related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 and DCC services.</w:t>
      </w:r>
    </w:p>
    <w:p>
      <w:pPr>
        <w:pStyle w:val="TextBody"/>
        <w:bidi w:val="0"/>
        <w:spacing w:lineRule="atLeast" w:line="240" w:before="200" w:after="0"/>
        <w:jc w:val="both"/>
        <w:rPr>
          <w:sz w:val="20"/>
        </w:rPr>
      </w:pPr>
      <w:r>
        <w:rPr>
          <w:sz w:val="20"/>
        </w:rPr>
        <w:t xml:space="preserve">With respect to our epay Segment, we maintain registered trademarks for the "epay" brand and logo in the U.S., U.K., E.U. (through a Community Trademark application, which provides enforceability of the epay trademark in all member states of the EU), Brazil, Singapore, India, Australia, and New Zealand. We have filed trademark applications for additional iterations of the "epay” brand in India, which are pending.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sz w:val="20"/>
        </w:rPr>
      </w:pPr>
      <w:r>
        <w:rPr>
          <w:sz w:val="20"/>
        </w:rPr>
        <w:t>Additionally, we have filed a trademark application for the “epay” brand with the Madrid Protocol, which, if granted, will simplify the process to extending the international protection of the epay trademark. We cannot be certain that we are entitled to use the epay trademark in any markets other than those in which we have registered the trademark; however, before entering new markets, we conduct searches to understand our usage rights. We have filed patent applications for certain POS top-up and other epay technology. Certain patents have been granted while others have been refused or are still pending. We also hold a patent license covering certain of epay's operations in the U.S.</w:t>
      </w:r>
    </w:p>
    <w:p>
      <w:pPr>
        <w:pStyle w:val="TextBody"/>
        <w:bidi w:val="0"/>
        <w:spacing w:lineRule="atLeast" w:line="240" w:before="0" w:after="0"/>
        <w:jc w:val="both"/>
        <w:rPr>
          <w:sz w:val="20"/>
        </w:rPr>
      </w:pPr>
      <w:r>
        <w:rPr>
          <w:sz w:val="20"/>
        </w:rPr>
        <w:t>Technology in the areas in which we operate is developing very rapidly, and we are aware that many other companies have filed patent applications for products, processes, and services similar to those we provide. The procedures of the U.S. patent office make it difficult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pStyle w:val="TextBody"/>
        <w:bidi w:val="0"/>
        <w:spacing w:lineRule="atLeast" w:line="240" w:before="200" w:after="200"/>
        <w:jc w:val="left"/>
        <w:rPr>
          <w:b/>
          <w:sz w:val="20"/>
        </w:rPr>
      </w:pPr>
      <w:r>
        <w:rPr>
          <w:b/>
          <w:sz w:val="20"/>
        </w:rPr>
        <w:t>Information about our Executive Officers</w:t>
      </w:r>
    </w:p>
    <w:p>
      <w:pPr>
        <w:pStyle w:val="TextBody"/>
        <w:bidi w:val="0"/>
        <w:spacing w:lineRule="atLeast" w:line="240" w:before="0" w:after="200"/>
        <w:jc w:val="both"/>
        <w:rPr/>
      </w:pPr>
      <w:r>
        <w:rPr>
          <w:sz w:val="20"/>
        </w:rPr>
        <w:t xml:space="preserve">The name, age, period of service and position held by each of our Executive Officers as of </w:t>
      </w:r>
      <w:r>
        <w:rPr>
          <w:rFonts w:ascii="Times New Roman" w:hAnsi="Times New Roman"/>
          <w:sz w:val="20"/>
        </w:rPr>
        <w:t>December 31, 2025</w:t>
      </w:r>
      <w:r>
        <w:rPr/>
        <w:t xml:space="preserve"> </w:t>
      </w:r>
      <w:r>
        <w:rPr>
          <w:sz w:val="20"/>
        </w:rPr>
        <w:t>are as follows:</w:t>
      </w:r>
    </w:p>
    <w:tbl>
      <w:tblPr>
        <w:tblW w:w="10205" w:type="dxa"/>
        <w:jc w:val="left"/>
        <w:tblInd w:w="0" w:type="dxa"/>
        <w:tblLayout w:type="fixed"/>
        <w:tblCellMar>
          <w:top w:w="0" w:type="dxa"/>
          <w:left w:w="0" w:type="dxa"/>
          <w:bottom w:w="28" w:type="dxa"/>
          <w:right w:w="0" w:type="dxa"/>
        </w:tblCellMar>
      </w:tblPr>
      <w:tblGrid>
        <w:gridCol w:w="1672"/>
        <w:gridCol w:w="305"/>
        <w:gridCol w:w="1274"/>
        <w:gridCol w:w="6954"/>
      </w:tblGrid>
      <w:tr>
        <w:trPr/>
        <w:tc>
          <w:tcPr>
            <w:tcW w:w="1672"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Name</w:t>
            </w:r>
          </w:p>
        </w:tc>
        <w:tc>
          <w:tcPr>
            <w:tcW w:w="305"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Age</w:t>
            </w:r>
          </w:p>
        </w:tc>
        <w:tc>
          <w:tcPr>
            <w:tcW w:w="1274"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Served Since</w:t>
            </w:r>
          </w:p>
        </w:tc>
        <w:tc>
          <w:tcPr>
            <w:tcW w:w="6954"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Position Held</w:t>
            </w:r>
          </w:p>
        </w:tc>
      </w:tr>
      <w:tr>
        <w:trPr/>
        <w:tc>
          <w:tcPr>
            <w:tcW w:w="1672"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Michael J. Brown</w:t>
            </w:r>
          </w:p>
        </w:tc>
        <w:tc>
          <w:tcPr>
            <w:tcW w:w="305"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w:t>
            </w:r>
          </w:p>
        </w:tc>
        <w:tc>
          <w:tcPr>
            <w:tcW w:w="1274"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July 1994</w:t>
            </w:r>
          </w:p>
        </w:tc>
        <w:tc>
          <w:tcPr>
            <w:tcW w:w="6954"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Chairman, Chief Executive Officer and President</w:t>
            </w:r>
          </w:p>
        </w:tc>
      </w:tr>
      <w:tr>
        <w:trPr/>
        <w:tc>
          <w:tcPr>
            <w:tcW w:w="167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Rick L. Weller</w:t>
            </w:r>
          </w:p>
        </w:tc>
        <w:tc>
          <w:tcPr>
            <w:tcW w:w="305"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68</w:t>
            </w:r>
          </w:p>
        </w:tc>
        <w:tc>
          <w:tcPr>
            <w:tcW w:w="1274"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November 2002</w:t>
            </w:r>
          </w:p>
        </w:tc>
        <w:tc>
          <w:tcPr>
            <w:tcW w:w="695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 Chief Financial Officer</w:t>
            </w:r>
          </w:p>
        </w:tc>
      </w:tr>
      <w:tr>
        <w:trPr/>
        <w:tc>
          <w:tcPr>
            <w:tcW w:w="1672" w:type="dxa"/>
            <w:tcBorders/>
            <w:shd w:fill="CCEEFF" w:val="clear"/>
            <w:tcMar>
              <w:bottom w:w="0" w:type="dxa"/>
            </w:tcMar>
            <w:vAlign w:val="center"/>
          </w:tcPr>
          <w:p>
            <w:pPr>
              <w:pStyle w:val="TableContents"/>
              <w:bidi w:val="0"/>
              <w:spacing w:before="0" w:after="0"/>
              <w:jc w:val="left"/>
              <w:rPr>
                <w:sz w:val="20"/>
              </w:rPr>
            </w:pPr>
            <w:r>
              <w:rPr>
                <w:rFonts w:ascii="Times New Roman" w:hAnsi="Times New Roman"/>
                <w:sz w:val="20"/>
              </w:rPr>
              <w:t>Adam</w:t>
            </w:r>
            <w:r>
              <w:rPr>
                <w:sz w:val="20"/>
              </w:rPr>
              <w:t> </w:t>
            </w:r>
            <w:r>
              <w:rPr>
                <w:rFonts w:ascii="Times New Roman" w:hAnsi="Times New Roman"/>
                <w:sz w:val="20"/>
              </w:rPr>
              <w:t>J.</w:t>
            </w:r>
            <w:r>
              <w:rPr>
                <w:sz w:val="20"/>
              </w:rPr>
              <w:t> </w:t>
            </w:r>
            <w:r>
              <w:rPr>
                <w:rFonts w:ascii="Times New Roman" w:hAnsi="Times New Roman"/>
                <w:sz w:val="20"/>
              </w:rPr>
              <w:t>Godderz</w:t>
            </w:r>
          </w:p>
        </w:tc>
        <w:tc>
          <w:tcPr>
            <w:tcW w:w="30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51</w:t>
            </w:r>
          </w:p>
        </w:tc>
        <w:tc>
          <w:tcPr>
            <w:tcW w:w="1274"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May 2024</w:t>
            </w:r>
          </w:p>
        </w:tc>
        <w:tc>
          <w:tcPr>
            <w:tcW w:w="695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r>
      <w:tr>
        <w:trPr/>
        <w:tc>
          <w:tcPr>
            <w:tcW w:w="167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Kevin J. Caponecchi</w:t>
            </w:r>
          </w:p>
        </w:tc>
        <w:tc>
          <w:tcPr>
            <w:tcW w:w="305"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59</w:t>
            </w:r>
          </w:p>
        </w:tc>
        <w:tc>
          <w:tcPr>
            <w:tcW w:w="1274"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July 2007</w:t>
            </w:r>
          </w:p>
        </w:tc>
        <w:tc>
          <w:tcPr>
            <w:tcW w:w="695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 Chief Executive Officer, epay, Software and EFT Asia Pacific Division</w:t>
            </w:r>
          </w:p>
        </w:tc>
      </w:tr>
      <w:tr>
        <w:trPr/>
        <w:tc>
          <w:tcPr>
            <w:tcW w:w="167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Juan C. Bianchi</w:t>
            </w:r>
          </w:p>
        </w:tc>
        <w:tc>
          <w:tcPr>
            <w:tcW w:w="30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55</w:t>
            </w:r>
          </w:p>
        </w:tc>
        <w:tc>
          <w:tcPr>
            <w:tcW w:w="1274"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April 2007</w:t>
            </w:r>
          </w:p>
        </w:tc>
        <w:tc>
          <w:tcPr>
            <w:tcW w:w="695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 Chief Executive Officer, Money Transfer Segment</w:t>
            </w:r>
          </w:p>
        </w:tc>
      </w:tr>
      <w:tr>
        <w:trPr/>
        <w:tc>
          <w:tcPr>
            <w:tcW w:w="1672"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Nikos Fountas</w:t>
            </w:r>
          </w:p>
        </w:tc>
        <w:tc>
          <w:tcPr>
            <w:tcW w:w="305"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62</w:t>
            </w:r>
          </w:p>
        </w:tc>
        <w:tc>
          <w:tcPr>
            <w:tcW w:w="1274"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September 2009</w:t>
            </w:r>
          </w:p>
        </w:tc>
        <w:tc>
          <w:tcPr>
            <w:tcW w:w="695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 Chief Executive Officer, EFT Europe, Middle East and Africa Division</w:t>
            </w:r>
          </w:p>
        </w:tc>
      </w:tr>
      <w:tr>
        <w:trPr/>
        <w:tc>
          <w:tcPr>
            <w:tcW w:w="1672"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Martin L. Bruckner</w:t>
            </w:r>
          </w:p>
        </w:tc>
        <w:tc>
          <w:tcPr>
            <w:tcW w:w="30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50</w:t>
            </w:r>
          </w:p>
        </w:tc>
        <w:tc>
          <w:tcPr>
            <w:tcW w:w="1274"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January 2014</w:t>
            </w:r>
          </w:p>
        </w:tc>
        <w:tc>
          <w:tcPr>
            <w:tcW w:w="6954"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Senior Vice President - Chief Technology Officer</w:t>
            </w:r>
          </w:p>
        </w:tc>
      </w:tr>
    </w:tbl>
    <w:p>
      <w:pPr>
        <w:pStyle w:val="TextBody"/>
        <w:bidi w:val="0"/>
        <w:spacing w:lineRule="atLeast" w:line="240" w:before="200" w:after="0"/>
        <w:jc w:val="both"/>
        <w:rPr/>
      </w:pPr>
      <w:r>
        <w:rPr>
          <w:sz w:val="20"/>
        </w:rPr>
        <w:t>MICHAEL J. BROWN, Chairman, Chief Executive Officer and President. Mr. Brown</w:t>
      </w:r>
      <w:r>
        <w:rPr/>
        <w:t> </w:t>
      </w:r>
      <w:r>
        <w:rPr>
          <w:sz w:val="20"/>
        </w:rPr>
        <w:t>co-founded Euronet in 1994 and has served as its chief executive officer ever since. He is chairman of Euronet’s board of directors and the Company’s President. An accomplished entrepreneur with 30+ years of combined experience in the computer software and digital payments business, he is actively involved in Euronet's day-to-day operations while overseeing the company’s business strategy, financial performance, and growth across all markets.</w:t>
      </w:r>
      <w:r>
        <w:rPr/>
        <w:t> </w:t>
      </w:r>
      <w:r>
        <w:rPr>
          <w:sz w:val="20"/>
        </w:rPr>
        <w:t>Mr. Brown’s guidance has been instrumental in developing Euronet’s global cash/digital payments network and diverse products and services that provide Euronet with resiliency to changing market conditions and continual year-over-year growth in the global payments marketplace.</w:t>
      </w:r>
      <w:r>
        <w:rPr/>
        <w:t> </w:t>
      </w:r>
      <w:r>
        <w:rPr>
          <w:sz w:val="20"/>
        </w:rPr>
        <w:t>Following early successes in his career with Kansas City-area companies Informix and Visual Tools, Mr. Brown founded Euronet in 1994 in Budapest, Hungary, by installing the first independent, non-bank-owned ATM network in Central Europe.</w:t>
      </w:r>
      <w:r>
        <w:rPr/>
        <w:t> </w:t>
      </w:r>
      <w:r>
        <w:rPr>
          <w:sz w:val="20"/>
        </w:rPr>
        <w:t xml:space="preserve">Guiding the company through several strategic acquisitions and technology endeavors since then, Mr. Brown has grown Euronet to approximately </w:t>
      </w:r>
      <w:r>
        <w:rPr>
          <w:rFonts w:ascii="Times New Roman" w:hAnsi="Times New Roman"/>
          <w:sz w:val="20"/>
        </w:rPr>
        <w:t>10,800</w:t>
      </w:r>
      <w:r>
        <w:rPr/>
        <w:t xml:space="preserve"> </w:t>
      </w:r>
      <w:r>
        <w:rPr>
          <w:sz w:val="20"/>
        </w:rPr>
        <w:t xml:space="preserve">employees and </w:t>
      </w:r>
      <w:r>
        <w:rPr>
          <w:rFonts w:ascii="Times New Roman" w:hAnsi="Times New Roman"/>
          <w:sz w:val="20"/>
        </w:rPr>
        <w:t>72</w:t>
      </w:r>
      <w:r>
        <w:rPr/>
        <w:t xml:space="preserve"> </w:t>
      </w:r>
      <w:r>
        <w:rPr>
          <w:sz w:val="20"/>
        </w:rPr>
        <w:t>offices worldwide. He has also brought financial inclusion and convenience to businesses and consumers through a payments network spanning more than</w:t>
      </w:r>
      <w:r>
        <w:rPr/>
        <w:t> </w:t>
      </w:r>
      <w:r>
        <w:rPr>
          <w:sz w:val="20"/>
        </w:rPr>
        <w:t>200 countries and territories. A lifelong Kansas Citian, Mr. Brown is an active supporter and past and present board member of many Kansas City-area charities.</w:t>
      </w:r>
    </w:p>
    <w:p>
      <w:pPr>
        <w:pStyle w:val="TextBody"/>
        <w:bidi w:val="0"/>
        <w:spacing w:lineRule="atLeast" w:line="240" w:before="200" w:after="200"/>
        <w:jc w:val="both"/>
        <w:rPr>
          <w:sz w:val="20"/>
        </w:rPr>
      </w:pPr>
      <w:r>
        <w:rPr>
          <w:sz w:val="20"/>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pStyle w:val="TextBody"/>
        <w:bidi w:val="0"/>
        <w:spacing w:lineRule="atLeast" w:line="240" w:before="200" w:after="0"/>
        <w:jc w:val="both"/>
        <w:rPr/>
      </w:pPr>
      <w:r>
        <w:rPr>
          <w:sz w:val="20"/>
        </w:rPr>
        <w:t>ADAM J. GODDERZ, General Counsel and Secretary. Mr. Godderz has been General Counsel and Secretary of</w:t>
      </w:r>
      <w:r>
        <w:rPr/>
        <w:t> </w:t>
      </w:r>
      <w:r>
        <w:rPr>
          <w:sz w:val="20"/>
        </w:rPr>
        <w:t>Euronet</w:t>
      </w:r>
      <w:r>
        <w:rPr/>
        <w:t> </w:t>
      </w:r>
      <w:r>
        <w:rPr>
          <w:sz w:val="20"/>
        </w:rPr>
        <w:t>since joining the Company in May 2024.</w:t>
      </w:r>
      <w:r>
        <w:rPr/>
        <w:t> </w:t>
      </w:r>
      <w:r>
        <w:rPr>
          <w:sz w:val="20"/>
        </w:rPr>
        <w:t>Prior to joining Euronet, Mr. Godderz was with Kansas City Southern for 16 years, most recently</w:t>
      </w:r>
      <w:r>
        <w:rPr/>
        <w:t> </w:t>
      </w:r>
      <w:r>
        <w:rPr>
          <w:sz w:val="20"/>
        </w:rPr>
        <w:t>serving as their Senior Vice-President - Chief Legal Officer and Corporate Secretary</w:t>
      </w:r>
      <w:r>
        <w:rPr/>
        <w:t> </w:t>
      </w:r>
      <w:r>
        <w:rPr>
          <w:sz w:val="20"/>
        </w:rPr>
        <w:t>from 2019-2023 and holds a Juris Doctor and Master of Business Administration degree (1997–2001) as well as a bachelor’s degree in biology (1992–1996), all from the University of Kansas.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w:t>
      </w:r>
      <w:r>
        <w:rPr/>
        <w:t> </w:t>
      </w:r>
      <w:r>
        <w:rPr>
          <w:sz w:val="20"/>
        </w:rPr>
        <w:t>consumer appliances, lighting products and electrical products. Mr. Caponecchi holds degrees in physics from Franklin and Marshall College and industrial engineering from Columbia University.</w:t>
      </w:r>
    </w:p>
    <w:p>
      <w:pPr>
        <w:pStyle w:val="TextBody"/>
        <w:bidi w:val="0"/>
        <w:spacing w:lineRule="atLeast" w:line="240" w:before="0" w:after="0"/>
        <w:jc w:val="both"/>
        <w:rPr/>
      </w:pPr>
      <w:r>
        <w:rPr/>
        <w:br/>
      </w:r>
      <w:r>
        <w:rPr>
          <w:sz w:val="20"/>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xml:space="preserve">Dr. MARTIN L. BRUCKNER, Senior Vice President - Chief Technology Officer. Dr. Bruckner has been Senior Vice President and Chief Technology Officer of Euronet since January 2014. Dr. Bruckner joined Euronet in 2007 as head of software development and IT operations for Transact GmbH. In 2009, he was promoted to Chief Technology Officer of Euronet's epay segment. Prior to joining Euronet, Dr. Bruckner established his own IT company called MLB Development GmbH, where he developed software systems for various European companies. Dr. Bruckner has more than 20 years of software development experience and published his first software product (BBS systems) at the age of 15. He received a Doctorate of Law from the University of Rostock and a law degree from the University of Bielefeld. </w:t>
      </w:r>
    </w:p>
    <w:p>
      <w:pPr>
        <w:pStyle w:val="TextBody"/>
        <w:bidi w:val="0"/>
        <w:spacing w:lineRule="atLeast" w:line="240" w:before="0" w:after="0"/>
        <w:jc w:val="both"/>
        <w:rPr/>
      </w:pPr>
      <w:r>
        <w:rPr/>
        <w:t> </w:t>
      </w:r>
    </w:p>
    <w:p>
      <w:pPr>
        <w:pStyle w:val="TextBody"/>
        <w:bidi w:val="0"/>
        <w:spacing w:lineRule="atLeast" w:line="240" w:before="0" w:after="200"/>
        <w:jc w:val="both"/>
        <w:rPr>
          <w:b/>
          <w:sz w:val="20"/>
        </w:rPr>
      </w:pPr>
      <w:r>
        <w:rPr>
          <w:b/>
          <w:sz w:val="20"/>
        </w:rPr>
        <w:t>Availability of Reports, Certain Committee Charters, and Other Information</w:t>
      </w:r>
    </w:p>
    <w:p>
      <w:pPr>
        <w:pStyle w:val="TextBody"/>
        <w:bidi w:val="0"/>
        <w:spacing w:lineRule="atLeast" w:line="240" w:before="200" w:after="0"/>
        <w:jc w:val="both"/>
        <w:rPr/>
      </w:pPr>
      <w:r>
        <w:rPr>
          <w:sz w:val="20"/>
        </w:rPr>
        <w:t>Our website addresses are www.euronet.com, www.euronetworldwide.com</w:t>
      </w:r>
      <w:r>
        <w:rPr/>
        <w:t xml:space="preserve"> </w:t>
      </w:r>
      <w:r>
        <w:rPr>
          <w:sz w:val="20"/>
        </w:rPr>
        <w:t>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charters for our Audit, Compensation, and Corporate Governance and Nominating Committees, as well as the Code of Business Conduct</w:t>
      </w:r>
      <w:r>
        <w:rPr/>
        <w:t> </w:t>
      </w:r>
      <w:r>
        <w:rPr>
          <w:sz w:val="20"/>
        </w:rPr>
        <w:t>&amp;</w:t>
      </w:r>
      <w:r>
        <w:rPr/>
        <w:t> </w:t>
      </w:r>
      <w:r>
        <w:rPr>
          <w:sz w:val="20"/>
        </w:rPr>
        <w:t>Ethics for our employees, including our Chief Executive Officer and Chief Financial</w:t>
      </w:r>
      <w:r>
        <w:rPr/>
        <w:t> </w:t>
      </w:r>
      <w:r>
        <w:rPr>
          <w:sz w:val="20"/>
        </w:rPr>
        <w:t>Officer, are available on our website at www.euronet.com</w:t>
      </w:r>
      <w:r>
        <w:rPr/>
        <w:t xml:space="preserve"> </w:t>
      </w:r>
      <w:r>
        <w:rPr>
          <w:sz w:val="20"/>
        </w:rPr>
        <w:t>in the "For Investors" section under "Corporate Governance / Documents and Charters”.</w:t>
      </w:r>
    </w:p>
    <w:p>
      <w:pPr>
        <w:pStyle w:val="TextBody"/>
        <w:bidi w:val="0"/>
        <w:spacing w:before="0" w:after="0"/>
        <w:jc w:val="left"/>
        <w:rPr/>
      </w:pPr>
      <w:r>
        <w:rPr/>
        <w:t> </w:t>
      </w:r>
    </w:p>
    <w:p>
      <w:pPr>
        <w:pStyle w:val="TextBody"/>
        <w:bidi w:val="0"/>
        <w:spacing w:lineRule="atLeast" w:line="240" w:before="0" w:after="0"/>
        <w:jc w:val="both"/>
        <w:rPr/>
      </w:pPr>
      <w:bookmarkStart w:id="9" w:name="bm_4e95993106c2b6ba"/>
      <w:bookmarkEnd w:id="9"/>
      <w:r>
        <w:rPr>
          <w:b/>
          <w:sz w:val="20"/>
        </w:rPr>
        <w:t xml:space="preserve">Item 1A. </w:t>
      </w:r>
      <w:hyperlink w:anchor="TOC">
        <w:r>
          <w:rPr>
            <w:rStyle w:val="InternetLink"/>
            <w:b/>
            <w:strike w:val="false"/>
            <w:dstrike w:val="false"/>
            <w:color w:val="000000"/>
            <w:sz w:val="20"/>
            <w:u w:val="none"/>
            <w:effect w:val="none"/>
          </w:rPr>
          <w:t>Risk Factors</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i/>
          <w:sz w:val="20"/>
        </w:rPr>
        <w:t>Our operations are subject to a number of risks and uncertainties, including those described below. You should carefully consider the risks described below before making an investment decision. The risks and uncertainties described below are not necessarily</w:t>
      </w:r>
      <w:r>
        <w:rPr/>
        <w:t xml:space="preserve"> </w:t>
      </w:r>
      <w:r>
        <w:rPr>
          <w:i/>
          <w:sz w:val="20"/>
        </w:rPr>
        <w:t>organized in order of priority or probability.</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If any of the following risks actually occurs, our business, financial condition or results of operations could be materially adversely affected. In that case, the trading price of our Common Stock could decline substantially.</w:t>
      </w:r>
    </w:p>
    <w:p>
      <w:pPr>
        <w:pStyle w:val="TextBody"/>
        <w:bidi w:val="0"/>
        <w:spacing w:lineRule="atLeast" w:line="240" w:before="0" w:after="0"/>
        <w:jc w:val="both"/>
        <w:rPr/>
      </w:pPr>
      <w:r>
        <w:rPr/>
        <w:t> </w:t>
      </w:r>
    </w:p>
    <w:p>
      <w:pPr>
        <w:pStyle w:val="TextBody"/>
        <w:bidi w:val="0"/>
        <w:spacing w:lineRule="atLeast" w:line="240" w:before="0" w:after="0"/>
        <w:jc w:val="both"/>
        <w:rPr/>
      </w:pPr>
      <w:r>
        <w:rPr>
          <w:i/>
          <w:sz w:val="20"/>
        </w:rPr>
        <w:t>This Annual Report also contains forward-looking statements that involve risks</w:t>
      </w:r>
      <w:r>
        <w:rPr/>
        <w:t xml:space="preserve"> </w:t>
      </w:r>
      <w:r>
        <w:rPr>
          <w:i/>
          <w:sz w:val="20"/>
        </w:rPr>
        <w:t>and uncertainties. Our actual results could differ materially from those</w:t>
      </w:r>
      <w:r>
        <w:rPr/>
        <w:t xml:space="preserve"> </w:t>
      </w:r>
      <w:r>
        <w:rPr>
          <w:i/>
          <w:sz w:val="20"/>
        </w:rPr>
        <w:t>anticipated in the forward-looking statements as a result of a number of</w:t>
      </w:r>
      <w:r>
        <w:rPr/>
        <w:t xml:space="preserve"> </w:t>
      </w:r>
      <w:r>
        <w:rPr>
          <w:i/>
          <w:sz w:val="20"/>
        </w:rPr>
        <w:t>factors, including the risks described below and elsewhere in this Annual</w:t>
      </w:r>
      <w:r>
        <w:rPr/>
        <w:t xml:space="preserve"> </w:t>
      </w:r>
      <w:r>
        <w:rPr>
          <w:i/>
          <w:sz w:val="20"/>
        </w:rPr>
        <w:t>Report.</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b/>
          <w:color w:val="3366FF"/>
          <w:sz w:val="20"/>
        </w:rPr>
        <w:t>GOVERNMENT AND REGULATION</w:t>
      </w:r>
      <w:r>
        <w:rPr/>
        <w:t xml:space="preserve"> </w:t>
      </w:r>
    </w:p>
    <w:p>
      <w:pPr>
        <w:pStyle w:val="TextBody"/>
        <w:bidi w:val="0"/>
        <w:spacing w:lineRule="atLeast" w:line="240" w:before="160" w:after="0"/>
        <w:jc w:val="both"/>
        <w:rPr>
          <w:b/>
          <w:sz w:val="20"/>
        </w:rPr>
      </w:pPr>
      <w:r>
        <w:rPr>
          <w:b/>
          <w:sz w:val="20"/>
        </w:rPr>
        <w:t>As a multinational company, we face legal and operational risks from diverse local regulations that may impact our operations.</w:t>
      </w:r>
    </w:p>
    <w:p>
      <w:pPr>
        <w:pStyle w:val="TextBody"/>
        <w:bidi w:val="0"/>
        <w:spacing w:lineRule="atLeast" w:line="240" w:before="160" w:after="0"/>
        <w:jc w:val="both"/>
        <w:rPr>
          <w:sz w:val="20"/>
        </w:rPr>
      </w:pPr>
      <w:r>
        <w:rPr>
          <w:sz w:val="20"/>
        </w:rPr>
        <w:t>Conducting business internationally complicates compliance with varied regional laws. Our financial transaction processing networks introduce new products that are subject to rapidly changing regulations. Despite having skilled local personnel, we cannot guarantee full compliance with customs, currency controls, data protection, anti-money laundering, sanctions, employment, and transfer pricing laws. We also cannot predict potential changes to these regulations that may negatively affect our business.</w:t>
      </w:r>
    </w:p>
    <w:p>
      <w:pPr>
        <w:pStyle w:val="TextBody"/>
        <w:bidi w:val="0"/>
        <w:spacing w:lineRule="atLeast" w:line="240" w:before="160" w:after="0"/>
        <w:jc w:val="both"/>
        <w:rPr>
          <w:sz w:val="20"/>
        </w:rPr>
      </w:pPr>
      <w:r>
        <w:rPr>
          <w:sz w:val="20"/>
        </w:rPr>
        <w:t>For our epay Segment, as we expand our electronic payment offerings, these may become subject to state, federal, or international laws requiring licensure for us and our partners. Increased regulation could adversely impact our epay business, particularly if gift voucher regulations change, affecting revenue from unredeemed vouchers.</w:t>
      </w:r>
    </w:p>
    <w:p>
      <w:pPr>
        <w:pStyle w:val="TextBody"/>
        <w:bidi w:val="0"/>
        <w:spacing w:lineRule="atLeast" w:line="240" w:before="200" w:after="0"/>
        <w:jc w:val="both"/>
        <w:rPr>
          <w:sz w:val="20"/>
        </w:rPr>
      </w:pPr>
      <w:r>
        <w:rPr>
          <w:sz w:val="20"/>
        </w:rPr>
        <w:t>Our money transfer services are regulated by U.S. states, the federal government, and foreign governments where we operate. Changes in these regulations or our ability to maintain necessary licenses may materially affect our financial results and cash flow. Furthermore, evolving regulations may alter the competitive landscape, potentially impacting our financial outcomes. New laws or changes from organizations like Visa® and Mastercard® that limit our pricing or services could substantially affect our business. Additionally, shifts in regulatory interpretations could heighten the risk of enforcement actions, fines, and penalties across jurisdictions.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Our operations in emerging markets, including Central and Eastern Europe, the Middle East, Asia Pacific, Africa, and South America, expose us to significant geopolitical and economic risks.</w:t>
      </w:r>
    </w:p>
    <w:p>
      <w:pPr>
        <w:pStyle w:val="TextBody"/>
        <w:bidi w:val="0"/>
        <w:spacing w:lineRule="atLeast" w:line="240" w:before="200" w:after="0"/>
        <w:ind w:left="720" w:right="0" w:hanging="201"/>
        <w:jc w:val="both"/>
        <w:rPr/>
      </w:pPr>
      <w:r>
        <w:rPr/>
        <w:t></w:t>
      </w:r>
      <w:r>
        <w:rPr>
          <w:caps w:val="false"/>
          <w:smallCaps w:val="false"/>
        </w:rPr>
        <w:t xml:space="preserve">   </w:t>
      </w:r>
      <w:r>
        <w:rPr>
          <w:b/>
          <w:sz w:val="20"/>
        </w:rPr>
        <w:t>Political Instability:</w:t>
      </w:r>
      <w:r>
        <w:rPr/>
        <w:t xml:space="preserve"> </w:t>
      </w:r>
      <w:r>
        <w:rPr>
          <w:sz w:val="20"/>
        </w:rPr>
        <w:t>Political unrest, regime change, and military conflicts can disrupt our operations, damage our assets, and impact consumer confidence.</w:t>
      </w:r>
    </w:p>
    <w:p>
      <w:pPr>
        <w:pStyle w:val="TextBody"/>
        <w:bidi w:val="0"/>
        <w:spacing w:lineRule="atLeast" w:line="240" w:before="0" w:after="0"/>
        <w:ind w:left="720" w:right="0" w:hanging="201"/>
        <w:jc w:val="both"/>
        <w:rPr/>
      </w:pPr>
      <w:r>
        <w:rPr/>
        <w:t></w:t>
      </w:r>
      <w:r>
        <w:rPr>
          <w:caps w:val="false"/>
          <w:smallCaps w:val="false"/>
        </w:rPr>
        <w:t xml:space="preserve">   </w:t>
      </w:r>
      <w:r>
        <w:rPr>
          <w:b/>
          <w:sz w:val="20"/>
        </w:rPr>
        <w:t>Economic Downturns:</w:t>
      </w:r>
      <w:r>
        <w:rPr/>
        <w:t xml:space="preserve"> </w:t>
      </w:r>
      <w:r>
        <w:rPr>
          <w:sz w:val="20"/>
        </w:rPr>
        <w:t>Economic downturns, including those driven by inflation, currency fluctuations, and global recessions, can reduce demand for our services and negatively impact our financial performance.</w:t>
      </w:r>
    </w:p>
    <w:p>
      <w:pPr>
        <w:pStyle w:val="TextBody"/>
        <w:bidi w:val="0"/>
        <w:spacing w:lineRule="atLeast" w:line="240" w:before="0" w:after="0"/>
        <w:ind w:left="720" w:right="0" w:hanging="201"/>
        <w:jc w:val="both"/>
        <w:rPr/>
      </w:pPr>
      <w:r>
        <w:rPr/>
        <w:t></w:t>
      </w:r>
      <w:r>
        <w:rPr>
          <w:caps w:val="false"/>
          <w:smallCaps w:val="false"/>
        </w:rPr>
        <w:t xml:space="preserve">   </w:t>
      </w:r>
      <w:r>
        <w:rPr>
          <w:b/>
          <w:sz w:val="20"/>
        </w:rPr>
        <w:t>Regulatory Uncertainty:</w:t>
      </w:r>
      <w:r>
        <w:rPr/>
        <w:t xml:space="preserve"> </w:t>
      </w:r>
      <w:r>
        <w:rPr>
          <w:sz w:val="20"/>
        </w:rPr>
        <w:t>Changes in government policies, including those related to foreign investment, currency controls, and taxation, can create significant uncertainty and operational challenges.</w:t>
      </w:r>
    </w:p>
    <w:p>
      <w:pPr>
        <w:pStyle w:val="TextBody"/>
        <w:bidi w:val="0"/>
        <w:spacing w:lineRule="atLeast" w:line="240" w:before="0" w:after="200"/>
        <w:ind w:left="720" w:right="0" w:hanging="201"/>
        <w:jc w:val="both"/>
        <w:rPr/>
      </w:pPr>
      <w:r>
        <w:rPr/>
        <w:t></w:t>
      </w:r>
      <w:r>
        <w:rPr>
          <w:caps w:val="false"/>
          <w:smallCaps w:val="false"/>
        </w:rPr>
        <w:t xml:space="preserve">   </w:t>
      </w:r>
      <w:r>
        <w:rPr>
          <w:b/>
          <w:sz w:val="20"/>
        </w:rPr>
        <w:t>Repatriation of Profits:</w:t>
      </w:r>
      <w:r>
        <w:rPr/>
        <w:t xml:space="preserve"> </w:t>
      </w:r>
      <w:r>
        <w:rPr>
          <w:sz w:val="20"/>
        </w:rPr>
        <w:t>Restrictions on the repatriation of profits from foreign subsidiaries can limit our ability to access capital and negatively impact our financial flexibility.</w:t>
      </w:r>
    </w:p>
    <w:p>
      <w:pPr>
        <w:pStyle w:val="TextBody"/>
        <w:bidi w:val="0"/>
        <w:spacing w:lineRule="atLeast" w:line="240" w:before="0" w:after="200"/>
        <w:jc w:val="both"/>
        <w:rPr>
          <w:sz w:val="20"/>
        </w:rPr>
      </w:pPr>
      <w:r>
        <w:rPr>
          <w:sz w:val="20"/>
        </w:rPr>
        <w:t>The ongoing geopolitical tensions, including the conflict in Ukraine and the Middle East, highlight the potential for unforeseen events to significantly impact our business and financial results.</w:t>
      </w:r>
    </w:p>
    <w:p>
      <w:pPr>
        <w:pStyle w:val="TextBody"/>
        <w:bidi w:val="0"/>
        <w:spacing w:lineRule="atLeast" w:line="240" w:before="0" w:after="0"/>
        <w:jc w:val="both"/>
        <w:rPr>
          <w:b/>
          <w:sz w:val="20"/>
        </w:rPr>
      </w:pPr>
      <w:r>
        <w:rPr>
          <w:b/>
          <w:sz w:val="20"/>
        </w:rPr>
        <w:t>We conduct business in many international markets with complex and evolving tax rules, including value added tax rules, which subject us to international tax compliance risks which could adversely affect our operating results.</w:t>
      </w:r>
    </w:p>
    <w:p>
      <w:pPr>
        <w:pStyle w:val="TextBody"/>
        <w:bidi w:val="0"/>
        <w:spacing w:lineRule="atLeast" w:line="240" w:before="0" w:after="0"/>
        <w:jc w:val="both"/>
        <w:rPr/>
      </w:pPr>
      <w:r>
        <w:rPr/>
        <w:t> </w:t>
      </w:r>
    </w:p>
    <w:p>
      <w:pPr>
        <w:pStyle w:val="TextBody"/>
        <w:bidi w:val="0"/>
        <w:spacing w:lineRule="atLeast" w:line="240" w:before="0" w:after="200"/>
        <w:jc w:val="both"/>
        <w:rPr>
          <w:sz w:val="20"/>
        </w:rPr>
      </w:pPr>
      <w:r>
        <w:rPr>
          <w:sz w:val="20"/>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products and services.</w:t>
      </w:r>
    </w:p>
    <w:p>
      <w:pPr>
        <w:pStyle w:val="TextBody"/>
        <w:bidi w:val="0"/>
        <w:spacing w:lineRule="atLeast" w:line="240" w:before="0" w:after="0"/>
        <w:jc w:val="both"/>
        <w:rPr/>
      </w:pPr>
      <w:r>
        <w:rPr>
          <w:sz w:val="20"/>
        </w:rPr>
        <w:t>Additionally, as a result of economic downturns,</w:t>
      </w:r>
      <w:r>
        <w:rPr/>
        <w:t> </w:t>
      </w:r>
      <w:r>
        <w:rPr>
          <w:sz w:val="20"/>
        </w:rPr>
        <w:t>tax</w:t>
      </w:r>
      <w:r>
        <w:rPr/>
        <w:t> </w:t>
      </w:r>
      <w:r>
        <w:rPr>
          <w:sz w:val="20"/>
        </w:rPr>
        <w:t>receipts have decreased and/or government spending has</w:t>
      </w:r>
      <w:r>
        <w:rPr/>
        <w:t> </w:t>
      </w:r>
      <w:r>
        <w:rPr>
          <w:sz w:val="20"/>
        </w:rPr>
        <w:t>increased in many of the countries in which we operate. Consequently, governments may increase</w:t>
      </w:r>
      <w:r>
        <w:rPr/>
        <w:t> </w:t>
      </w:r>
      <w:r>
        <w:rPr>
          <w:sz w:val="20"/>
        </w:rPr>
        <w:t>tax</w:t>
      </w:r>
      <w:r>
        <w:rPr/>
        <w:t> </w:t>
      </w:r>
      <w:r>
        <w:rPr>
          <w:sz w:val="20"/>
        </w:rPr>
        <w:t>rates or implement new</w:t>
      </w:r>
      <w:r>
        <w:rPr/>
        <w:t> </w:t>
      </w:r>
      <w:r>
        <w:rPr>
          <w:sz w:val="20"/>
        </w:rPr>
        <w:t>taxes in order to compensate for gaps between</w:t>
      </w:r>
      <w:r>
        <w:rPr/>
        <w:t> </w:t>
      </w:r>
      <w:r>
        <w:rPr>
          <w:sz w:val="20"/>
        </w:rPr>
        <w:t>tax</w:t>
      </w:r>
      <w:r>
        <w:rPr/>
        <w:t> </w:t>
      </w:r>
      <w:r>
        <w:rPr>
          <w:sz w:val="20"/>
        </w:rPr>
        <w:t>revenues and expenditures. Governments may prohibit or restrict the use of certain legal structures designed to minimize</w:t>
      </w:r>
      <w:r>
        <w:rPr/>
        <w:t> </w:t>
      </w:r>
      <w:r>
        <w:rPr>
          <w:sz w:val="20"/>
        </w:rPr>
        <w:t>taxes. Any such</w:t>
      </w:r>
      <w:r>
        <w:rPr/>
        <w:t> </w:t>
      </w:r>
      <w:r>
        <w:rPr>
          <w:sz w:val="20"/>
        </w:rPr>
        <w:t>tax</w:t>
      </w:r>
      <w:r>
        <w:rPr/>
        <w:t> </w:t>
      </w:r>
      <w:r>
        <w:rPr>
          <w:sz w:val="20"/>
        </w:rPr>
        <w:t>increases, whether borne by us or our customers, could negatively impact our operating results or the demand for our products and services.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European Union ("EU") member states formally adopted the</w:t>
      </w:r>
      <w:r>
        <w:rPr/>
        <w:t> </w:t>
      </w:r>
      <w:r>
        <w:rPr>
          <w:sz w:val="20"/>
        </w:rPr>
        <w:t>EU's</w:t>
      </w:r>
      <w:r>
        <w:rPr/>
        <w:t> </w:t>
      </w:r>
      <w:r>
        <w:rPr>
          <w:sz w:val="20"/>
        </w:rPr>
        <w:t>Pillar</w:t>
      </w:r>
      <w:r>
        <w:rPr/>
        <w:t> </w:t>
      </w:r>
      <w:r>
        <w:rPr>
          <w:sz w:val="20"/>
        </w:rPr>
        <w:t>Two</w:t>
      </w:r>
      <w:r>
        <w:rPr/>
        <w:t> </w:t>
      </w:r>
      <w:r>
        <w:rPr>
          <w:sz w:val="20"/>
        </w:rPr>
        <w:t>Directive, which was established by the Organization for Economic Co-operation and Development, and which generally provides for a</w:t>
      </w:r>
      <w:r>
        <w:rPr/>
        <w:t> </w:t>
      </w:r>
      <w:r>
        <w:rPr>
          <w:sz w:val="20"/>
        </w:rPr>
        <w:t>15</w:t>
      </w:r>
      <w:r>
        <w:rPr/>
        <w:t> </w:t>
      </w:r>
      <w:r>
        <w:rPr>
          <w:sz w:val="20"/>
        </w:rPr>
        <w:t>percent minimum effective</w:t>
      </w:r>
      <w:r>
        <w:rPr/>
        <w:t> </w:t>
      </w:r>
      <w:r>
        <w:rPr>
          <w:sz w:val="20"/>
        </w:rPr>
        <w:t>tax</w:t>
      </w:r>
      <w:r>
        <w:rPr/>
        <w:t> </w:t>
      </w:r>
      <w:r>
        <w:rPr>
          <w:sz w:val="20"/>
        </w:rPr>
        <w:t>rate for multinational enterprises, in every jurisdiction in which they operate. While we do not anticipate that the Pillar</w:t>
      </w:r>
      <w:r>
        <w:rPr/>
        <w:t> </w:t>
      </w:r>
      <w:r>
        <w:rPr>
          <w:sz w:val="20"/>
        </w:rPr>
        <w:t>Two</w:t>
      </w:r>
      <w:r>
        <w:rPr/>
        <w:t> </w:t>
      </w:r>
      <w:r>
        <w:rPr>
          <w:sz w:val="20"/>
        </w:rPr>
        <w:t>Directive will have a material impact on our</w:t>
      </w:r>
      <w:r>
        <w:rPr/>
        <w:t> </w:t>
      </w:r>
      <w:r>
        <w:rPr>
          <w:sz w:val="20"/>
        </w:rPr>
        <w:t>tax</w:t>
      </w:r>
      <w:r>
        <w:rPr/>
        <w:t> </w:t>
      </w:r>
      <w:r>
        <w:rPr>
          <w:sz w:val="20"/>
        </w:rPr>
        <w:t>provision or effective</w:t>
      </w:r>
      <w:r>
        <w:rPr/>
        <w:t> </w:t>
      </w:r>
      <w:r>
        <w:rPr>
          <w:sz w:val="20"/>
        </w:rPr>
        <w:t>tax</w:t>
      </w:r>
      <w:r>
        <w:rPr/>
        <w:t> </w:t>
      </w:r>
      <w:r>
        <w:rPr>
          <w:sz w:val="20"/>
        </w:rPr>
        <w:t>rate, we continue to monitor evolving</w:t>
      </w:r>
      <w:r>
        <w:rPr/>
        <w:t> </w:t>
      </w:r>
      <w:r>
        <w:rPr>
          <w:sz w:val="20"/>
        </w:rPr>
        <w:t>tax</w:t>
      </w:r>
      <w:r>
        <w:rPr/>
        <w:t> </w:t>
      </w:r>
      <w:r>
        <w:rPr>
          <w:sz w:val="20"/>
        </w:rPr>
        <w:t>legislation in the jurisdictions in which we operate, including eligibility for any transitional safe harbor rules.</w:t>
      </w:r>
    </w:p>
    <w:p>
      <w:pPr>
        <w:pStyle w:val="TextBody"/>
        <w:bidi w:val="0"/>
        <w:spacing w:lineRule="atLeast" w:line="240" w:before="200" w:after="0"/>
        <w:jc w:val="both"/>
        <w:rPr>
          <w:b/>
          <w:sz w:val="20"/>
        </w:rPr>
      </w:pPr>
      <w:r>
        <w:rPr>
          <w:b/>
          <w:sz w:val="20"/>
        </w:rPr>
        <w:t>We could be adversely affected by violations of the U.S. Foreign Corrupt Practices Act or other similar anti-corruption laws.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Our global operations expose us to the risk of violating anti-corruption laws, including the U.S. Foreign Corrupt Practices Act (FCPA) and similar laws in other jurisdictions. These laws prohibit improper payments to government officials or employees of commercial enterprises.</w:t>
      </w:r>
      <w:r>
        <w:rPr/>
        <w:t> </w:t>
      </w:r>
      <w:r>
        <w:rPr>
          <w:sz w:val="20"/>
        </w:rPr>
        <w:t>We operate in various countries with varying levels of corruption, and complying with these laws can sometimes conflict with local customs. Our interactions with government officials and our contracts with foreign entities increase the risk of violations.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Despite our compliance policies and procedures, there is no guarantee that all our employees, consultants, and agents will adhere to them. Violations of anti-corruption laws could result in significant penalties, including criminal and civil fines, which could materially harm our financial performance.</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Changes in immigration policies and enforcement practices may adversely affect our money transfer business.</w:t>
      </w:r>
      <w:r>
        <w:rPr/>
        <w:br/>
        <w:t> </w:t>
      </w:r>
    </w:p>
    <w:p>
      <w:pPr>
        <w:pStyle w:val="TextBody"/>
        <w:bidi w:val="0"/>
        <w:spacing w:lineRule="atLeast" w:line="240" w:before="0" w:after="0"/>
        <w:jc w:val="both"/>
        <w:rPr>
          <w:sz w:val="20"/>
        </w:rPr>
      </w:pPr>
      <w:r>
        <w:rPr>
          <w:sz w:val="20"/>
        </w:rPr>
        <w:t>Our money transfer business depends heavily on remittances sent by workers who migrate to foreign countries for employment. Changes in U.S. and foreign government immigration policies—including restrictions on worker visas, employer sponsorship rules, border controls, and enforcement priorities—can influence migration patterns and the availability of migrant labor. A decline in migrant populations due to policy changes or increased enforcement may reduce the number of remitters, the frequency of transactions, or the average transaction size, which could negatively affect our revenues and results of operations.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In the United States, heightened immigration</w:t>
      </w:r>
      <w:r>
        <w:rPr/>
        <w:noBreakHyphen/>
      </w:r>
      <w:r>
        <w:rPr>
          <w:sz w:val="20"/>
        </w:rPr>
        <w:t>enforcement activity, including increased documentation checks and related government actions, has also led some customers to avoid visiting physical agent locations. Because a significant portion of our U.S.</w:t>
      </w:r>
      <w:r>
        <w:rPr/>
        <w:noBreakHyphen/>
      </w:r>
      <w:r>
        <w:rPr>
          <w:sz w:val="20"/>
        </w:rPr>
        <w:t>based remittance transactions are conducted in person, reduced customer willingness to enter retail or agent locations may decrease transaction volumes. If such customer behavior persists or expands, our revenues and earnings from physical corridors could be adversely affected.</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Additionally, proposed or enacted migration reforms in key host countries—such as caps on visa categories, enhanced verification requirements, or limitations on family reunification—may create uncertainty or reduce labor mobility for migrant workers. Policy changes affecting remittance behavior, including remittance</w:t>
      </w:r>
      <w:r>
        <w:rPr/>
        <w:noBreakHyphen/>
      </w:r>
      <w:r>
        <w:rPr>
          <w:sz w:val="20"/>
        </w:rPr>
        <w:t>specific taxes, reporting obligations, fees, or incentives to use alternative channels, may shift flows between corridors, increase compliance costs, or disrupt distribution relationships. Broader macroeconomic factors, including changes in labor demand and employment conditions in destination markets, may further influence remittance activity.</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Any of these developments could have a material adverse effect on our business, financial condition, and results of operations.</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Market Expansion and Regulatory Risks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Our future growth depends on our ability to expand our market share in the existing electronic money transfer market and successfully enter new markets.</w:t>
      </w:r>
      <w:r>
        <w:rPr/>
        <w:t> </w:t>
      </w:r>
      <w:r>
        <w:rPr>
          <w:sz w:val="20"/>
        </w:rPr>
        <w:t>Achieving this requires significant investments in technology and distribution channels, which may not be feasible given our available resources.</w:t>
      </w:r>
      <w:r>
        <w:rPr/>
        <w:t> </w:t>
      </w:r>
      <w:r>
        <w:rPr>
          <w:sz w:val="20"/>
        </w:rPr>
        <w:t>Additionally, the evolving regulatory landscape, including anti-money laundering (AML), sanctions, and consumer protection regulations, presents significant compliance challenges.</w:t>
      </w:r>
      <w:r>
        <w:rPr/>
        <w:t> </w:t>
      </w:r>
      <w:r>
        <w:rPr>
          <w:sz w:val="20"/>
        </w:rPr>
        <w:t>Non-compliance with these regulations could result in substantial fines and penalties, potentially impacting our financial performance and hindering our growth prospects.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b/>
          <w:sz w:val="20"/>
        </w:rPr>
        <w:t>Expectations relating to environmental, social and governance considerations and related reporting obligations expose us</w:t>
      </w:r>
      <w:r>
        <w:rPr/>
        <w:t> </w:t>
      </w:r>
      <w:r>
        <w:rPr>
          <w:b/>
          <w:sz w:val="20"/>
        </w:rPr>
        <w:t>to potential liabilities, increased costs, reputational harm, and other adverse effects on our business.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Many governments, regulators, investors, employees, customers, and other stakeholders are increasingly focused on environmental, social and governance considerations relating to businesses, including climate change and greenhouse gas emissions, human and civil rights, and diversity, equity and inclusion. In addition, we make statements about our goals and initiatives through our various non-financial reports, information provided on our website, press statements and other communications. Responding to these environmental, social and governance considerations and implementation of these goals and initiatives involves risks and uncertainties, requires investments, and depends in part on third-party performance or data that is outside our control. We cannot guarantee that we will achieve our environmental, social and governance goals and initiatives. In addition, some stakeholders may disagree with our goals and initiatives.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pStyle w:val="TextBody"/>
        <w:bidi w:val="0"/>
        <w:spacing w:lineRule="atLeast" w:line="240" w:before="0" w:after="0"/>
        <w:jc w:val="both"/>
        <w:rPr/>
      </w:pPr>
      <w:r>
        <w:rPr/>
        <w:t> </w:t>
      </w:r>
    </w:p>
    <w:p>
      <w:pPr>
        <w:pStyle w:val="TextBody"/>
        <w:shd w:fill="FFFFFF" w:val="clear"/>
        <w:bidi w:val="0"/>
        <w:spacing w:lineRule="atLeast" w:line="240" w:before="0" w:after="0"/>
        <w:jc w:val="both"/>
        <w:rPr>
          <w:b/>
          <w:sz w:val="20"/>
        </w:rPr>
      </w:pPr>
      <w:r>
        <w:rPr>
          <w:b/>
          <w:sz w:val="20"/>
        </w:rPr>
        <w:t>Our business, results of operations and financial condition could be adversely impacted by unfavorable results of legal proceedings or government investigations.</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pPr>
      <w:r>
        <w:rPr>
          <w:sz w:val="20"/>
        </w:rPr>
        <w:t>We are subject to various claims, legal proceedings and government investigations that have arisen in the ordinary course of business and have not yet been fully resolved, and new matters may arise in the future. In addition, agreements entered into by us sometimes include indemnification provisions which can subject us to costs and damages in the event of a claim against an indemnified third party. The number of claims, legal proceedings and government investigations involving us, and the alleged magnitude of such claims, proceedings, and government investigations, has generally increased over time and may continue to increase. In recognition of these considerations, we may enter into agreements or other arrangements to settle litigation and resolve such challenges. There can be no assurance such agreements can be obtained on acceptable terms or that litigation will not occur. These agreements can also significantly increase our cost of sales and operating expenses and require us to change its business practices and limit our ability to offer certain products and services. The outcome of litigation or government investigations is inherently uncertain. If</w:t>
      </w:r>
      <w:r>
        <w:rPr/>
        <w:t> </w:t>
      </w:r>
      <w:r>
        <w:rPr>
          <w:sz w:val="20"/>
        </w:rPr>
        <w:t>one</w:t>
      </w:r>
      <w:r>
        <w:rPr/>
        <w:t> </w:t>
      </w:r>
      <w:r>
        <w:rPr>
          <w:sz w:val="20"/>
        </w:rPr>
        <w:t>or more legal matters were resolved against us or an indemnified third party in a reporting period for amounts above management’s expectations, our results of operations and financial condition for that reporting period could be materially adversely affected. Further, such an outcome can result in significant compensatory, punitive or trebled monetary damages, disgorgement of revenue or profits, remedial corporate measures or injunctive relief against us, and has from time to time required, and can in the future require, us to change our business practices and limit our</w:t>
      </w:r>
      <w:r>
        <w:rPr/>
        <w:t> </w:t>
      </w:r>
      <w:r>
        <w:rPr>
          <w:sz w:val="20"/>
        </w:rPr>
        <w:t>ability to offer certain products and services, all of which could materially adversely affect the Company’s business, reputation, results of operations and financial condition. While we maintain insurance coverage for certain types of claims, such insurance coverage may be insufficient to cover all losses or all types of claims that may arise.</w:t>
      </w:r>
    </w:p>
    <w:p>
      <w:pPr>
        <w:pStyle w:val="TextBody"/>
        <w:bidi w:val="0"/>
        <w:spacing w:lineRule="atLeast" w:line="240" w:before="200" w:after="200"/>
        <w:jc w:val="both"/>
        <w:rPr>
          <w:b/>
          <w:color w:val="3366FF"/>
          <w:sz w:val="20"/>
        </w:rPr>
      </w:pPr>
      <w:r>
        <w:rPr>
          <w:b/>
          <w:color w:val="3366FF"/>
          <w:sz w:val="20"/>
        </w:rPr>
        <w:t>SUPPLY CHAIN AND THIRD PARTIES</w:t>
      </w:r>
    </w:p>
    <w:p>
      <w:pPr>
        <w:pStyle w:val="TextBody"/>
        <w:bidi w:val="0"/>
        <w:spacing w:lineRule="atLeast" w:line="240" w:before="200" w:after="200"/>
        <w:jc w:val="both"/>
        <w:rPr>
          <w:b/>
          <w:sz w:val="20"/>
        </w:rPr>
      </w:pPr>
      <w:r>
        <w:rPr>
          <w:b/>
          <w:sz w:val="20"/>
        </w:rPr>
        <w:t>Because we typically enter into short-term contracts with content providers and retailers, our epay business is subject to the risk of non-renewal of those contracts, or renewal under less favorable terms.</w:t>
      </w:r>
    </w:p>
    <w:p>
      <w:pPr>
        <w:pStyle w:val="TextBody"/>
        <w:bidi w:val="0"/>
        <w:spacing w:lineRule="atLeast" w:line="240" w:before="200" w:after="200"/>
        <w:jc w:val="both"/>
        <w:rPr/>
      </w:pPr>
      <w:r>
        <w:rPr>
          <w:sz w:val="20"/>
        </w:rPr>
        <w:t>Our contracts with content providers to distribute and process content, including prepaid mobile airtime top-up services, typically have terms of less than three years. Our contracts with content providers are not exclusive, so these providers may enter into contracts with other service providers. In addition, our service contracts with major retailers typically have terms of one to three years. The cancellation or non-renewal of one or more of our significant content provider or retail</w:t>
      </w:r>
      <w:r>
        <w:rPr/>
        <w:t> </w:t>
      </w:r>
      <w:r>
        <w:rPr>
          <w:sz w:val="20"/>
        </w:rPr>
        <w:t>contracts, or of a large enough group of our contracts with smaller retailers, could have a material adverse effect on our business, financial condition, and results of operations. The renewal of contracts under less favorable payment terms, margins or other terms could have a material adverse impact on our working capital requirements and/or results from operations. In addition, our contracts generally permit content providers to reduce our margin or commission at any time. Commission and margin revenue or fee reductions by any of the content providers could also have a material adverse effect on our business, financial condition, or results of operations.</w:t>
      </w:r>
    </w:p>
    <w:p>
      <w:pPr>
        <w:pStyle w:val="TextBody"/>
        <w:bidi w:val="0"/>
        <w:spacing w:lineRule="atLeast" w:line="240" w:before="200" w:after="200"/>
        <w:jc w:val="both"/>
        <w:rPr/>
      </w:pPr>
      <w:r>
        <w:rPr>
          <w:sz w:val="20"/>
        </w:rPr>
        <w:t>Our epay business is focused on expanding and differentiating its suite of prepaid digital product offerings on a global basis, there can be no assurance that we will be able to enter into relationships on favorable terms with additional content providers or renew or expand current relationships and contracts on favorable terms. The inability to continue to grow our suite of electronic content and electronic payment product offerings could have a material adverse effect on our business, financial condition, and results of operations.</w:t>
      </w:r>
      <w:r>
        <w:rPr/>
        <w:t> </w:t>
      </w:r>
    </w:p>
    <w:p>
      <w:pPr>
        <w:pStyle w:val="TextBody"/>
        <w:bidi w:val="0"/>
        <w:spacing w:lineRule="atLeast" w:line="240" w:before="200" w:after="160"/>
        <w:jc w:val="both"/>
        <w:rPr/>
      </w:pPr>
      <w:r>
        <w:rPr>
          <w:b/>
          <w:sz w:val="20"/>
        </w:rPr>
        <w:t>The stability and growth of our EFT Processing Segment may be adversely affected if we are unable to maintain</w:t>
      </w:r>
      <w:r>
        <w:rPr/>
        <w:t> </w:t>
      </w:r>
      <w:r>
        <w:rPr>
          <w:b/>
          <w:sz w:val="20"/>
        </w:rPr>
        <w:t>our current card acceptance and ATM management agreements with banks and</w:t>
      </w:r>
      <w:r>
        <w:rPr/>
        <w:t> </w:t>
      </w:r>
      <w:r>
        <w:rPr>
          <w:b/>
          <w:sz w:val="20"/>
        </w:rPr>
        <w:t>international card organizations, and to secure new arrangements for card</w:t>
      </w:r>
      <w:r>
        <w:rPr/>
        <w:t> </w:t>
      </w:r>
      <w:r>
        <w:rPr>
          <w:b/>
          <w:sz w:val="20"/>
        </w:rPr>
        <w:t>acceptance and ATM management.</w:t>
      </w:r>
    </w:p>
    <w:p>
      <w:pPr>
        <w:pStyle w:val="TextBody"/>
        <w:bidi w:val="0"/>
        <w:spacing w:lineRule="atLeast" w:line="240" w:before="0" w:after="0"/>
        <w:jc w:val="both"/>
        <w:rPr/>
      </w:pPr>
      <w:r>
        <w:rPr>
          <w:sz w:val="20"/>
        </w:rPr>
        <w:t>The stability and future growth of our EFT Processing Segment depends in part on our ability to sign card acceptance and ATM management agreements with banks and international card organizations. Card acceptance agreements allow our</w:t>
      </w:r>
      <w:r>
        <w:rPr/>
        <w:t> </w:t>
      </w:r>
      <w:r>
        <w:rPr>
          <w:sz w:val="20"/>
        </w:rPr>
        <w:t>ATMs</w:t>
      </w:r>
      <w:r>
        <w:rPr/>
        <w:t> </w:t>
      </w:r>
      <w:r>
        <w:rPr>
          <w:sz w:val="20"/>
        </w:rPr>
        <w:t>to accept credit and debit cards issued by banks and international card organizations. ATM management agreements generate service income from our management of</w:t>
      </w:r>
      <w:r>
        <w:rPr/>
        <w:t> </w:t>
      </w:r>
      <w:r>
        <w:rPr>
          <w:sz w:val="20"/>
        </w:rPr>
        <w:t>ATMs</w:t>
      </w:r>
      <w:r>
        <w:rPr/>
        <w:t> </w:t>
      </w:r>
      <w:r>
        <w:rPr>
          <w:sz w:val="20"/>
        </w:rPr>
        <w:t>for banks.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These agreements have expiration dates, and banks and international card organizations are generally not obligated to renew them. Our existing contracts generally have terms of</w:t>
      </w:r>
      <w:r>
        <w:rPr/>
        <w:t> </w:t>
      </w:r>
      <w:r>
        <w:rPr>
          <w:sz w:val="20"/>
        </w:rPr>
        <w:t>five</w:t>
      </w:r>
      <w:r>
        <w:rPr/>
        <w:t> </w:t>
      </w:r>
      <w:r>
        <w:rPr>
          <w:sz w:val="20"/>
        </w:rPr>
        <w:t>to</w:t>
      </w:r>
      <w:r>
        <w:rPr/>
        <w:t> </w:t>
      </w:r>
      <w:r>
        <w:rPr>
          <w:sz w:val="20"/>
        </w:rPr>
        <w:t>seven</w:t>
      </w:r>
      <w:r>
        <w:rPr/>
        <w:t> </w:t>
      </w:r>
      <w:r>
        <w:rPr>
          <w:sz w:val="20"/>
        </w:rPr>
        <w:t>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w:t>
      </w:r>
      <w:r>
        <w:rPr/>
        <w:t> </w:t>
      </w:r>
      <w:r>
        <w:rPr>
          <w:sz w:val="20"/>
        </w:rPr>
        <w:t>ATMs</w:t>
      </w:r>
      <w:r>
        <w:rPr/>
        <w:t> </w:t>
      </w:r>
      <w:r>
        <w:rPr>
          <w:sz w:val="20"/>
        </w:rPr>
        <w:t>to accept their credit and debit cards. The inability to continue to sign or maintain these agreements, or to continue to accept the credit and</w:t>
      </w:r>
      <w:r>
        <w:rPr/>
        <w:t> </w:t>
      </w:r>
      <w:r>
        <w:rPr>
          <w:sz w:val="20"/>
        </w:rPr>
        <w:t>debit cards of local banks and international card organizations at our</w:t>
      </w:r>
      <w:r>
        <w:rPr/>
        <w:t> </w:t>
      </w:r>
      <w:r>
        <w:rPr>
          <w:sz w:val="20"/>
        </w:rPr>
        <w:t>ATMs</w:t>
      </w:r>
      <w:r>
        <w:rPr/>
        <w:t> </w:t>
      </w:r>
      <w:r>
        <w:rPr>
          <w:sz w:val="20"/>
        </w:rPr>
        <w:t>in the future, could have a material adverse effect on our business, growth, financial condition, or results of operations.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shd w:fill="FFFFFF" w:val="clear"/>
        <w:bidi w:val="0"/>
        <w:spacing w:lineRule="atLeast" w:line="240" w:before="0" w:after="160"/>
        <w:jc w:val="both"/>
        <w:rPr>
          <w:b/>
          <w:sz w:val="20"/>
        </w:rPr>
      </w:pPr>
      <w:r>
        <w:rPr>
          <w:b/>
          <w:sz w:val="20"/>
        </w:rPr>
        <w:t>ATM Processing Risks</w:t>
      </w:r>
    </w:p>
    <w:p>
      <w:pPr>
        <w:pStyle w:val="TextBody"/>
        <w:shd w:fill="FFFFFF" w:val="clear"/>
        <w:bidi w:val="0"/>
        <w:spacing w:lineRule="atLeast" w:line="240" w:before="0" w:after="160"/>
        <w:jc w:val="both"/>
        <w:rPr>
          <w:b/>
          <w:sz w:val="20"/>
        </w:rPr>
      </w:pPr>
      <w:r>
        <w:rPr>
          <w:b/>
          <w:sz w:val="20"/>
        </w:rPr>
        <w:t>Our ATM business faces several key risks related to:</w:t>
      </w:r>
    </w:p>
    <w:p>
      <w:pPr>
        <w:pStyle w:val="TextBody"/>
        <w:shd w:fill="FFFFFF" w:val="clear"/>
        <w:bidi w:val="0"/>
        <w:spacing w:lineRule="atLeast" w:line="240" w:before="0" w:after="160"/>
        <w:jc w:val="both"/>
        <w:rPr>
          <w:b/>
          <w:sz w:val="20"/>
        </w:rPr>
      </w:pPr>
      <w:r>
        <w:rPr>
          <w:b/>
          <w:sz w:val="20"/>
        </w:rPr>
        <w:t>Transaction Fees:</w:t>
      </w:r>
    </w:p>
    <w:p>
      <w:pPr>
        <w:pStyle w:val="TextBody"/>
        <w:bidi w:val="0"/>
        <w:spacing w:lineRule="atLeast" w:line="240" w:before="0" w:after="0"/>
        <w:ind w:left="720" w:right="0" w:hanging="192"/>
        <w:jc w:val="both"/>
        <w:rPr>
          <w:shd w:fill="FFFFFF" w:val="clear"/>
        </w:rPr>
      </w:pPr>
      <w:r>
        <w:rPr>
          <w:shd w:fill="FFFFFF" w:val="clear"/>
        </w:rPr>
        <w:t></w:t>
      </w:r>
      <w:r>
        <w:rPr>
          <w:caps w:val="false"/>
          <w:smallCaps w:val="false"/>
          <w:shd w:fill="FFFFFF" w:val="clear"/>
        </w:rPr>
        <w:t xml:space="preserve">   </w:t>
      </w:r>
      <w:r>
        <w:rPr>
          <w:sz w:val="20"/>
          <w:shd w:fill="FFFFFF" w:val="clear"/>
        </w:rPr>
        <w:t>We are subject to competitive pressures on ATM transaction fees, including potential reductions in interchange fees set by card networks and declining fees charged to customers.</w:t>
      </w:r>
    </w:p>
    <w:p>
      <w:pPr>
        <w:pStyle w:val="TextBody"/>
        <w:bidi w:val="0"/>
        <w:spacing w:lineRule="atLeast" w:line="240" w:before="0" w:after="0"/>
        <w:ind w:left="720" w:right="0" w:hanging="192"/>
        <w:jc w:val="both"/>
        <w:rPr>
          <w:shd w:fill="FFFFFF" w:val="clear"/>
        </w:rPr>
      </w:pPr>
      <w:r>
        <w:rPr>
          <w:shd w:fill="FFFFFF" w:val="clear"/>
        </w:rPr>
        <w:t></w:t>
      </w:r>
      <w:r>
        <w:rPr>
          <w:caps w:val="false"/>
          <w:smallCaps w:val="false"/>
          <w:shd w:fill="FFFFFF" w:val="clear"/>
        </w:rPr>
        <w:t xml:space="preserve">   </w:t>
      </w:r>
      <w:r>
        <w:rPr>
          <w:sz w:val="20"/>
          <w:shd w:fill="FFFFFF" w:val="clear"/>
        </w:rPr>
        <w:t>Our ability to maintain or increase transaction fees is limited, as they are often determined by market forces and agreements with other industry players.</w:t>
      </w:r>
    </w:p>
    <w:p>
      <w:pPr>
        <w:pStyle w:val="TextBody"/>
        <w:shd w:fill="FFFFFF" w:val="clear"/>
        <w:bidi w:val="0"/>
        <w:spacing w:lineRule="atLeast" w:line="240" w:before="0" w:after="160"/>
        <w:ind w:left="528" w:right="0" w:hanging="0"/>
        <w:jc w:val="both"/>
        <w:rPr>
          <w:b/>
          <w:sz w:val="20"/>
        </w:rPr>
      </w:pPr>
      <w:r>
        <w:rPr>
          <w:b/>
          <w:sz w:val="20"/>
        </w:rPr>
        <w:t>Settlement Risks:</w:t>
      </w:r>
    </w:p>
    <w:p>
      <w:pPr>
        <w:pStyle w:val="TextBody"/>
        <w:bidi w:val="0"/>
        <w:spacing w:lineRule="atLeast" w:line="240" w:before="0" w:after="0"/>
        <w:ind w:left="720" w:right="0" w:hanging="192"/>
        <w:jc w:val="both"/>
        <w:rPr>
          <w:shd w:fill="FFFFFF" w:val="clear"/>
        </w:rPr>
      </w:pPr>
      <w:r>
        <w:rPr>
          <w:shd w:fill="FFFFFF" w:val="clear"/>
        </w:rPr>
        <w:t></w:t>
      </w:r>
      <w:r>
        <w:rPr>
          <w:caps w:val="false"/>
          <w:smallCaps w:val="false"/>
          <w:shd w:fill="FFFFFF" w:val="clear"/>
        </w:rPr>
        <w:t xml:space="preserve">   </w:t>
      </w:r>
      <w:r>
        <w:rPr>
          <w:sz w:val="20"/>
          <w:shd w:fill="FFFFFF" w:val="clear"/>
        </w:rPr>
        <w:t>We rely on third parties, such as card networks and processing switches, for the settlement of transactions.</w:t>
      </w:r>
    </w:p>
    <w:p>
      <w:pPr>
        <w:pStyle w:val="TextBody"/>
        <w:bidi w:val="0"/>
        <w:spacing w:lineRule="atLeast" w:line="240" w:before="0" w:after="0"/>
        <w:ind w:left="720" w:right="0" w:hanging="192"/>
        <w:jc w:val="both"/>
        <w:rPr>
          <w:shd w:fill="FFFFFF" w:val="clear"/>
        </w:rPr>
      </w:pPr>
      <w:r>
        <w:rPr>
          <w:shd w:fill="FFFFFF" w:val="clear"/>
        </w:rPr>
        <w:t></w:t>
      </w:r>
      <w:r>
        <w:rPr>
          <w:caps w:val="false"/>
          <w:smallCaps w:val="false"/>
          <w:shd w:fill="FFFFFF" w:val="clear"/>
        </w:rPr>
        <w:t xml:space="preserve">   </w:t>
      </w:r>
      <w:r>
        <w:rPr>
          <w:sz w:val="20"/>
          <w:shd w:fill="FFFFFF" w:val="clear"/>
        </w:rPr>
        <w:t>Changes in rules or procedures by these third parties, or their failure to fulfill their obligations, could disrupt settlement processes and negatively impact our revenue.</w:t>
      </w:r>
    </w:p>
    <w:p>
      <w:pPr>
        <w:pStyle w:val="TextBody"/>
        <w:shd w:fill="FFFFFF" w:val="clear"/>
        <w:bidi w:val="0"/>
        <w:spacing w:lineRule="atLeast" w:line="240" w:before="0" w:after="160"/>
        <w:ind w:left="528" w:right="0" w:hanging="0"/>
        <w:jc w:val="both"/>
        <w:rPr>
          <w:b/>
          <w:sz w:val="20"/>
        </w:rPr>
      </w:pPr>
      <w:r>
        <w:rPr>
          <w:b/>
          <w:sz w:val="20"/>
        </w:rPr>
        <w:t>Dependence on Third Parties:</w:t>
      </w:r>
    </w:p>
    <w:p>
      <w:pPr>
        <w:pStyle w:val="TextBody"/>
        <w:bidi w:val="0"/>
        <w:spacing w:lineRule="atLeast" w:line="240" w:before="0" w:after="0"/>
        <w:ind w:left="720" w:right="0" w:hanging="192"/>
        <w:jc w:val="both"/>
        <w:rPr>
          <w:shd w:fill="FFFFFF" w:val="clear"/>
        </w:rPr>
      </w:pPr>
      <w:r>
        <w:rPr>
          <w:shd w:fill="FFFFFF" w:val="clear"/>
        </w:rPr>
        <w:t></w:t>
      </w:r>
      <w:r>
        <w:rPr>
          <w:caps w:val="false"/>
          <w:smallCaps w:val="false"/>
          <w:shd w:fill="FFFFFF" w:val="clear"/>
        </w:rPr>
        <w:t xml:space="preserve">   </w:t>
      </w:r>
      <w:r>
        <w:rPr>
          <w:sz w:val="20"/>
          <w:shd w:fill="FFFFFF" w:val="clear"/>
        </w:rPr>
        <w:t>Our business is dependent on the continued cooperation and support of card networks, processing switches, and other third parties.</w:t>
      </w:r>
    </w:p>
    <w:p>
      <w:pPr>
        <w:pStyle w:val="TextBody"/>
        <w:bidi w:val="0"/>
        <w:spacing w:lineRule="atLeast" w:line="240" w:before="0" w:after="0"/>
        <w:ind w:left="720" w:right="0" w:hanging="192"/>
        <w:jc w:val="both"/>
        <w:rPr>
          <w:shd w:fill="FFFFFF" w:val="clear"/>
        </w:rPr>
      </w:pPr>
      <w:r>
        <w:rPr>
          <w:shd w:fill="FFFFFF" w:val="clear"/>
        </w:rPr>
        <w:t></w:t>
      </w:r>
      <w:r>
        <w:rPr>
          <w:caps w:val="false"/>
          <w:smallCaps w:val="false"/>
          <w:shd w:fill="FFFFFF" w:val="clear"/>
        </w:rPr>
        <w:t xml:space="preserve">   </w:t>
      </w:r>
      <w:r>
        <w:rPr>
          <w:sz w:val="20"/>
          <w:shd w:fill="FFFFFF" w:val="clear"/>
        </w:rPr>
        <w:t>Changes in their policies, rules, or fees could significantly impact our profitability.</w:t>
      </w:r>
    </w:p>
    <w:p>
      <w:pPr>
        <w:pStyle w:val="TextBody"/>
        <w:bidi w:val="0"/>
        <w:spacing w:lineRule="atLeast" w:line="240" w:before="200" w:after="200"/>
        <w:ind w:left="528" w:right="0" w:hanging="0"/>
        <w:jc w:val="both"/>
        <w:rPr/>
      </w:pPr>
      <w:r>
        <w:rPr>
          <w:b/>
          <w:sz w:val="20"/>
        </w:rPr>
        <w:t>We could incur substantial losses if one of the third-party depository</w:t>
      </w:r>
      <w:r>
        <w:rPr/>
        <w:t xml:space="preserve"> </w:t>
      </w:r>
      <w:r>
        <w:rPr>
          <w:b/>
          <w:sz w:val="20"/>
        </w:rPr>
        <w:t>institutions or financial institutions we use in our operations were to fail.</w:t>
      </w:r>
    </w:p>
    <w:p>
      <w:pPr>
        <w:pStyle w:val="TextBody"/>
        <w:bidi w:val="0"/>
        <w:spacing w:lineRule="atLeast" w:line="240" w:before="200" w:after="200"/>
        <w:jc w:val="both"/>
        <w:rPr>
          <w:sz w:val="20"/>
        </w:rPr>
      </w:pPr>
      <w:r>
        <w:rPr>
          <w:sz w:val="20"/>
        </w:rPr>
        <w:t>As part of our business operations, we maintain cash balances at third party depository institutions. We could incur substantial losses if a financial institution in which we have significant deposits fails.</w:t>
      </w:r>
    </w:p>
    <w:p>
      <w:pPr>
        <w:pStyle w:val="TextBody"/>
        <w:bidi w:val="0"/>
        <w:spacing w:lineRule="atLeast" w:line="240" w:before="200" w:after="200"/>
        <w:jc w:val="both"/>
        <w:rPr>
          <w:sz w:val="20"/>
        </w:rPr>
      </w:pPr>
      <w:r>
        <w:rPr>
          <w:sz w:val="20"/>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pStyle w:val="TextBody"/>
        <w:bidi w:val="0"/>
        <w:spacing w:lineRule="atLeast" w:line="240" w:before="200" w:after="160"/>
        <w:jc w:val="both"/>
        <w:rPr>
          <w:b/>
          <w:sz w:val="20"/>
        </w:rPr>
      </w:pPr>
      <w:r>
        <w:rPr>
          <w:b/>
          <w:sz w:val="20"/>
        </w:rPr>
        <w:t>Dependence on Third Parties for ATM Operations</w:t>
      </w:r>
    </w:p>
    <w:p>
      <w:pPr>
        <w:pStyle w:val="TextBody"/>
        <w:bidi w:val="0"/>
        <w:spacing w:lineRule="atLeast" w:line="240" w:before="0" w:after="160"/>
        <w:jc w:val="both"/>
        <w:rPr>
          <w:sz w:val="20"/>
        </w:rPr>
      </w:pPr>
      <w:r>
        <w:rPr>
          <w:sz w:val="20"/>
        </w:rPr>
        <w:t>Our ATM operations rely heavily on third parties, including:</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Sponsor Banks:</w:t>
      </w:r>
      <w:r>
        <w:rPr/>
        <w:t xml:space="preserve"> </w:t>
      </w:r>
      <w:r>
        <w:rPr>
          <w:sz w:val="20"/>
        </w:rPr>
        <w:t>In many markets, we require sponsor bank arrangements to comply with local regulations and operate on financial transaction switching networks.</w:t>
      </w:r>
    </w:p>
    <w:p>
      <w:pPr>
        <w:pStyle w:val="TextBody"/>
        <w:bidi w:val="0"/>
        <w:spacing w:lineRule="atLeast" w:line="240" w:before="0" w:after="200"/>
        <w:ind w:left="720" w:right="0" w:hanging="192"/>
        <w:jc w:val="both"/>
        <w:rPr/>
      </w:pPr>
      <w:r>
        <w:rPr/>
        <w:t></w:t>
      </w:r>
      <w:r>
        <w:rPr>
          <w:caps w:val="false"/>
          <w:smallCaps w:val="false"/>
        </w:rPr>
        <w:t xml:space="preserve">   </w:t>
      </w:r>
      <w:r>
        <w:rPr>
          <w:b/>
          <w:sz w:val="20"/>
        </w:rPr>
        <w:t>Cash Providers:</w:t>
      </w:r>
      <w:r>
        <w:rPr/>
        <w:t xml:space="preserve"> </w:t>
      </w:r>
      <w:r>
        <w:rPr>
          <w:sz w:val="20"/>
        </w:rPr>
        <w:t>We rely on third-party financial institutions to provide a significant portion of the cash required to operate our ATM networks.</w:t>
      </w:r>
    </w:p>
    <w:p>
      <w:pPr>
        <w:pStyle w:val="TextBody"/>
        <w:bidi w:val="0"/>
        <w:spacing w:lineRule="atLeast" w:line="240" w:before="0" w:after="160"/>
        <w:jc w:val="both"/>
        <w:rPr>
          <w:sz w:val="20"/>
        </w:rPr>
      </w:pPr>
      <w:r>
        <w:rPr>
          <w:sz w:val="20"/>
        </w:rPr>
        <w:t>Dependence on these third parties presents several risks: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Loss of Operating Licenses:</w:t>
      </w:r>
      <w:r>
        <w:rPr/>
        <w:t xml:space="preserve"> </w:t>
      </w:r>
      <w:r>
        <w:rPr>
          <w:sz w:val="20"/>
        </w:rPr>
        <w:t>Failure to secure or maintain sponsor bank arrangements could prevent us from operating in certain markets.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Disruption of Cash Supply:</w:t>
      </w:r>
      <w:r>
        <w:rPr/>
        <w:t xml:space="preserve"> </w:t>
      </w:r>
      <w:r>
        <w:rPr>
          <w:sz w:val="20"/>
        </w:rPr>
        <w:t>If cash providers terminate their agreements or are unable to fulfill their obligations, it could severely disrupt our ATM operations and require us to find alternative sources of funding, potentially at higher costs.</w:t>
      </w:r>
    </w:p>
    <w:p>
      <w:pPr>
        <w:pStyle w:val="TextBody"/>
        <w:bidi w:val="0"/>
        <w:spacing w:lineRule="atLeast" w:line="240" w:before="0" w:after="200"/>
        <w:ind w:left="720" w:right="0" w:hanging="192"/>
        <w:jc w:val="both"/>
        <w:rPr/>
      </w:pPr>
      <w:r>
        <w:rPr/>
        <w:t></w:t>
      </w:r>
      <w:r>
        <w:rPr>
          <w:caps w:val="false"/>
          <w:smallCaps w:val="false"/>
        </w:rPr>
        <w:t xml:space="preserve">   </w:t>
      </w:r>
      <w:r>
        <w:rPr>
          <w:b/>
          <w:sz w:val="20"/>
        </w:rPr>
        <w:t>Negotiation Challenges:</w:t>
      </w:r>
      <w:r>
        <w:rPr/>
        <w:t xml:space="preserve"> </w:t>
      </w:r>
      <w:r>
        <w:rPr>
          <w:sz w:val="20"/>
        </w:rPr>
        <w:t>Negotiating and maintaining favorable terms with sponsor banks and cash providers can be challenging and may involve significant costs.</w:t>
      </w:r>
    </w:p>
    <w:p>
      <w:pPr>
        <w:pStyle w:val="TextBody"/>
        <w:bidi w:val="0"/>
        <w:spacing w:lineRule="atLeast" w:line="240" w:before="0" w:after="200"/>
        <w:jc w:val="both"/>
        <w:rPr>
          <w:sz w:val="20"/>
        </w:rPr>
      </w:pPr>
      <w:r>
        <w:rPr>
          <w:sz w:val="20"/>
        </w:rPr>
        <w:t>These risks could adversely impact our ability to operate our ATM networks, increase our operating costs, and negatively impact our financial results.</w:t>
      </w:r>
    </w:p>
    <w:p>
      <w:pPr>
        <w:pStyle w:val="TextBody"/>
        <w:bidi w:val="0"/>
        <w:spacing w:lineRule="atLeast" w:line="240" w:before="200" w:after="200"/>
        <w:jc w:val="both"/>
        <w:rPr/>
      </w:pPr>
      <w:r>
        <w:rPr>
          <w:b/>
          <w:sz w:val="20"/>
        </w:rPr>
        <w:t>If we are unable to maintain our money transfer agent and correspondent</w:t>
      </w:r>
      <w:r>
        <w:rPr/>
        <w:t xml:space="preserve"> </w:t>
      </w:r>
      <w:r>
        <w:rPr>
          <w:b/>
          <w:sz w:val="20"/>
        </w:rPr>
        <w:t>networks, our business may be adversely affected.</w:t>
      </w:r>
    </w:p>
    <w:p>
      <w:pPr>
        <w:pStyle w:val="TextBody"/>
        <w:bidi w:val="0"/>
        <w:spacing w:lineRule="atLeast" w:line="240" w:before="200" w:after="0"/>
        <w:jc w:val="both"/>
        <w:rPr>
          <w:sz w:val="20"/>
        </w:rPr>
      </w:pPr>
      <w:r>
        <w:rPr>
          <w:sz w:val="20"/>
        </w:rPr>
        <w:t>Our consumer-to-consumer money transfer-based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color w:val="3366FF"/>
          <w:sz w:val="20"/>
          <w:shd w:fill="FFFFFF" w:val="clear"/>
        </w:rPr>
      </w:pPr>
      <w:r>
        <w:rPr>
          <w:b/>
          <w:color w:val="3366FF"/>
          <w:sz w:val="20"/>
          <w:shd w:fill="FFFFFF" w:val="clear"/>
        </w:rPr>
        <w:t>CORPORATE GROWTH STRATEGIES</w:t>
      </w:r>
    </w:p>
    <w:p>
      <w:pPr>
        <w:pStyle w:val="TextBody"/>
        <w:bidi w:val="0"/>
        <w:spacing w:lineRule="atLeast" w:line="240" w:before="200" w:after="200"/>
        <w:jc w:val="both"/>
        <w:rPr>
          <w:b/>
          <w:sz w:val="20"/>
        </w:rPr>
      </w:pPr>
      <w:r>
        <w:rPr>
          <w:b/>
          <w:sz w:val="20"/>
        </w:rPr>
        <w:t>Risks Related to Acquisitions</w:t>
      </w:r>
    </w:p>
    <w:p>
      <w:pPr>
        <w:pStyle w:val="TextBody"/>
        <w:bidi w:val="0"/>
        <w:spacing w:lineRule="atLeast" w:line="240" w:before="200" w:after="200"/>
        <w:jc w:val="both"/>
        <w:rPr>
          <w:sz w:val="20"/>
        </w:rPr>
      </w:pPr>
      <w:r>
        <w:rPr>
          <w:sz w:val="20"/>
        </w:rPr>
        <w:t>Our growth strategy may include future acquisitions. However, acquisitions involve inherent risks, including:</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Integration Challenges:</w:t>
      </w:r>
      <w:r>
        <w:rPr/>
        <w:t xml:space="preserve"> </w:t>
      </w:r>
      <w:r>
        <w:rPr>
          <w:sz w:val="20"/>
        </w:rPr>
        <w:t>Successfully integrating acquired businesses, including CoreCard, can be complex and challenging. Difficulties in integrating operations, technology, and personnel can disrupt business operations, negatively impact customer relationships, and hinder the achievement of anticipated synergies.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Unforeseen Liabilities and Contingencies:</w:t>
      </w:r>
      <w:r>
        <w:rPr/>
        <w:t xml:space="preserve"> </w:t>
      </w:r>
      <w:r>
        <w:rPr>
          <w:sz w:val="20"/>
        </w:rPr>
        <w:t>Acquired businesses may have undisclosed liabilities or contingent obligations that could adversely impact our financial results.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Difficulties in Achieving Synergies:</w:t>
      </w:r>
      <w:r>
        <w:rPr/>
        <w:t xml:space="preserve"> </w:t>
      </w:r>
      <w:r>
        <w:rPr>
          <w:sz w:val="20"/>
        </w:rPr>
        <w:t>Realizing the anticipated synergies from acquisitions can be difficult and may take longer than expected. Factors such as unforeseen competitive pressures, regulatory changes, and economic downturns can hinder the achievement of these synergies.</w:t>
      </w:r>
    </w:p>
    <w:p>
      <w:pPr>
        <w:pStyle w:val="TextBody"/>
        <w:bidi w:val="0"/>
        <w:spacing w:lineRule="atLeast" w:line="240" w:before="0" w:after="200"/>
        <w:ind w:left="720" w:right="0" w:hanging="192"/>
        <w:jc w:val="both"/>
        <w:rPr/>
      </w:pPr>
      <w:r>
        <w:rPr/>
        <w:t></w:t>
      </w:r>
      <w:r>
        <w:rPr>
          <w:caps w:val="false"/>
          <w:smallCaps w:val="false"/>
        </w:rPr>
        <w:t xml:space="preserve">   </w:t>
      </w:r>
      <w:r>
        <w:rPr>
          <w:b/>
          <w:sz w:val="20"/>
        </w:rPr>
        <w:t>Dilution of Shareholder Value:</w:t>
      </w:r>
      <w:r>
        <w:rPr/>
        <w:t xml:space="preserve"> </w:t>
      </w:r>
      <w:r>
        <w:rPr>
          <w:sz w:val="20"/>
        </w:rPr>
        <w:t>Acquisitions may be financed through the issuance of equity, which could dilute existing shareholders' ownership and potentially depress the market price of our common stock.</w:t>
      </w:r>
    </w:p>
    <w:p>
      <w:pPr>
        <w:pStyle w:val="TextBody"/>
        <w:bidi w:val="0"/>
        <w:spacing w:lineRule="atLeast" w:line="240" w:before="200" w:after="200"/>
        <w:jc w:val="both"/>
        <w:rPr>
          <w:b/>
          <w:sz w:val="20"/>
        </w:rPr>
      </w:pPr>
      <w:r>
        <w:rPr>
          <w:b/>
          <w:sz w:val="20"/>
        </w:rPr>
        <w:t>If consumer confidence in our business or brands declines, our business may be adversely affected.</w:t>
      </w:r>
    </w:p>
    <w:p>
      <w:pPr>
        <w:pStyle w:val="TextBody"/>
        <w:bidi w:val="0"/>
        <w:spacing w:lineRule="atLeast" w:line="240" w:before="200" w:after="200"/>
        <w:jc w:val="both"/>
        <w:rPr>
          <w:sz w:val="20"/>
        </w:rPr>
      </w:pPr>
      <w:r>
        <w:rPr>
          <w:sz w:val="20"/>
        </w:rPr>
        <w:t>A decline in consumer confidence in our brands, our ability to provide reliable and secure services, or the money transfer industry as a whole could materially and adversely impact our business.</w:t>
      </w:r>
    </w:p>
    <w:p>
      <w:pPr>
        <w:pStyle w:val="TextBody"/>
        <w:bidi w:val="0"/>
        <w:spacing w:lineRule="atLeast" w:line="240" w:before="200" w:after="200"/>
        <w:jc w:val="both"/>
        <w:rPr>
          <w:sz w:val="20"/>
        </w:rPr>
      </w:pPr>
      <w:r>
        <w:rPr>
          <w:sz w:val="20"/>
        </w:rPr>
        <w:t>Specifically, a decline in consumer confidence could:</w:t>
      </w:r>
    </w:p>
    <w:p>
      <w:pPr>
        <w:pStyle w:val="TextBody"/>
        <w:bidi w:val="0"/>
        <w:spacing w:lineRule="atLeast" w:line="240" w:before="0" w:after="0"/>
        <w:ind w:left="510" w:right="0" w:hanging="192"/>
        <w:jc w:val="both"/>
        <w:rPr/>
      </w:pPr>
      <w:r>
        <w:rPr/>
        <w:t></w:t>
      </w:r>
      <w:r>
        <w:rPr>
          <w:caps w:val="false"/>
          <w:smallCaps w:val="false"/>
        </w:rPr>
        <w:t xml:space="preserve">   </w:t>
      </w:r>
      <w:r>
        <w:rPr>
          <w:b/>
          <w:sz w:val="20"/>
        </w:rPr>
        <w:t>Reduce transaction volumes:</w:t>
      </w:r>
      <w:r>
        <w:rPr/>
        <w:t xml:space="preserve"> </w:t>
      </w:r>
      <w:r>
        <w:rPr>
          <w:sz w:val="20"/>
        </w:rPr>
        <w:t>Customers may choose to use alternative money transfer methods, such as cash or competing services, or may reduce their overall remittance activity.</w:t>
      </w:r>
    </w:p>
    <w:p>
      <w:pPr>
        <w:pStyle w:val="TextBody"/>
        <w:bidi w:val="0"/>
        <w:spacing w:lineRule="atLeast" w:line="240" w:before="0" w:after="0"/>
        <w:ind w:left="510" w:right="0" w:hanging="192"/>
        <w:jc w:val="both"/>
        <w:rPr/>
      </w:pPr>
      <w:r>
        <w:rPr/>
        <w:t></w:t>
      </w:r>
      <w:r>
        <w:rPr>
          <w:caps w:val="false"/>
          <w:smallCaps w:val="false"/>
        </w:rPr>
        <w:t xml:space="preserve">   </w:t>
      </w:r>
      <w:r>
        <w:rPr>
          <w:b/>
          <w:sz w:val="20"/>
        </w:rPr>
        <w:t>Increase customer churn:</w:t>
      </w:r>
      <w:r>
        <w:rPr/>
        <w:t xml:space="preserve"> </w:t>
      </w:r>
      <w:r>
        <w:rPr>
          <w:sz w:val="20"/>
        </w:rPr>
        <w:t>Existing customers may switch to competitors perceived to be more reliable or trustworthy.</w:t>
      </w:r>
    </w:p>
    <w:p>
      <w:pPr>
        <w:pStyle w:val="TextBody"/>
        <w:bidi w:val="0"/>
        <w:spacing w:lineRule="atLeast" w:line="240" w:before="0" w:after="0"/>
        <w:ind w:left="510" w:right="0" w:hanging="192"/>
        <w:jc w:val="both"/>
        <w:rPr/>
      </w:pPr>
      <w:r>
        <w:rPr/>
        <w:t></w:t>
      </w:r>
      <w:r>
        <w:rPr>
          <w:caps w:val="false"/>
          <w:smallCaps w:val="false"/>
        </w:rPr>
        <w:t xml:space="preserve">   </w:t>
      </w:r>
      <w:r>
        <w:rPr>
          <w:b/>
          <w:sz w:val="20"/>
        </w:rPr>
        <w:t>Damage our reputation:</w:t>
      </w:r>
      <w:r>
        <w:rPr/>
        <w:t xml:space="preserve"> </w:t>
      </w:r>
      <w:r>
        <w:rPr>
          <w:sz w:val="20"/>
        </w:rPr>
        <w:t>Negative publicity or perceived service disruptions can erode customer trust and negatively impact our brand image.</w:t>
      </w:r>
    </w:p>
    <w:p>
      <w:pPr>
        <w:pStyle w:val="TextBody"/>
        <w:bidi w:val="0"/>
        <w:spacing w:lineRule="atLeast" w:line="240" w:before="0" w:after="200"/>
        <w:ind w:left="510" w:right="0" w:hanging="192"/>
        <w:jc w:val="both"/>
        <w:rPr/>
      </w:pPr>
      <w:r>
        <w:rPr/>
        <w:t></w:t>
      </w:r>
      <w:r>
        <w:rPr>
          <w:caps w:val="false"/>
          <w:smallCaps w:val="false"/>
        </w:rPr>
        <w:t xml:space="preserve">   </w:t>
      </w:r>
      <w:r>
        <w:rPr>
          <w:b/>
          <w:sz w:val="20"/>
        </w:rPr>
        <w:t>Increase operating costs:</w:t>
      </w:r>
      <w:r>
        <w:rPr/>
        <w:t xml:space="preserve"> </w:t>
      </w:r>
      <w:r>
        <w:rPr>
          <w:sz w:val="20"/>
        </w:rPr>
        <w:t>We may need to invest in additional marketing and customer service efforts to regain customer trust and mitigate the impact of declining confidence.</w:t>
      </w:r>
    </w:p>
    <w:p>
      <w:pPr>
        <w:pStyle w:val="TextBody"/>
        <w:bidi w:val="0"/>
        <w:spacing w:lineRule="atLeast" w:line="240" w:before="200" w:after="200"/>
        <w:jc w:val="both"/>
        <w:rPr>
          <w:sz w:val="20"/>
        </w:rPr>
      </w:pPr>
      <w:r>
        <w:rPr>
          <w:sz w:val="20"/>
        </w:rPr>
        <w:t>A significant decline in consumer confidence could have a material adverse effect on our revenue, profitability, and financial condition.</w:t>
      </w:r>
    </w:p>
    <w:p>
      <w:pPr>
        <w:pStyle w:val="TextBody"/>
        <w:bidi w:val="0"/>
        <w:spacing w:lineRule="atLeast" w:line="240" w:before="200" w:after="200"/>
        <w:jc w:val="both"/>
        <w:rPr>
          <w:b/>
          <w:color w:val="3366FF"/>
          <w:sz w:val="20"/>
          <w:shd w:fill="FFFFFF" w:val="clear"/>
        </w:rPr>
      </w:pPr>
      <w:r>
        <w:rPr>
          <w:b/>
          <w:color w:val="3366FF"/>
          <w:sz w:val="20"/>
          <w:shd w:fill="FFFFFF" w:val="clear"/>
        </w:rPr>
        <w:t>CAPITAL MARKETS AND ECONOMIC CONDITIONS</w:t>
      </w:r>
    </w:p>
    <w:p>
      <w:pPr>
        <w:pStyle w:val="TextBody"/>
        <w:bidi w:val="0"/>
        <w:spacing w:lineRule="atLeast" w:line="240" w:before="200" w:after="200"/>
        <w:jc w:val="both"/>
        <w:rPr>
          <w:b/>
          <w:sz w:val="20"/>
        </w:rPr>
      </w:pPr>
      <w:r>
        <w:rPr>
          <w:b/>
          <w:sz w:val="20"/>
        </w:rPr>
        <w:t>Macroeconomic and Currency Risks</w:t>
      </w:r>
    </w:p>
    <w:p>
      <w:pPr>
        <w:pStyle w:val="TextBody"/>
        <w:bidi w:val="0"/>
        <w:spacing w:lineRule="atLeast" w:line="240" w:before="200" w:after="200"/>
        <w:jc w:val="both"/>
        <w:rPr>
          <w:sz w:val="20"/>
        </w:rPr>
      </w:pPr>
      <w:r>
        <w:rPr>
          <w:sz w:val="20"/>
        </w:rPr>
        <w:t>Our business is subject to various macroeconomic and currency risks, including:</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 xml:space="preserve">Economic Cycles and Seasonality: </w:t>
      </w:r>
    </w:p>
    <w:p>
      <w:pPr>
        <w:pStyle w:val="TextBody"/>
        <w:bidi w:val="0"/>
        <w:spacing w:lineRule="atLeast" w:line="240" w:before="0" w:after="0"/>
        <w:ind w:left="1440" w:right="0" w:hanging="220"/>
        <w:jc w:val="both"/>
        <w:rPr/>
      </w:pPr>
      <w:r>
        <w:rPr>
          <w:rFonts w:ascii="Courier New" w:hAnsi="Courier New"/>
          <w:sz w:val="20"/>
        </w:rPr>
        <w:t>o</w:t>
      </w:r>
      <w:r>
        <w:rPr>
          <w:caps w:val="false"/>
          <w:smallCaps w:val="false"/>
        </w:rPr>
        <w:t xml:space="preserve">   </w:t>
      </w:r>
      <w:r>
        <w:rPr>
          <w:sz w:val="20"/>
        </w:rPr>
        <w:t>Economic downturns, recessions, and changes in consumer spending patterns can negatively impact transaction volumes across our business segments.</w:t>
      </w:r>
    </w:p>
    <w:p>
      <w:pPr>
        <w:pStyle w:val="TextBody"/>
        <w:bidi w:val="0"/>
        <w:spacing w:lineRule="atLeast" w:line="240" w:before="0" w:after="0"/>
        <w:ind w:left="1440" w:right="0" w:hanging="220"/>
        <w:jc w:val="both"/>
        <w:rPr/>
      </w:pPr>
      <w:r>
        <w:rPr>
          <w:rFonts w:ascii="Courier New" w:hAnsi="Courier New"/>
          <w:sz w:val="20"/>
        </w:rPr>
        <w:t>o</w:t>
      </w:r>
      <w:r>
        <w:rPr>
          <w:caps w:val="false"/>
          <w:smallCaps w:val="false"/>
        </w:rPr>
        <w:t xml:space="preserve">   </w:t>
      </w:r>
      <w:r>
        <w:rPr>
          <w:sz w:val="20"/>
        </w:rPr>
        <w:t>Seasonal fluctuations in demand, such as holiday seasonality and tourism patterns, can lead to significant variations in our quarterly results.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 xml:space="preserve">Currency Fluctuations: </w:t>
      </w:r>
    </w:p>
    <w:p>
      <w:pPr>
        <w:pStyle w:val="TextBody"/>
        <w:bidi w:val="0"/>
        <w:spacing w:lineRule="atLeast" w:line="240" w:before="0" w:after="0"/>
        <w:ind w:left="1440" w:right="0" w:hanging="220"/>
        <w:jc w:val="both"/>
        <w:rPr/>
      </w:pPr>
      <w:r>
        <w:rPr>
          <w:rFonts w:ascii="Courier New" w:hAnsi="Courier New"/>
          <w:sz w:val="20"/>
        </w:rPr>
        <w:t>o</w:t>
      </w:r>
      <w:r>
        <w:rPr>
          <w:caps w:val="false"/>
          <w:smallCaps w:val="false"/>
        </w:rPr>
        <w:t xml:space="preserve">   </w:t>
      </w:r>
      <w:r>
        <w:rPr>
          <w:sz w:val="20"/>
        </w:rPr>
        <w:t>Fluctuations in foreign exchange rates can adversely impact our financial results, particularly in the Money Transfer Segment where we are exposed to currency exchange risk between the currencies of sending and receiving countries.</w:t>
      </w:r>
    </w:p>
    <w:p>
      <w:pPr>
        <w:pStyle w:val="TextBody"/>
        <w:bidi w:val="0"/>
        <w:spacing w:lineRule="atLeast" w:line="240" w:before="0" w:after="0"/>
        <w:ind w:left="1440" w:right="0" w:hanging="220"/>
        <w:jc w:val="both"/>
        <w:rPr/>
      </w:pPr>
      <w:r>
        <w:rPr>
          <w:rFonts w:ascii="Courier New" w:hAnsi="Courier New"/>
          <w:sz w:val="20"/>
        </w:rPr>
        <w:t>o</w:t>
      </w:r>
      <w:r>
        <w:rPr>
          <w:caps w:val="false"/>
          <w:smallCaps w:val="false"/>
        </w:rPr>
        <w:t xml:space="preserve">   </w:t>
      </w:r>
      <w:r>
        <w:rPr>
          <w:sz w:val="20"/>
        </w:rPr>
        <w:t>The adoption of new currencies in the countries where we operate could also create significant operational and financial challenges.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 xml:space="preserve">Geopolitical and Economic Instability: </w:t>
      </w:r>
    </w:p>
    <w:p>
      <w:pPr>
        <w:pStyle w:val="TextBody"/>
        <w:bidi w:val="0"/>
        <w:spacing w:lineRule="atLeast" w:line="240" w:before="0" w:after="200"/>
        <w:ind w:left="1440" w:right="0" w:hanging="220"/>
        <w:jc w:val="both"/>
        <w:rPr/>
      </w:pPr>
      <w:r>
        <w:rPr>
          <w:rFonts w:ascii="Courier New" w:hAnsi="Courier New"/>
          <w:sz w:val="20"/>
        </w:rPr>
        <w:t>o</w:t>
      </w:r>
      <w:r>
        <w:rPr>
          <w:caps w:val="false"/>
          <w:smallCaps w:val="false"/>
        </w:rPr>
        <w:t xml:space="preserve">   </w:t>
      </w:r>
      <w:r>
        <w:rPr>
          <w:sz w:val="20"/>
        </w:rPr>
        <w:t>Geopolitical events, such as wars, political instability, and natural disasters, can disrupt our operations and negatively impact customer demand.</w:t>
      </w:r>
    </w:p>
    <w:p>
      <w:pPr>
        <w:pStyle w:val="TextBody"/>
        <w:bidi w:val="0"/>
        <w:spacing w:lineRule="atLeast" w:line="240" w:before="200" w:after="200"/>
        <w:jc w:val="both"/>
        <w:rPr>
          <w:b/>
          <w:sz w:val="20"/>
        </w:rPr>
      </w:pPr>
      <w:r>
        <w:rPr>
          <w:b/>
          <w:sz w:val="20"/>
        </w:rPr>
        <w:t>These risks can impact our business by:</w:t>
      </w:r>
    </w:p>
    <w:p>
      <w:pPr>
        <w:pStyle w:val="TextBody"/>
        <w:bidi w:val="0"/>
        <w:spacing w:lineRule="atLeast" w:line="240" w:before="0" w:after="0"/>
        <w:ind w:left="720" w:right="0" w:hanging="192"/>
        <w:jc w:val="both"/>
        <w:rPr/>
      </w:pPr>
      <w:r>
        <w:rPr/>
        <w:t></w:t>
      </w:r>
      <w:r>
        <w:rPr>
          <w:caps w:val="false"/>
          <w:smallCaps w:val="false"/>
        </w:rPr>
        <w:t xml:space="preserve">   </w:t>
      </w:r>
      <w:r>
        <w:rPr>
          <w:sz w:val="20"/>
        </w:rPr>
        <w:t>Reducing transaction volumes.</w:t>
      </w:r>
    </w:p>
    <w:p>
      <w:pPr>
        <w:pStyle w:val="TextBody"/>
        <w:bidi w:val="0"/>
        <w:spacing w:lineRule="atLeast" w:line="240" w:before="0" w:after="0"/>
        <w:ind w:left="720" w:right="0" w:hanging="192"/>
        <w:jc w:val="both"/>
        <w:rPr/>
      </w:pPr>
      <w:r>
        <w:rPr/>
        <w:t></w:t>
      </w:r>
      <w:r>
        <w:rPr>
          <w:caps w:val="false"/>
          <w:smallCaps w:val="false"/>
        </w:rPr>
        <w:t xml:space="preserve">   </w:t>
      </w:r>
      <w:r>
        <w:rPr>
          <w:sz w:val="20"/>
        </w:rPr>
        <w:t>Increasing operating costs.</w:t>
      </w:r>
    </w:p>
    <w:p>
      <w:pPr>
        <w:pStyle w:val="TextBody"/>
        <w:bidi w:val="0"/>
        <w:spacing w:lineRule="atLeast" w:line="240" w:before="0" w:after="0"/>
        <w:ind w:left="720" w:right="0" w:hanging="192"/>
        <w:jc w:val="both"/>
        <w:rPr/>
      </w:pPr>
      <w:r>
        <w:rPr/>
        <w:t></w:t>
      </w:r>
      <w:r>
        <w:rPr>
          <w:caps w:val="false"/>
          <w:smallCaps w:val="false"/>
        </w:rPr>
        <w:t xml:space="preserve">   </w:t>
      </w:r>
      <w:r>
        <w:rPr>
          <w:sz w:val="20"/>
        </w:rPr>
        <w:t>Impairing the value of our assets.</w:t>
      </w:r>
    </w:p>
    <w:p>
      <w:pPr>
        <w:pStyle w:val="TextBody"/>
        <w:bidi w:val="0"/>
        <w:spacing w:lineRule="atLeast" w:line="240" w:before="0" w:after="200"/>
        <w:ind w:left="720" w:right="0" w:hanging="192"/>
        <w:jc w:val="both"/>
        <w:rPr/>
      </w:pPr>
      <w:r>
        <w:rPr/>
        <w:t></w:t>
      </w:r>
      <w:r>
        <w:rPr>
          <w:caps w:val="false"/>
          <w:smallCaps w:val="false"/>
        </w:rPr>
        <w:t xml:space="preserve">   </w:t>
      </w:r>
      <w:r>
        <w:rPr>
          <w:sz w:val="20"/>
        </w:rPr>
        <w:t>Creating volatility in our financial results.</w:t>
      </w:r>
    </w:p>
    <w:p>
      <w:pPr>
        <w:pStyle w:val="TextBody"/>
        <w:bidi w:val="0"/>
        <w:spacing w:lineRule="atLeast" w:line="240" w:before="200" w:after="200"/>
        <w:jc w:val="both"/>
        <w:rPr>
          <w:b/>
          <w:sz w:val="20"/>
        </w:rPr>
      </w:pPr>
      <w:r>
        <w:rPr>
          <w:b/>
          <w:sz w:val="20"/>
        </w:rPr>
        <w:t>We utilize various strategies to mitigate these risks, such as:</w:t>
      </w:r>
    </w:p>
    <w:p>
      <w:pPr>
        <w:pStyle w:val="TextBody"/>
        <w:bidi w:val="0"/>
        <w:spacing w:lineRule="atLeast" w:line="240" w:before="0" w:after="0"/>
        <w:ind w:left="720" w:right="0" w:hanging="192"/>
        <w:jc w:val="both"/>
        <w:rPr/>
      </w:pPr>
      <w:r>
        <w:rPr/>
        <w:t></w:t>
      </w:r>
      <w:r>
        <w:rPr>
          <w:caps w:val="false"/>
          <w:smallCaps w:val="false"/>
        </w:rPr>
        <w:t xml:space="preserve">   </w:t>
      </w:r>
      <w:r>
        <w:rPr>
          <w:sz w:val="20"/>
        </w:rPr>
        <w:t>Diversification of our geographic footprint.</w:t>
      </w:r>
    </w:p>
    <w:p>
      <w:pPr>
        <w:pStyle w:val="TextBody"/>
        <w:bidi w:val="0"/>
        <w:spacing w:lineRule="atLeast" w:line="240" w:before="0" w:after="0"/>
        <w:ind w:left="720" w:right="0" w:hanging="192"/>
        <w:jc w:val="both"/>
        <w:rPr/>
      </w:pPr>
      <w:r>
        <w:rPr/>
        <w:t></w:t>
      </w:r>
      <w:r>
        <w:rPr>
          <w:caps w:val="false"/>
          <w:smallCaps w:val="false"/>
        </w:rPr>
        <w:t xml:space="preserve">   </w:t>
      </w:r>
      <w:r>
        <w:rPr>
          <w:sz w:val="20"/>
        </w:rPr>
        <w:t>Hedging strategies to mitigate currency exchange risk.</w:t>
      </w:r>
    </w:p>
    <w:p>
      <w:pPr>
        <w:pStyle w:val="TextBody"/>
        <w:bidi w:val="0"/>
        <w:spacing w:lineRule="atLeast" w:line="240" w:before="0" w:after="200"/>
        <w:ind w:left="720" w:right="0" w:hanging="192"/>
        <w:jc w:val="both"/>
        <w:rPr/>
      </w:pPr>
      <w:r>
        <w:rPr/>
        <w:t></w:t>
      </w:r>
      <w:r>
        <w:rPr>
          <w:caps w:val="false"/>
          <w:smallCaps w:val="false"/>
        </w:rPr>
        <w:t xml:space="preserve">   </w:t>
      </w:r>
      <w:r>
        <w:rPr>
          <w:sz w:val="20"/>
        </w:rPr>
        <w:t>Continuous monitoring of economic and political developments.</w:t>
      </w:r>
    </w:p>
    <w:p>
      <w:pPr>
        <w:pStyle w:val="TextBody"/>
        <w:bidi w:val="0"/>
        <w:spacing w:lineRule="atLeast" w:line="240" w:before="200" w:after="200"/>
        <w:jc w:val="both"/>
        <w:rPr>
          <w:sz w:val="20"/>
        </w:rPr>
      </w:pPr>
      <w:r>
        <w:rPr>
          <w:sz w:val="20"/>
        </w:rPr>
        <w:t>However, we cannot fully eliminate the impact of these macroeconomic and currency risks on our business.</w:t>
      </w:r>
    </w:p>
    <w:p>
      <w:pPr>
        <w:pStyle w:val="TextBody"/>
        <w:bidi w:val="0"/>
        <w:spacing w:lineRule="atLeast" w:line="240"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pPr>
      <w:r>
        <w:rPr>
          <w:b/>
          <w:sz w:val="20"/>
        </w:rPr>
        <w:t>We have a substantial amount of debt and other contractual commitments, and while the cost of servicing those obligations is not expected to adversely affect our business, the risk could increase if we incur more debt. We may be required to prepay</w:t>
      </w:r>
      <w:r>
        <w:rPr/>
        <w:t xml:space="preserve"> </w:t>
      </w:r>
      <w:r>
        <w:rPr>
          <w:b/>
          <w:sz w:val="20"/>
        </w:rPr>
        <w:t>our obligations under the credit facility.</w:t>
      </w:r>
      <w:r>
        <w:rPr/>
        <w:t> </w:t>
      </w:r>
    </w:p>
    <w:p>
      <w:pPr>
        <w:pStyle w:val="TextBody"/>
        <w:bidi w:val="0"/>
        <w:spacing w:lineRule="atLeast" w:line="240" w:before="200" w:after="200"/>
        <w:jc w:val="both"/>
        <w:rPr/>
      </w:pPr>
      <w:r>
        <w:rPr>
          <w:sz w:val="20"/>
        </w:rPr>
        <w:t xml:space="preserve">As of </w:t>
      </w:r>
      <w:r>
        <w:rPr>
          <w:rFonts w:ascii="Times New Roman" w:hAnsi="Times New Roman"/>
          <w:sz w:val="20"/>
        </w:rPr>
        <w:t>December 31, 2025</w:t>
      </w:r>
      <w:r>
        <w:rPr>
          <w:sz w:val="20"/>
        </w:rPr>
        <w:t>, total liabilities were $</w:t>
      </w:r>
      <w:r>
        <w:rPr>
          <w:rFonts w:ascii="Times New Roman" w:hAnsi="Times New Roman"/>
          <w:sz w:val="20"/>
        </w:rPr>
        <w:t>5,166.2</w:t>
      </w:r>
      <w:r>
        <w:rPr/>
        <w:t xml:space="preserve"> </w:t>
      </w:r>
      <w:r>
        <w:rPr>
          <w:sz w:val="20"/>
        </w:rPr>
        <w:t>million, of which $</w:t>
      </w:r>
      <w:r>
        <w:rPr>
          <w:rFonts w:ascii="Times New Roman" w:hAnsi="Times New Roman"/>
          <w:sz w:val="20"/>
        </w:rPr>
        <w:t>1,311.5</w:t>
      </w:r>
      <w:r>
        <w:rPr/>
        <w:t xml:space="preserve"> </w:t>
      </w:r>
      <w:r>
        <w:rPr>
          <w:sz w:val="20"/>
        </w:rPr>
        <w:t>million are long term liabilities.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w:t>
      </w:r>
      <w:r>
        <w:rPr/>
        <w:t> </w:t>
      </w:r>
      <w:r>
        <w:rPr>
          <w:sz w:val="20"/>
        </w:rPr>
        <w:t>processing centers, ATM machines or POS terminals on a faster pace than anticipated, we may be required to incur additional debt for these purposes and to fund our working capital needs, including ATM network cash, which we may not be able to obtain.</w:t>
      </w:r>
      <w:r>
        <w:rPr/>
        <w:t> </w:t>
      </w:r>
      <w:r>
        <w:rPr>
          <w:sz w:val="20"/>
        </w:rPr>
        <w:t>The level of our indebtedness could have important consequences to investors, including the following:</w:t>
      </w:r>
    </w:p>
    <w:p>
      <w:pPr>
        <w:pStyle w:val="TextBody"/>
        <w:bidi w:val="0"/>
        <w:spacing w:lineRule="atLeast" w:line="240" w:before="0" w:after="0"/>
        <w:ind w:left="720" w:right="0" w:hanging="360"/>
        <w:jc w:val="both"/>
        <w:rPr/>
      </w:pPr>
      <w:r>
        <w:rPr/>
        <w:t></w:t>
      </w:r>
      <w:r>
        <w:rPr>
          <w:caps w:val="false"/>
          <w:smallCaps w:val="false"/>
        </w:rPr>
        <w:t xml:space="preserve">         </w:t>
      </w:r>
      <w:r>
        <w:rPr>
          <w:sz w:val="20"/>
        </w:rPr>
        <w:t>our ability to obtain any necessary financing in the future for working capital, capital expenditures, debt service requirements or other purposes may be limited, or financing may be unavailable;</w:t>
      </w:r>
    </w:p>
    <w:p>
      <w:pPr>
        <w:pStyle w:val="TextBody"/>
        <w:bidi w:val="0"/>
        <w:spacing w:lineRule="atLeast" w:line="240" w:before="0" w:after="0"/>
        <w:ind w:left="720" w:right="0" w:hanging="360"/>
        <w:jc w:val="both"/>
        <w:rPr/>
      </w:pPr>
      <w:r>
        <w:rPr/>
        <w:t></w:t>
      </w:r>
      <w:r>
        <w:rPr>
          <w:caps w:val="false"/>
          <w:smallCaps w:val="false"/>
        </w:rPr>
        <w:t xml:space="preserve">         </w:t>
      </w:r>
      <w:r>
        <w:rPr>
          <w:sz w:val="20"/>
        </w:rPr>
        <w:t>a portion of our cash flows must be dedicated to the payment of principal and interest on our indebtedness and other obligations and will not be available for use in our business;</w:t>
      </w:r>
    </w:p>
    <w:p>
      <w:pPr>
        <w:pStyle w:val="TextBody"/>
        <w:bidi w:val="0"/>
        <w:spacing w:lineRule="atLeast" w:line="240" w:before="0" w:after="0"/>
        <w:ind w:left="720" w:right="0" w:hanging="360"/>
        <w:jc w:val="both"/>
        <w:rPr/>
      </w:pPr>
      <w:r>
        <w:rPr/>
        <w:t></w:t>
      </w:r>
      <w:r>
        <w:rPr>
          <w:caps w:val="false"/>
          <w:smallCaps w:val="false"/>
        </w:rPr>
        <w:t xml:space="preserve">         </w:t>
      </w:r>
      <w:r>
        <w:rPr>
          <w:sz w:val="20"/>
        </w:rPr>
        <w:t>our level of indebtedness could limit our flexibility in planning for, or reacting to, changes in our business and the markets in which we operate;</w:t>
      </w:r>
    </w:p>
    <w:p>
      <w:pPr>
        <w:pStyle w:val="TextBody"/>
        <w:bidi w:val="0"/>
        <w:spacing w:lineRule="atLeast" w:line="240" w:before="0" w:after="0"/>
        <w:ind w:left="720" w:right="0" w:hanging="360"/>
        <w:jc w:val="both"/>
        <w:rPr/>
      </w:pPr>
      <w:r>
        <w:rPr/>
        <w:t></w:t>
      </w:r>
      <w:r>
        <w:rPr>
          <w:caps w:val="false"/>
          <w:smallCaps w:val="false"/>
        </w:rPr>
        <w:t xml:space="preserve">         </w:t>
      </w:r>
      <w:r>
        <w:rPr>
          <w:sz w:val="20"/>
        </w:rPr>
        <w:t>our level of indebtedness will make us more vulnerable to changes in general economic conditions and/or a downturn in our business, thereby making it more difficult for us to satisfy our obligations; and</w:t>
      </w:r>
    </w:p>
    <w:p>
      <w:pPr>
        <w:pStyle w:val="TextBody"/>
        <w:bidi w:val="0"/>
        <w:spacing w:lineRule="atLeast" w:line="240" w:before="0" w:after="40"/>
        <w:ind w:left="720" w:right="0" w:hanging="360"/>
        <w:jc w:val="both"/>
        <w:rPr/>
      </w:pPr>
      <w:r>
        <w:rPr/>
        <w:t></w:t>
      </w:r>
      <w:r>
        <w:rPr>
          <w:caps w:val="false"/>
          <w:smallCaps w:val="false"/>
        </w:rPr>
        <w:t xml:space="preserve">         </w:t>
      </w:r>
      <w:r>
        <w:rPr>
          <w:sz w:val="20"/>
        </w:rPr>
        <w:t>because a portion of our debt bears interest at a variable rate of interest, our actual debt service obligations could increase as a result of adverse changes in interest rates.</w:t>
      </w:r>
    </w:p>
    <w:p>
      <w:pPr>
        <w:pStyle w:val="TextBody"/>
        <w:bidi w:val="0"/>
        <w:spacing w:lineRule="atLeast" w:line="240" w:before="200" w:after="200"/>
        <w:jc w:val="both"/>
        <w:rPr>
          <w:sz w:val="20"/>
        </w:rPr>
      </w:pPr>
      <w:r>
        <w:rPr>
          <w:sz w:val="20"/>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pStyle w:val="TextBody"/>
        <w:shd w:fill="FFFFFF" w:val="clear"/>
        <w:bidi w:val="0"/>
        <w:spacing w:lineRule="atLeast" w:line="240" w:before="200" w:after="200"/>
        <w:jc w:val="both"/>
        <w:rPr/>
      </w:pPr>
      <w:r>
        <w:rPr>
          <w:sz w:val="20"/>
        </w:rPr>
        <w:t>Restrictive covenants in our credit facilities may adversely affect us. Our Credit Facility (as defined below) contains</w:t>
      </w:r>
      <w:r>
        <w:rPr/>
        <w:t> </w:t>
      </w:r>
      <w:r>
        <w:rPr>
          <w:sz w:val="20"/>
        </w:rPr>
        <w:t>two</w:t>
      </w:r>
      <w:r>
        <w:rPr/>
        <w:t> </w:t>
      </w:r>
      <w:r>
        <w:rPr>
          <w:sz w:val="20"/>
        </w:rPr>
        <w:t>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pStyle w:val="TextBody"/>
        <w:shd w:fill="FFFFFF" w:val="clear"/>
        <w:bidi w:val="0"/>
        <w:spacing w:lineRule="atLeast" w:line="240" w:before="200" w:after="200"/>
        <w:jc w:val="both"/>
        <w:rPr/>
      </w:pPr>
      <w:r>
        <w:rPr>
          <w:sz w:val="20"/>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r>
        <w:rPr/>
        <w:t xml:space="preserve"> </w:t>
      </w:r>
    </w:p>
    <w:p>
      <w:pPr>
        <w:pStyle w:val="TextBody"/>
        <w:bidi w:val="0"/>
        <w:spacing w:lineRule="atLeast" w:line="240" w:before="200" w:after="200"/>
        <w:jc w:val="both"/>
        <w:rPr>
          <w:b/>
          <w:color w:val="3366FF"/>
          <w:sz w:val="20"/>
        </w:rPr>
      </w:pPr>
      <w:r>
        <w:rPr>
          <w:b/>
          <w:color w:val="3366FF"/>
          <w:sz w:val="20"/>
        </w:rPr>
        <w:t>CYBER, PHYSICAL ASSET, AND DATA SECURITY</w:t>
      </w:r>
    </w:p>
    <w:p>
      <w:pPr>
        <w:pStyle w:val="TextBody"/>
        <w:bidi w:val="0"/>
        <w:spacing w:lineRule="atLeast" w:line="240" w:before="200" w:after="200"/>
        <w:jc w:val="both"/>
        <w:rPr>
          <w:b/>
          <w:sz w:val="20"/>
        </w:rPr>
      </w:pPr>
      <w:r>
        <w:rPr>
          <w:b/>
          <w:sz w:val="20"/>
        </w:rPr>
        <w:t>Our business relies heavily on sophisticated computer systems and networks. These systems are vulnerable to various operational and cybersecurity risks, including:</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System Outages:</w:t>
      </w:r>
      <w:r>
        <w:rPr/>
        <w:t xml:space="preserve"> </w:t>
      </w:r>
      <w:r>
        <w:rPr>
          <w:sz w:val="20"/>
        </w:rPr>
        <w:t>Disruptions to our computer systems and telecommunications networks due to hardware or software failures, power outages, natural disasters, or security breaches can significantly impact our operations, leading to service interruptions, revenue losses, and damage to our reputation.</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Cybersecurity Threats:</w:t>
      </w:r>
      <w:r>
        <w:rPr/>
        <w:t xml:space="preserve"> </w:t>
      </w:r>
      <w:r>
        <w:rPr>
          <w:sz w:val="20"/>
        </w:rPr>
        <w:t>We face the risk of cyberattacks, including data breaches, malware infections, ransomware attacks, and denial-of-service attacks. These threats can result in unauthorized access to sensitive customer data, financial losses, reputational harm, regulatory fines, and legal liabilities.</w:t>
      </w:r>
    </w:p>
    <w:p>
      <w:pPr>
        <w:pStyle w:val="TextBody"/>
        <w:bidi w:val="0"/>
        <w:spacing w:lineRule="atLeast" w:line="240" w:before="0" w:after="200"/>
        <w:ind w:left="720" w:right="0" w:hanging="192"/>
        <w:jc w:val="both"/>
        <w:rPr/>
      </w:pPr>
      <w:r>
        <w:rPr/>
        <w:t></w:t>
      </w:r>
      <w:r>
        <w:rPr>
          <w:caps w:val="false"/>
          <w:smallCaps w:val="false"/>
        </w:rPr>
        <w:t xml:space="preserve">   </w:t>
      </w:r>
      <w:r>
        <w:rPr>
          <w:b/>
          <w:sz w:val="20"/>
        </w:rPr>
        <w:t>Data Privacy and Security:</w:t>
      </w:r>
      <w:r>
        <w:rPr/>
        <w:t xml:space="preserve"> </w:t>
      </w:r>
      <w:r>
        <w:rPr>
          <w:sz w:val="20"/>
        </w:rPr>
        <w:t>We are subject to stringent data privacy and security regulations. Breaches of customer data can result in significant fines, litigation, and damage to our brand.</w:t>
      </w:r>
    </w:p>
    <w:p>
      <w:pPr>
        <w:pStyle w:val="TextBody"/>
        <w:bidi w:val="0"/>
        <w:spacing w:lineRule="atLeast" w:line="240" w:before="200" w:after="200"/>
        <w:jc w:val="both"/>
        <w:rPr>
          <w:sz w:val="20"/>
        </w:rPr>
      </w:pPr>
      <w:r>
        <w:rPr>
          <w:sz w:val="20"/>
        </w:rPr>
        <w:t>Our mitigation efforts include:</w:t>
      </w:r>
    </w:p>
    <w:p>
      <w:pPr>
        <w:pStyle w:val="TextBody"/>
        <w:bidi w:val="0"/>
        <w:spacing w:lineRule="atLeast" w:line="240" w:before="0" w:after="0"/>
        <w:ind w:left="720" w:right="0" w:hanging="192"/>
        <w:jc w:val="both"/>
        <w:rPr/>
      </w:pPr>
      <w:r>
        <w:rPr/>
        <w:t></w:t>
      </w:r>
      <w:r>
        <w:rPr>
          <w:caps w:val="false"/>
          <w:smallCaps w:val="false"/>
        </w:rPr>
        <w:t xml:space="preserve">   </w:t>
      </w:r>
      <w:r>
        <w:rPr>
          <w:sz w:val="20"/>
        </w:rPr>
        <w:t>Implementing robust security measures, such as encryption, access controls, and intrusion detection systems.</w:t>
      </w:r>
    </w:p>
    <w:p>
      <w:pPr>
        <w:pStyle w:val="TextBody"/>
        <w:bidi w:val="0"/>
        <w:spacing w:lineRule="atLeast" w:line="240" w:before="0" w:after="0"/>
        <w:ind w:left="720" w:right="0" w:hanging="192"/>
        <w:jc w:val="both"/>
        <w:rPr/>
      </w:pPr>
      <w:r>
        <w:rPr/>
        <w:t></w:t>
      </w:r>
      <w:r>
        <w:rPr>
          <w:caps w:val="false"/>
          <w:smallCaps w:val="false"/>
        </w:rPr>
        <w:t xml:space="preserve">   </w:t>
      </w:r>
      <w:r>
        <w:rPr>
          <w:sz w:val="20"/>
        </w:rPr>
        <w:t>Maintaining business continuity and disaster recovery plans.</w:t>
      </w:r>
    </w:p>
    <w:p>
      <w:pPr>
        <w:pStyle w:val="TextBody"/>
        <w:bidi w:val="0"/>
        <w:spacing w:lineRule="atLeast" w:line="240" w:before="0" w:after="200"/>
        <w:ind w:left="720" w:right="0" w:hanging="192"/>
        <w:jc w:val="both"/>
        <w:rPr/>
      </w:pPr>
      <w:r>
        <w:rPr/>
        <w:t></w:t>
      </w:r>
      <w:r>
        <w:rPr>
          <w:caps w:val="false"/>
          <w:smallCaps w:val="false"/>
        </w:rPr>
        <w:t xml:space="preserve">   </w:t>
      </w:r>
      <w:r>
        <w:rPr>
          <w:sz w:val="20"/>
        </w:rPr>
        <w:t>Regularly updating and enhancing our security protocols.</w:t>
      </w:r>
    </w:p>
    <w:p>
      <w:pPr>
        <w:pStyle w:val="TextBody"/>
        <w:bidi w:val="0"/>
        <w:spacing w:lineRule="atLeast" w:line="240" w:before="200" w:after="200"/>
        <w:jc w:val="both"/>
        <w:rPr>
          <w:sz w:val="20"/>
        </w:rPr>
      </w:pPr>
      <w:r>
        <w:rPr>
          <w:sz w:val="20"/>
        </w:rPr>
        <w:t>However, despite these efforts, we cannot guarantee complete protection against all cyber threats and operational disruptions.</w:t>
      </w:r>
    </w:p>
    <w:p>
      <w:pPr>
        <w:pStyle w:val="TextBody"/>
        <w:bidi w:val="0"/>
        <w:spacing w:lineRule="atLeast" w:line="240" w:before="0" w:after="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sz w:val="20"/>
        </w:rPr>
      </w:pPr>
      <w:r>
        <w:rPr>
          <w:b/>
          <w:sz w:val="20"/>
        </w:rPr>
        <w:t xml:space="preserve">Failures of third-party service providers we rely upon could lead to financial loss. </w:t>
      </w:r>
    </w:p>
    <w:p>
      <w:pPr>
        <w:pStyle w:val="TextBody"/>
        <w:bidi w:val="0"/>
        <w:spacing w:lineRule="atLeast" w:line="240" w:before="200" w:after="200"/>
        <w:jc w:val="both"/>
        <w:rPr>
          <w:sz w:val="20"/>
        </w:rPr>
      </w:pPr>
      <w:r>
        <w:rPr>
          <w:sz w:val="20"/>
        </w:rPr>
        <w:t>We rely on third party service providers to support key portions of our operations. We also rely on third party service providers to provide part or all of certain services we deliver to customers. While we have selected these third-party vendors carefully, we do not control their actions. The failure of these services by a third-party could have a material impact upon our delivery of services to customers. Such a failure could lead to damage claims, loss of customers, and reputational harm, depending on the duration and severity of the failure. Third parties perform significant operational services on our behalf. These third-party vendors are subject to similar risks as us relating to cybersecurity, breakdowns or failures of their own systems or employees.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pStyle w:val="TextBody"/>
        <w:bidi w:val="0"/>
        <w:spacing w:lineRule="atLeast" w:line="240" w:before="200" w:after="200"/>
        <w:jc w:val="both"/>
        <w:rPr/>
      </w:pPr>
      <w:r>
        <w:rPr>
          <w:b/>
          <w:sz w:val="20"/>
        </w:rPr>
        <w:t>Our business is subject to a variety of U.S. and international laws, rules, policies and other obligations regarding data protection.</w:t>
      </w:r>
      <w:r>
        <w:rPr/>
        <w:t xml:space="preserve"> </w:t>
      </w:r>
    </w:p>
    <w:p>
      <w:pPr>
        <w:pStyle w:val="TextBody"/>
        <w:bidi w:val="0"/>
        <w:spacing w:lineRule="atLeast" w:line="240" w:before="200" w:after="0"/>
        <w:jc w:val="both"/>
        <w:rPr>
          <w:sz w:val="20"/>
        </w:rPr>
      </w:pPr>
      <w:r>
        <w:rPr>
          <w:sz w:val="20"/>
        </w:rPr>
        <w:t>We are subject to an increasing number of federal, state, and international laws relating to the collection, use, retention, security and transfer of various types of personal information. In many cases, these laws apply not only to third-party transactions, but also restrict transfers of personal information among us and our international subsidiaries. Several jurisdictions have passed laws in this area, and additional jurisdictions are considering imposing additional restrictions or have laws that are pending. These laws continue to develop and may be inconsistent from jurisdiction to jurisdiction. Complying with emerging and changing requirements causes us to incur substantial costs and has required and may in the future require us to change our business practices. Noncompliance could result in significant penalties or legal liability. We make statements about our use and disclosure of personal information through its our privacy policy, information provided on its our website, press statements and other privacy notices provided to customers. Any failure by us to comply with these public statements or with other federal, state or international privacy or data protection laws and regulations could result in inquiries or proceedings against us by governmental entities or others. In addition to reputational impacts, penalties could include ongoing audit requirements and significant legal liability. In addition to the risks generally relating to the collection, use, retention, security and transfer of personal information, we are also subject to specific obligations relating to information considered sensitive under applicable laws, such as health data, financial data and biometric data. Health data and financial data are subject to additional privacy, security and breach notification requirements, and we are subject to audit by governmental authorities regarding our compliance with these obligations. If we fail to adequately comply with these rules and requirements, or if health data or financial data is handled in a manner not permitted by law or under our agreements with healthcare or financial institutions, we can be subject to litigation or government investigations, and can be liable for associated investigatory expenses, and can also incur significant fees or fines. Payment card data is also subject to additional requirements. Under payment card rules and obligations, if cardholder information is potentially compromised, we can be liable for associated investigatory expenses and can also incur significant fees or fines if we fail to follow payment card industry data security standards. We could also experience a significant increase in payment card transaction costs or lose the ability to process payment cards if it fails we fail to follow payment card industry data security standards, which could materially adversely affect our business, reputation, results of operations and financial condition.</w:t>
      </w:r>
    </w:p>
    <w:p>
      <w:pPr>
        <w:pStyle w:val="TextBody"/>
        <w:bidi w:val="0"/>
        <w:spacing w:lineRule="atLeast" w:line="240" w:before="200" w:after="0"/>
        <w:jc w:val="both"/>
        <w:rPr>
          <w:b/>
          <w:sz w:val="20"/>
        </w:rPr>
      </w:pPr>
      <w:r>
        <w:rPr>
          <w:b/>
          <w:sz w:val="20"/>
        </w:rPr>
        <w:t xml:space="preserve">Cryptocurrency and Digital Asset Risk </w:t>
      </w:r>
    </w:p>
    <w:p>
      <w:pPr>
        <w:pStyle w:val="TextBody"/>
        <w:bidi w:val="0"/>
        <w:spacing w:before="0" w:after="0"/>
        <w:jc w:val="left"/>
        <w:rPr/>
      </w:pPr>
      <w:r>
        <w:rPr/>
        <w:t> </w:t>
      </w:r>
    </w:p>
    <w:p>
      <w:pPr>
        <w:pStyle w:val="TextBody"/>
        <w:bidi w:val="0"/>
        <w:spacing w:lineRule="atLeast" w:line="240" w:before="0" w:after="0"/>
        <w:jc w:val="both"/>
        <w:rPr>
          <w:sz w:val="20"/>
        </w:rPr>
      </w:pPr>
      <w:r>
        <w:rPr>
          <w:sz w:val="20"/>
        </w:rPr>
        <w:t>The Company has recently begun exploring and developing potential use cases for certain cryptocurrencies, including the possible application of stablecoins within aspects of its business operations. While these initiatives remain in early stages and may not ultimately be implemented, any meaningful use of cryptocurrencies would expose the Company to a range of internal and external risks that could adversely impact its operations, regulatory obligations, financial condition, or relationships with key partners. These risks include, but are not limited to, the following:</w:t>
      </w:r>
    </w:p>
    <w:p>
      <w:pPr>
        <w:pStyle w:val="TextBody"/>
        <w:bidi w:val="0"/>
        <w:spacing w:lineRule="atLeast" w:line="240" w:before="0" w:after="0"/>
        <w:jc w:val="both"/>
        <w:rPr/>
      </w:pPr>
      <w:r>
        <w:rPr/>
        <w:t> </w:t>
      </w:r>
    </w:p>
    <w:p>
      <w:pPr>
        <w:pStyle w:val="TextBody"/>
        <w:bidi w:val="0"/>
        <w:spacing w:lineRule="atLeast" w:line="240" w:before="0" w:after="0"/>
        <w:ind w:left="720" w:right="0" w:hanging="360"/>
        <w:jc w:val="both"/>
        <w:rPr/>
      </w:pPr>
      <w:r>
        <w:rPr/>
        <w:t></w:t>
      </w:r>
      <w:r>
        <w:rPr>
          <w:caps w:val="false"/>
          <w:smallCaps w:val="false"/>
        </w:rPr>
        <w:t xml:space="preserve">         </w:t>
      </w:r>
      <w:r>
        <w:rPr>
          <w:b/>
          <w:sz w:val="20"/>
        </w:rPr>
        <w:t>Regulatory Scrutiny:</w:t>
      </w:r>
      <w:r>
        <w:rPr/>
        <w:t xml:space="preserve"> </w:t>
      </w:r>
      <w:r>
        <w:rPr>
          <w:sz w:val="20"/>
        </w:rPr>
        <w:t>U.S. banking and financial regulators have cautioned that crypto</w:t>
      </w:r>
      <w:r>
        <w:rPr/>
        <w:noBreakHyphen/>
      </w:r>
      <w:r>
        <w:rPr>
          <w:sz w:val="20"/>
        </w:rPr>
        <w:t>asset safekeeping, transaction processing, and related activities present unique fraud, operational, supervisory, and legal risks that require enhanced risk</w:t>
      </w:r>
      <w:r>
        <w:rPr/>
        <w:noBreakHyphen/>
      </w:r>
      <w:r>
        <w:rPr>
          <w:sz w:val="20"/>
        </w:rPr>
        <w:t>management controls.</w:t>
      </w:r>
    </w:p>
    <w:p>
      <w:pPr>
        <w:pStyle w:val="TextBody"/>
        <w:bidi w:val="0"/>
        <w:spacing w:lineRule="atLeast" w:line="240" w:before="0" w:after="0"/>
        <w:ind w:left="720" w:right="0" w:hanging="360"/>
        <w:jc w:val="both"/>
        <w:rPr/>
      </w:pPr>
      <w:r>
        <w:rPr/>
        <w:t></w:t>
      </w:r>
      <w:r>
        <w:rPr>
          <w:caps w:val="false"/>
          <w:smallCaps w:val="false"/>
        </w:rPr>
        <w:t xml:space="preserve">         </w:t>
      </w:r>
      <w:r>
        <w:rPr>
          <w:b/>
          <w:sz w:val="20"/>
        </w:rPr>
        <w:t>Rising Fraud Activity:</w:t>
      </w:r>
      <w:r>
        <w:rPr/>
        <w:t xml:space="preserve"> </w:t>
      </w:r>
      <w:r>
        <w:rPr>
          <w:sz w:val="20"/>
        </w:rPr>
        <w:t>Cryptocurrency</w:t>
      </w:r>
      <w:r>
        <w:rPr/>
        <w:noBreakHyphen/>
      </w:r>
      <w:r>
        <w:rPr>
          <w:sz w:val="20"/>
        </w:rPr>
        <w:t>related scams—particularly those involving the misuse of crypto ATMs and other consumer</w:t>
      </w:r>
      <w:r>
        <w:rPr/>
        <w:noBreakHyphen/>
      </w:r>
      <w:r>
        <w:rPr>
          <w:sz w:val="20"/>
        </w:rPr>
        <w:t>facing channels—have increased, prompting regulatory interventions, customer</w:t>
      </w:r>
      <w:r>
        <w:rPr/>
        <w:noBreakHyphen/>
      </w:r>
      <w:r>
        <w:rPr>
          <w:sz w:val="20"/>
        </w:rPr>
        <w:t>protection initiatives, and litigation activity that could affect digital</w:t>
      </w:r>
      <w:r>
        <w:rPr/>
        <w:noBreakHyphen/>
      </w:r>
      <w:r>
        <w:rPr>
          <w:sz w:val="20"/>
        </w:rPr>
        <w:t>asset adjacent services.</w:t>
      </w:r>
    </w:p>
    <w:p>
      <w:pPr>
        <w:pStyle w:val="TextBody"/>
        <w:bidi w:val="0"/>
        <w:spacing w:lineRule="atLeast" w:line="240" w:before="0" w:after="0"/>
        <w:ind w:left="720" w:right="0" w:hanging="360"/>
        <w:jc w:val="both"/>
        <w:rPr/>
      </w:pPr>
      <w:r>
        <w:rPr/>
        <w:t></w:t>
      </w:r>
      <w:r>
        <w:rPr>
          <w:caps w:val="false"/>
          <w:smallCaps w:val="false"/>
        </w:rPr>
        <w:t xml:space="preserve">         </w:t>
      </w:r>
      <w:r>
        <w:rPr>
          <w:b/>
          <w:sz w:val="20"/>
        </w:rPr>
        <w:t>State</w:t>
      </w:r>
      <w:r>
        <w:rPr/>
        <w:noBreakHyphen/>
      </w:r>
      <w:r>
        <w:rPr>
          <w:b/>
          <w:sz w:val="20"/>
        </w:rPr>
        <w:t>Level Regulations:</w:t>
      </w:r>
      <w:r>
        <w:rPr/>
        <w:t xml:space="preserve"> </w:t>
      </w:r>
      <w:r>
        <w:rPr>
          <w:sz w:val="20"/>
        </w:rPr>
        <w:t>Several U.S. states have adopted or proposed digital</w:t>
      </w:r>
      <w:r>
        <w:rPr/>
        <w:noBreakHyphen/>
      </w:r>
      <w:r>
        <w:rPr>
          <w:sz w:val="20"/>
        </w:rPr>
        <w:t>asset rules such as transaction caps, enhanced identity</w:t>
      </w:r>
      <w:r>
        <w:rPr/>
        <w:noBreakHyphen/>
      </w:r>
      <w:r>
        <w:rPr>
          <w:sz w:val="20"/>
        </w:rPr>
        <w:t>verification standards, fee limitations, and mandatory fraud disclosures, which could complicate or restrict the Company’s ability to offer or support certain services involving digital assets.</w:t>
      </w:r>
    </w:p>
    <w:p>
      <w:pPr>
        <w:pStyle w:val="TextBody"/>
        <w:bidi w:val="0"/>
        <w:spacing w:lineRule="atLeast" w:line="240" w:before="0" w:after="0"/>
        <w:ind w:left="720" w:right="0" w:hanging="360"/>
        <w:jc w:val="both"/>
        <w:rPr/>
      </w:pPr>
      <w:r>
        <w:rPr/>
        <w:t></w:t>
      </w:r>
      <w:r>
        <w:rPr>
          <w:caps w:val="false"/>
          <w:smallCaps w:val="false"/>
        </w:rPr>
        <w:t xml:space="preserve">         </w:t>
      </w:r>
      <w:r>
        <w:rPr>
          <w:b/>
          <w:sz w:val="20"/>
        </w:rPr>
        <w:t>AML and Illicit</w:t>
      </w:r>
      <w:r>
        <w:rPr/>
        <w:noBreakHyphen/>
      </w:r>
      <w:r>
        <w:rPr>
          <w:b/>
          <w:sz w:val="20"/>
        </w:rPr>
        <w:t>Finance Exposure:</w:t>
      </w:r>
      <w:r>
        <w:rPr/>
        <w:t xml:space="preserve"> </w:t>
      </w:r>
      <w:r>
        <w:rPr>
          <w:sz w:val="20"/>
        </w:rPr>
        <w:t>Digital</w:t>
      </w:r>
      <w:r>
        <w:rPr/>
        <w:noBreakHyphen/>
      </w:r>
      <w:r>
        <w:rPr>
          <w:sz w:val="20"/>
        </w:rPr>
        <w:t>asset transactions can elevate anti</w:t>
      </w:r>
      <w:r>
        <w:rPr/>
        <w:noBreakHyphen/>
      </w:r>
      <w:r>
        <w:rPr>
          <w:sz w:val="20"/>
        </w:rPr>
        <w:t>money</w:t>
      </w:r>
      <w:r>
        <w:rPr/>
        <w:noBreakHyphen/>
      </w:r>
      <w:r>
        <w:rPr>
          <w:sz w:val="20"/>
        </w:rPr>
        <w:t>laundering and counter</w:t>
      </w:r>
      <w:r>
        <w:rPr/>
        <w:noBreakHyphen/>
      </w:r>
      <w:r>
        <w:rPr>
          <w:sz w:val="20"/>
        </w:rPr>
        <w:t>terrorist</w:t>
      </w:r>
      <w:r>
        <w:rPr/>
        <w:noBreakHyphen/>
      </w:r>
      <w:r>
        <w:rPr>
          <w:sz w:val="20"/>
        </w:rPr>
        <w:t>financing risks due to their speed, pseudonymity, and cross</w:t>
      </w:r>
      <w:r>
        <w:rPr/>
        <w:noBreakHyphen/>
      </w:r>
      <w:r>
        <w:rPr>
          <w:sz w:val="20"/>
        </w:rPr>
        <w:t>border characteristics, potentially increasing compliance requirements and regulatory expectations for financial intermediaries.</w:t>
      </w:r>
    </w:p>
    <w:p>
      <w:pPr>
        <w:pStyle w:val="TextBody"/>
        <w:bidi w:val="0"/>
        <w:spacing w:lineRule="atLeast" w:line="240" w:before="0" w:after="0"/>
        <w:ind w:left="720" w:right="0" w:hanging="360"/>
        <w:jc w:val="both"/>
        <w:rPr/>
      </w:pPr>
      <w:r>
        <w:rPr/>
        <w:t></w:t>
      </w:r>
      <w:r>
        <w:rPr>
          <w:caps w:val="false"/>
          <w:smallCaps w:val="false"/>
        </w:rPr>
        <w:t xml:space="preserve">         </w:t>
      </w:r>
      <w:r>
        <w:rPr>
          <w:b/>
          <w:sz w:val="20"/>
        </w:rPr>
        <w:t>Fragmented Global Regulation:</w:t>
      </w:r>
      <w:r>
        <w:rPr/>
        <w:t xml:space="preserve"> </w:t>
      </w:r>
      <w:r>
        <w:rPr>
          <w:sz w:val="20"/>
        </w:rPr>
        <w:t>Digital</w:t>
      </w:r>
      <w:r>
        <w:rPr/>
        <w:noBreakHyphen/>
      </w:r>
      <w:r>
        <w:rPr>
          <w:sz w:val="20"/>
        </w:rPr>
        <w:t>asset oversight continues to evolve inconsistently across jurisdictions. Divergent or rapidly changing regulatory frameworks may raise compliance costs, create operational uncertainty, affect relationships with financial institutions, or require modifications to existing processes.</w:t>
      </w:r>
    </w:p>
    <w:p>
      <w:pPr>
        <w:pStyle w:val="TextBody"/>
        <w:bidi w:val="0"/>
        <w:spacing w:lineRule="atLeast" w:line="240" w:before="0" w:after="0"/>
        <w:ind w:left="720" w:right="0" w:hanging="360"/>
        <w:jc w:val="both"/>
        <w:rPr/>
      </w:pPr>
      <w:r>
        <w:rPr/>
        <w:t></w:t>
      </w:r>
      <w:r>
        <w:rPr>
          <w:caps w:val="false"/>
          <w:smallCaps w:val="false"/>
        </w:rPr>
        <w:t xml:space="preserve">         </w:t>
      </w:r>
      <w:r>
        <w:rPr>
          <w:b/>
          <w:sz w:val="20"/>
        </w:rPr>
        <w:t>Indirect Business Impact:</w:t>
      </w:r>
      <w:r>
        <w:rPr/>
        <w:t xml:space="preserve"> </w:t>
      </w:r>
      <w:r>
        <w:rPr>
          <w:sz w:val="20"/>
        </w:rPr>
        <w:t>Even if the Company does not ultimately introduce crypto</w:t>
      </w:r>
      <w:r>
        <w:rPr/>
        <w:noBreakHyphen/>
      </w:r>
      <w:r>
        <w:rPr>
          <w:sz w:val="20"/>
        </w:rPr>
        <w:t>related products, broader industry developments, supervisory expectations, or third</w:t>
      </w:r>
      <w:r>
        <w:rPr/>
        <w:noBreakHyphen/>
      </w:r>
      <w:r>
        <w:rPr>
          <w:sz w:val="20"/>
        </w:rPr>
        <w:t>party risk assessments associated with digital assets may influence the Company’s compliance obligations, availability of banking partners, operational risk standards, or the regulatory posture applied to its products and services.</w:t>
      </w:r>
    </w:p>
    <w:p>
      <w:pPr>
        <w:pStyle w:val="TextBody"/>
        <w:bidi w:val="0"/>
        <w:spacing w:lineRule="atLeast" w:line="240" w:before="0" w:after="0"/>
        <w:ind w:left="720" w:right="0" w:hanging="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Artificial Intelligence Risk</w:t>
      </w:r>
    </w:p>
    <w:p>
      <w:pPr>
        <w:pStyle w:val="TextBody"/>
        <w:bidi w:val="0"/>
        <w:spacing w:lineRule="atLeast" w:line="240" w:before="200" w:after="0"/>
        <w:jc w:val="both"/>
        <w:rPr/>
      </w:pPr>
      <w:r>
        <w:rPr>
          <w:sz w:val="20"/>
        </w:rPr>
        <w:t>The increasing use of artificial intelligence (“AI”), including machine learning and generative AI, in our internal systems, vendor tools, customer-facing applications, and fraud</w:t>
      </w:r>
      <w:r>
        <w:rPr/>
        <w:noBreakHyphen/>
      </w:r>
      <w:r>
        <w:rPr>
          <w:sz w:val="20"/>
        </w:rPr>
        <w:t xml:space="preserve">detection processes exposes us to emerging technology, operational, and regulatory risks. A growing number of public companies now disclose AI as a material enterprise risk due to concerns related to cybersecurity, data privacy, model accuracy, regulatory uncertainty, competition, and reputational exposure. </w:t>
      </w:r>
    </w:p>
    <w:p>
      <w:pPr>
        <w:pStyle w:val="TextBody"/>
        <w:bidi w:val="0"/>
        <w:spacing w:lineRule="atLeast" w:line="240" w:before="200" w:after="0"/>
        <w:jc w:val="both"/>
        <w:rPr/>
      </w:pPr>
      <w:r>
        <w:rPr>
          <w:sz w:val="20"/>
        </w:rPr>
        <w:t>AI systems—whether developed internally or provided by third parties—may produce incorrect, biased, or unreliable outputs, which could adversely affect our operations, decision</w:t>
      </w:r>
      <w:r>
        <w:rPr/>
        <w:noBreakHyphen/>
      </w:r>
      <w:r>
        <w:rPr>
          <w:sz w:val="20"/>
        </w:rPr>
        <w:t xml:space="preserve">making, compliance programs, and customer interactions. As AI expands the potential attack surface for cyber threats, it may increase the likelihood or severity of data breaches and unauthorized access to sensitive information. </w:t>
      </w:r>
    </w:p>
    <w:p>
      <w:pPr>
        <w:pStyle w:val="TextBody"/>
        <w:bidi w:val="0"/>
        <w:spacing w:lineRule="atLeast" w:line="240" w:before="200" w:after="0"/>
        <w:jc w:val="both"/>
        <w:rPr/>
      </w:pPr>
      <w:r>
        <w:rPr>
          <w:sz w:val="20"/>
        </w:rPr>
        <w:t>Regulatory scrutiny is rapidly increasing. Emerging frameworks such as the EU Artificial Intelligence Act and new U.S. state</w:t>
      </w:r>
      <w:r>
        <w:rPr/>
        <w:noBreakHyphen/>
      </w:r>
      <w:r>
        <w:rPr>
          <w:sz w:val="20"/>
        </w:rPr>
        <w:t>level AI laws may impose additional compliance obligations, restrict certain uses of AI, or require costly system changes. The SEC has also warned against “AI washing,” increasing the risk of enforcement actions if disclosures regarding AI capabilities are inaccurate or misleading.</w:t>
      </w:r>
    </w:p>
    <w:p>
      <w:pPr>
        <w:pStyle w:val="TextBody"/>
        <w:bidi w:val="0"/>
        <w:spacing w:lineRule="atLeast" w:line="240" w:before="200" w:after="0"/>
        <w:jc w:val="both"/>
        <w:rPr/>
      </w:pPr>
      <w:r>
        <w:rPr>
          <w:sz w:val="20"/>
        </w:rPr>
        <w:t>AI-related operational risks include potential failures or outages in AI</w:t>
      </w:r>
      <w:r>
        <w:rPr/>
        <w:noBreakHyphen/>
      </w:r>
      <w:r>
        <w:rPr>
          <w:sz w:val="20"/>
        </w:rPr>
        <w:t>enabled tools—such as fraud</w:t>
      </w:r>
      <w:r>
        <w:rPr/>
        <w:noBreakHyphen/>
      </w:r>
      <w:r>
        <w:rPr>
          <w:sz w:val="20"/>
        </w:rPr>
        <w:t>prevention models or transaction</w:t>
      </w:r>
      <w:r>
        <w:rPr/>
        <w:noBreakHyphen/>
      </w:r>
      <w:r>
        <w:rPr>
          <w:sz w:val="20"/>
        </w:rPr>
        <w:t>monitoring systems—that could disrupt services or impair accuracy. Competitors leveraging AI more effectively may gain efficiency or product advantages. In addition, reliance on third</w:t>
      </w:r>
      <w:r>
        <w:rPr/>
        <w:noBreakHyphen/>
      </w:r>
      <w:r>
        <w:rPr>
          <w:sz w:val="20"/>
        </w:rPr>
        <w:t>party AI models exposes us to data</w:t>
      </w:r>
      <w:r>
        <w:rPr/>
        <w:noBreakHyphen/>
      </w:r>
      <w:r>
        <w:rPr>
          <w:sz w:val="20"/>
        </w:rPr>
        <w:t>quality issues, intellectual</w:t>
      </w:r>
      <w:r>
        <w:rPr/>
        <w:noBreakHyphen/>
      </w:r>
      <w:r>
        <w:rPr>
          <w:sz w:val="20"/>
        </w:rPr>
        <w:t xml:space="preserve">property risks, and vendor performance failures. Perceived or actual misuse of AI, including algorithmic bias or consumer harm, could result in reputational damage, litigation, or regulatory action. </w:t>
      </w:r>
    </w:p>
    <w:p>
      <w:pPr>
        <w:pStyle w:val="TextBody"/>
        <w:bidi w:val="0"/>
        <w:spacing w:lineRule="atLeast" w:line="240" w:before="200" w:after="0"/>
        <w:jc w:val="both"/>
        <w:rPr>
          <w:sz w:val="20"/>
        </w:rPr>
      </w:pPr>
      <w:r>
        <w:rPr>
          <w:sz w:val="20"/>
        </w:rPr>
        <w:t>As AI regulations and stakeholder expectations evolve, we may incur additional costs to strengthen governance, oversight, testing, and monitoring of AI systems. Despite these efforts, we cannot guarantee that our use of AI—or the use of AI by our vendors—will not materially adversely affect our business, results of operations, or financial condition.</w:t>
      </w:r>
    </w:p>
    <w:p>
      <w:pPr>
        <w:pStyle w:val="TextBody"/>
        <w:bidi w:val="0"/>
        <w:spacing w:lineRule="atLeast" w:line="240" w:before="200" w:after="200"/>
        <w:jc w:val="both"/>
        <w:rPr>
          <w:b/>
          <w:color w:val="3366FF"/>
          <w:sz w:val="20"/>
        </w:rPr>
      </w:pPr>
      <w:r>
        <w:rPr>
          <w:b/>
          <w:color w:val="3366FF"/>
          <w:sz w:val="20"/>
        </w:rPr>
        <w:t>COMPETITIVE LANDSCAPE</w:t>
      </w:r>
    </w:p>
    <w:p>
      <w:pPr>
        <w:pStyle w:val="TextBody"/>
        <w:bidi w:val="0"/>
        <w:spacing w:lineRule="atLeast" w:line="240" w:before="200" w:after="200"/>
        <w:jc w:val="both"/>
        <w:rPr/>
      </w:pPr>
      <w:r>
        <w:rPr>
          <w:b/>
          <w:sz w:val="20"/>
        </w:rPr>
        <w:t>Our competition in the EFT Processing Segment, epay Segment and Money Transfer</w:t>
      </w:r>
      <w:r>
        <w:rPr/>
        <w:t xml:space="preserve"> </w:t>
      </w:r>
      <w:r>
        <w:rPr>
          <w:b/>
          <w:sz w:val="20"/>
        </w:rPr>
        <w:t>Segment includes large, well-financed companies and financial institutions larger than us with earlier entry into the market. As a result, we may lack the</w:t>
      </w:r>
      <w:r>
        <w:rPr/>
        <w:t xml:space="preserve"> </w:t>
      </w:r>
      <w:r>
        <w:rPr>
          <w:b/>
          <w:sz w:val="20"/>
        </w:rPr>
        <w:t>financial resources and access to capital needed to capture increased market share.</w:t>
      </w:r>
    </w:p>
    <w:p>
      <w:pPr>
        <w:pStyle w:val="TextBody"/>
        <w:bidi w:val="0"/>
        <w:spacing w:lineRule="atLeast" w:line="240" w:before="200" w:after="200"/>
        <w:jc w:val="both"/>
        <w:rPr/>
      </w:pPr>
      <w:r>
        <w:rPr>
          <w:b/>
          <w:i/>
          <w:sz w:val="20"/>
        </w:rPr>
        <w:t>EFT Processing Segment</w:t>
      </w:r>
      <w:r>
        <w:rPr/>
        <w:t xml:space="preserve"> </w:t>
      </w:r>
      <w:r>
        <w:rPr>
          <w:sz w:val="20"/>
        </w:rPr>
        <w:t>- Our principal EFT Processing competitors include ATM networks owned by banks and national switches consisting of 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w:t>
      </w:r>
      <w:r>
        <w:rPr/>
        <w:t> </w:t>
      </w:r>
      <w:r>
        <w:rPr>
          <w:sz w:val="20"/>
        </w:rPr>
        <w:t>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pStyle w:val="TextBody"/>
        <w:bidi w:val="0"/>
        <w:spacing w:lineRule="atLeast" w:line="240" w:before="200" w:after="200"/>
        <w:jc w:val="both"/>
        <w:rPr/>
      </w:pPr>
      <w:r>
        <w:rPr>
          <w:b/>
          <w:i/>
          <w:sz w:val="20"/>
        </w:rPr>
        <w:t>epay Segment</w:t>
      </w:r>
      <w:r>
        <w:rPr/>
        <w:t xml:space="preserve"> </w:t>
      </w:r>
      <w:r>
        <w:rPr>
          <w:sz w:val="20"/>
        </w:rPr>
        <w:t>- We face competition in the epay business in all of our markets. A few multinational companies operate in several of our markets, and we therefore compete with them in a number of countries. In other markets, our competition is from smaller, local companies. Major retailers with high volumes are in a position to demand a larger share of margin/commissions or to negotiate directly with the content providers,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pStyle w:val="TextBody"/>
        <w:bidi w:val="0"/>
        <w:spacing w:lineRule="atLeast" w:line="240" w:before="0" w:after="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pPr>
      <w:r>
        <w:rPr>
          <w:b/>
          <w:i/>
          <w:sz w:val="20"/>
        </w:rPr>
        <w:t>Money Transfer Segment</w:t>
      </w:r>
      <w:r>
        <w:rPr/>
        <w:t xml:space="preserve"> </w:t>
      </w:r>
      <w:r>
        <w:rPr>
          <w:b/>
          <w:sz w:val="20"/>
        </w:rPr>
        <w:t>-</w:t>
      </w:r>
      <w:r>
        <w:rPr/>
        <w:t xml:space="preserve"> </w:t>
      </w:r>
      <w:r>
        <w:rPr>
          <w:sz w:val="20"/>
        </w:rPr>
        <w:t>Our primary competitors in the money transfer and bill payment business include other large money transfer companies and 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w:t>
      </w:r>
      <w:r>
        <w:rPr/>
        <w:t> </w:t>
      </w:r>
      <w:r>
        <w:rPr>
          <w:sz w:val="20"/>
        </w:rPr>
        <w:t>debit networks, web-based services, and digital currencies. Our continued growth depends upon our ability to compete effectively with these alternative technologies.</w:t>
      </w:r>
    </w:p>
    <w:p>
      <w:pPr>
        <w:pStyle w:val="TextBody"/>
        <w:shd w:fill="FFFFFF" w:val="clear"/>
        <w:bidi w:val="0"/>
        <w:spacing w:lineRule="atLeast" w:line="240" w:before="200" w:after="200"/>
        <w:jc w:val="both"/>
        <w:rPr/>
      </w:pPr>
      <w:r>
        <w:rPr>
          <w:b/>
          <w:sz w:val="20"/>
        </w:rPr>
        <w:t>Developments in payments could materially reduce our</w:t>
      </w:r>
      <w:r>
        <w:rPr/>
        <w:t> </w:t>
      </w:r>
      <w:r>
        <w:rPr>
          <w:b/>
          <w:sz w:val="20"/>
        </w:rPr>
        <w:t>transaction levels and revenues.</w:t>
      </w:r>
      <w:r>
        <w:rPr/>
        <w:t> </w:t>
      </w:r>
    </w:p>
    <w:p>
      <w:pPr>
        <w:pStyle w:val="TextBody"/>
        <w:shd w:fill="FFFFFF" w:val="clear"/>
        <w:bidi w:val="0"/>
        <w:spacing w:lineRule="atLeast" w:line="240" w:before="200" w:after="200"/>
        <w:jc w:val="both"/>
        <w:rPr/>
      </w:pPr>
      <w:r>
        <w:rPr>
          <w:sz w:val="20"/>
        </w:rPr>
        <w:t>Certain developments in the field of payments may reduce the need for</w:t>
      </w:r>
      <w:r>
        <w:rPr/>
        <w:t> </w:t>
      </w:r>
      <w:r>
        <w:rPr>
          <w:sz w:val="20"/>
        </w:rPr>
        <w:t>ATMs, prepaid product POS terminals and money transfer agents. An example of this type of development is the use of near-field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w:t>
      </w:r>
      <w:r>
        <w:rPr/>
        <w:t> </w:t>
      </w:r>
      <w:r>
        <w:rPr>
          <w:sz w:val="20"/>
        </w:rPr>
        <w:t>ATMs, POS terminals, agents and other distribution methods do not</w:t>
      </w:r>
      <w:r>
        <w:rPr/>
        <w:t> </w:t>
      </w:r>
      <w:r>
        <w:rPr>
          <w:sz w:val="20"/>
        </w:rPr>
        <w:t>increase, growth in our revenues will depend primarily on increased capital investment for new sites and developing new markets, which reduces the margin we realize from our revenues.</w:t>
      </w:r>
    </w:p>
    <w:p>
      <w:pPr>
        <w:pStyle w:val="TextBody"/>
        <w:shd w:fill="FFFFFF" w:val="clear"/>
        <w:bidi w:val="0"/>
        <w:spacing w:lineRule="atLeast" w:line="240" w:before="200" w:after="0"/>
        <w:jc w:val="both"/>
        <w:rPr>
          <w:sz w:val="20"/>
        </w:rPr>
      </w:pPr>
      <w:r>
        <w:rPr>
          <w:sz w:val="20"/>
        </w:rPr>
        <w:t>The mobile phone industry is a rapidly evolving area, in which technological developments, in particular the development of new billing models and distribution methods or services, may affect the demand for other services in a dramatic way. The development of any new models or technology that reduce the need or demand for prepaid mobile airtime could materially and adversely affect our business.</w:t>
      </w:r>
    </w:p>
    <w:p>
      <w:pPr>
        <w:pStyle w:val="TextBody"/>
        <w:bidi w:val="0"/>
        <w:spacing w:lineRule="atLeast" w:line="240" w:before="200" w:after="200"/>
        <w:jc w:val="both"/>
        <w:rPr/>
      </w:pPr>
      <w:r>
        <w:rPr>
          <w:b/>
          <w:sz w:val="20"/>
        </w:rPr>
        <w:t>Competition in our EFT Processing Segment has increased over the last several</w:t>
      </w:r>
      <w:r>
        <w:rPr/>
        <w:t xml:space="preserve"> </w:t>
      </w:r>
      <w:r>
        <w:rPr>
          <w:b/>
          <w:sz w:val="20"/>
        </w:rPr>
        <w:t>years, increasing the risk that certain of our long-term bank outsourcing contracts may be terminated or not renewed upon expiration.</w:t>
      </w:r>
    </w:p>
    <w:p>
      <w:pPr>
        <w:pStyle w:val="TextBody"/>
        <w:bidi w:val="0"/>
        <w:spacing w:lineRule="atLeast" w:line="240" w:before="200" w:after="200"/>
        <w:jc w:val="both"/>
        <w:rPr>
          <w:sz w:val="20"/>
        </w:rPr>
      </w:pPr>
      <w:r>
        <w:rPr>
          <w:sz w:val="20"/>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w:t>
      </w:r>
    </w:p>
    <w:p>
      <w:pPr>
        <w:pStyle w:val="TextBody"/>
        <w:bidi w:val="0"/>
        <w:spacing w:lineRule="atLeast" w:line="240" w:before="200" w:after="200"/>
        <w:jc w:val="both"/>
        <w:rPr>
          <w:b/>
          <w:sz w:val="20"/>
        </w:rPr>
      </w:pPr>
      <w:r>
        <w:rPr>
          <w:b/>
          <w:sz w:val="20"/>
        </w:rPr>
        <w:t>Pricing and Competitive Pressures</w:t>
      </w:r>
    </w:p>
    <w:p>
      <w:pPr>
        <w:pStyle w:val="TextBody"/>
        <w:bidi w:val="0"/>
        <w:spacing w:lineRule="atLeast" w:line="240" w:before="200" w:after="200"/>
        <w:jc w:val="both"/>
        <w:rPr>
          <w:sz w:val="20"/>
        </w:rPr>
      </w:pPr>
      <w:r>
        <w:rPr>
          <w:sz w:val="20"/>
        </w:rPr>
        <w:t xml:space="preserve">Setting competitive and profitable remittance prices across various corridors presents significant challenges. </w:t>
      </w:r>
    </w:p>
    <w:p>
      <w:pPr>
        <w:pStyle w:val="TextBody"/>
        <w:bidi w:val="0"/>
        <w:spacing w:lineRule="atLeast" w:line="240" w:before="200" w:after="200"/>
        <w:jc w:val="both"/>
        <w:rPr>
          <w:sz w:val="20"/>
        </w:rPr>
      </w:pPr>
      <w:r>
        <w:rPr>
          <w:sz w:val="20"/>
        </w:rPr>
        <w:t>Factors such as: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Intense Competition:</w:t>
      </w:r>
      <w:r>
        <w:rPr/>
        <w:t xml:space="preserve"> </w:t>
      </w:r>
      <w:r>
        <w:rPr>
          <w:sz w:val="20"/>
        </w:rPr>
        <w:t>The global remittance market is highly competitive with numerous players, including traditional money transfer operators, banks, and fintech companies.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Varying Market Dynamics:</w:t>
      </w:r>
      <w:r>
        <w:rPr/>
        <w:t xml:space="preserve"> </w:t>
      </w:r>
      <w:r>
        <w:rPr>
          <w:sz w:val="20"/>
        </w:rPr>
        <w:t>Each remittance corridor (e.g., U.S. to Mexico, The Netherlands to Morocco) has unique characteristics, including varying levels of competition, customer demand, regulatory environments, and operating costs.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Currency Fluctuations:</w:t>
      </w:r>
      <w:r>
        <w:rPr/>
        <w:t xml:space="preserve"> </w:t>
      </w:r>
      <w:r>
        <w:rPr>
          <w:sz w:val="20"/>
        </w:rPr>
        <w:t>Exchange rate volatility can significantly impact profitability, requiring constant adjustments to pricing models.</w:t>
      </w:r>
    </w:p>
    <w:p>
      <w:pPr>
        <w:pStyle w:val="TextBody"/>
        <w:bidi w:val="0"/>
        <w:spacing w:lineRule="atLeast" w:line="240" w:before="0" w:after="0"/>
        <w:ind w:left="720" w:right="0" w:hanging="192"/>
        <w:jc w:val="both"/>
        <w:rPr/>
      </w:pPr>
      <w:r>
        <w:rPr/>
        <w:t></w:t>
      </w:r>
      <w:r>
        <w:rPr>
          <w:caps w:val="false"/>
          <w:smallCaps w:val="false"/>
        </w:rPr>
        <w:t xml:space="preserve">   </w:t>
      </w:r>
      <w:r>
        <w:rPr>
          <w:b/>
          <w:sz w:val="20"/>
        </w:rPr>
        <w:t>Regulatory Changes:</w:t>
      </w:r>
      <w:r>
        <w:rPr/>
        <w:t xml:space="preserve"> </w:t>
      </w:r>
      <w:r>
        <w:rPr>
          <w:sz w:val="20"/>
        </w:rPr>
        <w:t>Changes in regulations in sending or receiving countries, including fees, taxes, and anti-money laundering requirements, can impact pricing and profitability.</w:t>
      </w:r>
    </w:p>
    <w:p>
      <w:pPr>
        <w:pStyle w:val="TextBody"/>
        <w:bidi w:val="0"/>
        <w:spacing w:lineRule="atLeast" w:line="240" w:before="0" w:after="200"/>
        <w:ind w:left="720" w:right="0" w:hanging="192"/>
        <w:jc w:val="both"/>
        <w:rPr/>
      </w:pPr>
      <w:r>
        <w:rPr/>
        <w:t></w:t>
      </w:r>
      <w:r>
        <w:rPr>
          <w:caps w:val="false"/>
          <w:smallCaps w:val="false"/>
        </w:rPr>
        <w:t xml:space="preserve">   </w:t>
      </w:r>
      <w:r>
        <w:rPr>
          <w:b/>
          <w:sz w:val="20"/>
        </w:rPr>
        <w:t>Customer Sensitivity to Price:</w:t>
      </w:r>
      <w:r>
        <w:rPr/>
        <w:t xml:space="preserve"> </w:t>
      </w:r>
      <w:r>
        <w:rPr>
          <w:sz w:val="20"/>
        </w:rPr>
        <w:t>Remittance customers are highly price sensitive. Setting prices too high can deter customers and lead to market share loss, while setting prices too low can negatively impact profitability.</w:t>
      </w:r>
    </w:p>
    <w:p>
      <w:pPr>
        <w:pStyle w:val="TextBody"/>
        <w:bidi w:val="0"/>
        <w:spacing w:lineRule="atLeast" w:line="240" w:before="200" w:after="200"/>
        <w:jc w:val="both"/>
        <w:rPr>
          <w:sz w:val="20"/>
        </w:rPr>
      </w:pPr>
      <w:r>
        <w:rPr>
          <w:sz w:val="20"/>
        </w:rPr>
        <w:t>Failure to accurately assess and respond to these factors could result in:</w:t>
      </w:r>
    </w:p>
    <w:p>
      <w:pPr>
        <w:pStyle w:val="TextBody"/>
        <w:bidi w:val="0"/>
        <w:spacing w:lineRule="atLeast" w:line="240" w:before="0" w:after="0"/>
        <w:ind w:left="720" w:right="0" w:hanging="192"/>
        <w:jc w:val="both"/>
        <w:rPr/>
      </w:pPr>
      <w:r>
        <w:rPr/>
        <w:t></w:t>
      </w:r>
      <w:r>
        <w:rPr>
          <w:caps w:val="false"/>
          <w:smallCaps w:val="false"/>
        </w:rPr>
        <w:t xml:space="preserve">   </w:t>
      </w:r>
      <w:r>
        <w:rPr>
          <w:sz w:val="20"/>
        </w:rPr>
        <w:t>Reduced revenue and profitability.</w:t>
      </w:r>
    </w:p>
    <w:p>
      <w:pPr>
        <w:pStyle w:val="TextBody"/>
        <w:bidi w:val="0"/>
        <w:spacing w:lineRule="atLeast" w:line="240" w:before="0" w:after="0"/>
        <w:ind w:left="720" w:right="0" w:hanging="192"/>
        <w:jc w:val="both"/>
        <w:rPr/>
      </w:pPr>
      <w:r>
        <w:rPr/>
        <w:t></w:t>
      </w:r>
      <w:r>
        <w:rPr>
          <w:caps w:val="false"/>
          <w:smallCaps w:val="false"/>
        </w:rPr>
        <w:t xml:space="preserve">   </w:t>
      </w:r>
      <w:r>
        <w:rPr>
          <w:sz w:val="20"/>
        </w:rPr>
        <w:t>Loss of market share to competitors.</w:t>
      </w:r>
    </w:p>
    <w:p>
      <w:pPr>
        <w:pStyle w:val="TextBody"/>
        <w:bidi w:val="0"/>
        <w:spacing w:lineRule="atLeast" w:line="240" w:before="0" w:after="200"/>
        <w:ind w:left="720" w:right="0" w:hanging="192"/>
        <w:jc w:val="both"/>
        <w:rPr/>
      </w:pPr>
      <w:r>
        <w:rPr/>
        <w:t></w:t>
      </w:r>
      <w:r>
        <w:rPr>
          <w:caps w:val="false"/>
          <w:smallCaps w:val="false"/>
        </w:rPr>
        <w:t xml:space="preserve">   </w:t>
      </w:r>
      <w:r>
        <w:rPr>
          <w:sz w:val="20"/>
        </w:rPr>
        <w:t>Difficulty in achieving and maintaining sustainable growth.</w:t>
      </w:r>
    </w:p>
    <w:p>
      <w:pPr>
        <w:pStyle w:val="TextBody"/>
        <w:bidi w:val="0"/>
        <w:spacing w:lineRule="atLeast" w:line="240" w:before="200" w:after="200"/>
        <w:jc w:val="both"/>
        <w:rPr>
          <w:sz w:val="20"/>
        </w:rPr>
      </w:pPr>
      <w:r>
        <w:rPr>
          <w:sz w:val="20"/>
        </w:rPr>
        <w:t>The Company continuously monitors market trends, analyzes competitive pricing, and adjusts its pricing strategies to maintain competitiveness while ensuring profitability.</w:t>
      </w:r>
    </w:p>
    <w:p>
      <w:pPr>
        <w:pStyle w:val="TextBody"/>
        <w:bidi w:val="0"/>
        <w:spacing w:lineRule="atLeast" w:line="240" w:before="0" w:after="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color w:val="3366FF"/>
          <w:sz w:val="20"/>
        </w:rPr>
      </w:pPr>
      <w:r>
        <w:rPr>
          <w:b/>
          <w:color w:val="3366FF"/>
          <w:sz w:val="20"/>
        </w:rPr>
        <w:t>GOVERNANCE MATTERS</w:t>
      </w:r>
    </w:p>
    <w:p>
      <w:pPr>
        <w:pStyle w:val="TextBody"/>
        <w:bidi w:val="0"/>
        <w:spacing w:lineRule="atLeast" w:line="240" w:before="200" w:after="200"/>
        <w:jc w:val="both"/>
        <w:rPr/>
      </w:pPr>
      <w:r>
        <w:rPr>
          <w:b/>
          <w:sz w:val="20"/>
        </w:rPr>
        <w:t>We have various mechanisms in place to discourage takeover attempts, which may</w:t>
      </w:r>
      <w:r>
        <w:rPr/>
        <w:t xml:space="preserve"> </w:t>
      </w:r>
      <w:r>
        <w:rPr>
          <w:b/>
          <w:sz w:val="20"/>
        </w:rPr>
        <w:t>reduce or eliminate our stockholders' ability to sell their shares for a premium in a change of control transaction.</w:t>
      </w:r>
    </w:p>
    <w:p>
      <w:pPr>
        <w:pStyle w:val="TextBody"/>
        <w:bidi w:val="0"/>
        <w:spacing w:lineRule="atLeast" w:line="240" w:before="200" w:after="200"/>
        <w:jc w:val="both"/>
        <w:rPr/>
      </w:pPr>
      <w:r>
        <w:rPr>
          <w:sz w:val="20"/>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w:t>
      </w:r>
      <w:r>
        <w:rPr/>
        <w:t> </w:t>
      </w:r>
      <w:r>
        <w:rPr>
          <w:sz w:val="20"/>
        </w:rPr>
        <w:t>the opportunity to do so. These anti-takeover provisions could substantially impede the ability of public stockholders to benefit from a change of control or change in our management and board of directors. These provisions include:</w:t>
      </w:r>
    </w:p>
    <w:p>
      <w:pPr>
        <w:pStyle w:val="TextBody"/>
        <w:bidi w:val="0"/>
        <w:spacing w:lineRule="atLeast" w:line="240" w:before="200" w:after="0"/>
        <w:ind w:left="720" w:right="0" w:hanging="192"/>
        <w:jc w:val="both"/>
        <w:rPr/>
      </w:pPr>
      <w:r>
        <w:rPr/>
        <w:t></w:t>
      </w:r>
      <w:r>
        <w:rPr>
          <w:caps w:val="false"/>
          <w:smallCaps w:val="false"/>
        </w:rPr>
        <w:t xml:space="preserve">   </w:t>
      </w:r>
      <w:r>
        <w:rPr>
          <w:sz w:val="20"/>
        </w:rPr>
        <w:t>preferred stock that could be issued by our board of directors to make it more difficult for a third party to acquire, or to discourage a third party from acquiring, a majority of our outstanding voting stock;</w:t>
      </w:r>
    </w:p>
    <w:p>
      <w:pPr>
        <w:pStyle w:val="TextBody"/>
        <w:bidi w:val="0"/>
        <w:spacing w:lineRule="atLeast" w:line="240" w:before="0" w:after="0"/>
        <w:ind w:left="720" w:right="0" w:hanging="192"/>
        <w:jc w:val="both"/>
        <w:rPr/>
      </w:pPr>
      <w:r>
        <w:rPr/>
        <w:t></w:t>
      </w:r>
      <w:r>
        <w:rPr>
          <w:caps w:val="false"/>
          <w:smallCaps w:val="false"/>
        </w:rPr>
        <w:t xml:space="preserve">   </w:t>
      </w:r>
      <w:r>
        <w:rPr>
          <w:sz w:val="20"/>
        </w:rPr>
        <w:t>classification of our directors into three classes with respect to the time for which they hold office;</w:t>
      </w:r>
    </w:p>
    <w:p>
      <w:pPr>
        <w:pStyle w:val="TextBody"/>
        <w:bidi w:val="0"/>
        <w:spacing w:lineRule="atLeast" w:line="240" w:before="0" w:after="0"/>
        <w:ind w:left="720" w:right="0" w:hanging="192"/>
        <w:jc w:val="both"/>
        <w:rPr/>
      </w:pPr>
      <w:r>
        <w:rPr/>
        <w:t></w:t>
      </w:r>
      <w:r>
        <w:rPr>
          <w:caps w:val="false"/>
          <w:smallCaps w:val="false"/>
        </w:rPr>
        <w:t xml:space="preserve">   </w:t>
      </w:r>
      <w:r>
        <w:rPr>
          <w:sz w:val="20"/>
        </w:rPr>
        <w:t>supermajority voting requirements to amend the provision in our certificate of incorporation providing for the classification of our directors into three such classes;</w:t>
      </w:r>
    </w:p>
    <w:p>
      <w:pPr>
        <w:pStyle w:val="TextBody"/>
        <w:bidi w:val="0"/>
        <w:spacing w:lineRule="atLeast" w:line="240" w:before="0" w:after="0"/>
        <w:ind w:left="720" w:right="0" w:hanging="192"/>
        <w:jc w:val="both"/>
        <w:rPr/>
      </w:pPr>
      <w:r>
        <w:rPr/>
        <w:t></w:t>
      </w:r>
      <w:r>
        <w:rPr>
          <w:caps w:val="false"/>
          <w:smallCaps w:val="false"/>
        </w:rPr>
        <w:t xml:space="preserve">   </w:t>
      </w:r>
      <w:r>
        <w:rPr>
          <w:sz w:val="20"/>
        </w:rPr>
        <w:t>non-cumulative voting for directors;</w:t>
      </w:r>
    </w:p>
    <w:p>
      <w:pPr>
        <w:pStyle w:val="TextBody"/>
        <w:bidi w:val="0"/>
        <w:spacing w:lineRule="atLeast" w:line="240" w:before="0" w:after="0"/>
        <w:ind w:left="720" w:right="0" w:hanging="192"/>
        <w:jc w:val="both"/>
        <w:rPr/>
      </w:pPr>
      <w:r>
        <w:rPr/>
        <w:t></w:t>
      </w:r>
      <w:r>
        <w:rPr>
          <w:caps w:val="false"/>
          <w:smallCaps w:val="false"/>
        </w:rPr>
        <w:t xml:space="preserve">   </w:t>
      </w:r>
      <w:r>
        <w:rPr>
          <w:sz w:val="20"/>
        </w:rPr>
        <w:t>control by our board of directors of the size of our board of directors;</w:t>
      </w:r>
    </w:p>
    <w:p>
      <w:pPr>
        <w:pStyle w:val="TextBody"/>
        <w:bidi w:val="0"/>
        <w:spacing w:lineRule="atLeast" w:line="240" w:before="0" w:after="0"/>
        <w:ind w:left="720" w:right="0" w:hanging="192"/>
        <w:jc w:val="both"/>
        <w:rPr/>
      </w:pPr>
      <w:r>
        <w:rPr/>
        <w:t></w:t>
      </w:r>
      <w:r>
        <w:rPr>
          <w:caps w:val="false"/>
          <w:smallCaps w:val="false"/>
        </w:rPr>
        <w:t xml:space="preserve">   </w:t>
      </w:r>
      <w:r>
        <w:rPr>
          <w:sz w:val="20"/>
        </w:rPr>
        <w:t>limitations on the ability of stockholders to call special meetings of stockholders;</w:t>
      </w:r>
    </w:p>
    <w:p>
      <w:pPr>
        <w:pStyle w:val="TextBody"/>
        <w:bidi w:val="0"/>
        <w:spacing w:lineRule="atLeast" w:line="240" w:before="0" w:after="0"/>
        <w:ind w:left="720" w:right="0" w:hanging="192"/>
        <w:jc w:val="both"/>
        <w:rPr/>
      </w:pPr>
      <w:r>
        <w:rPr/>
        <w:t></w:t>
      </w:r>
      <w:r>
        <w:rPr>
          <w:caps w:val="false"/>
          <w:smallCaps w:val="false"/>
        </w:rPr>
        <w:t xml:space="preserve">   </w:t>
      </w:r>
      <w:r>
        <w:rPr>
          <w:sz w:val="20"/>
        </w:rPr>
        <w:t>advance notice requirements for nominations of candidates for election to our board of directors or for proposing matters that can be acted upon by our stockholders at stockholder meetings; and</w:t>
      </w:r>
    </w:p>
    <w:p>
      <w:pPr>
        <w:pStyle w:val="TextBody"/>
        <w:bidi w:val="0"/>
        <w:spacing w:lineRule="atLeast" w:line="240" w:before="0" w:after="200"/>
        <w:ind w:left="720" w:right="0" w:hanging="192"/>
        <w:jc w:val="both"/>
        <w:rPr/>
      </w:pPr>
      <w:r>
        <w:rPr/>
        <w:t></w:t>
      </w:r>
      <w:r>
        <w:rPr>
          <w:caps w:val="false"/>
          <w:smallCaps w:val="false"/>
        </w:rPr>
        <w:t xml:space="preserve">   </w:t>
      </w:r>
      <w:r>
        <w:rPr>
          <w:sz w:val="20"/>
        </w:rPr>
        <w:t>an exclusive forum bylaw provision for all internal corporate claims.</w:t>
      </w:r>
    </w:p>
    <w:p>
      <w:pPr>
        <w:pStyle w:val="TextBody"/>
        <w:bidi w:val="0"/>
        <w:spacing w:lineRule="atLeast" w:line="240" w:before="200" w:after="200"/>
        <w:jc w:val="both"/>
        <w:rPr/>
      </w:pPr>
      <w:r>
        <w:rPr>
          <w:sz w:val="20"/>
        </w:rPr>
        <w:t>Additionally, we are authorized to issue up to a total of 90 million shares of common stock, potentially diluting equity ownership of current holders and the share price of our common stock.</w:t>
      </w:r>
      <w:r>
        <w:rPr/>
        <w:t> </w:t>
      </w:r>
      <w:r>
        <w:rPr>
          <w:sz w:val="20"/>
        </w:rPr>
        <w:t>We believe that it is necessary to</w:t>
      </w:r>
      <w:r>
        <w:rPr/>
        <w:t> </w:t>
      </w:r>
      <w:r>
        <w:rPr>
          <w:sz w:val="20"/>
        </w:rPr>
        <w:t>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pStyle w:val="TextBody"/>
        <w:bidi w:val="0"/>
        <w:spacing w:lineRule="atLeast" w:line="240" w:before="200" w:after="200"/>
        <w:jc w:val="both"/>
        <w:rPr/>
      </w:pPr>
      <w:r>
        <w:rPr>
          <w:b/>
          <w:sz w:val="20"/>
        </w:rPr>
        <w:t xml:space="preserve">An additional </w:t>
      </w:r>
      <w:r>
        <w:rPr>
          <w:rFonts w:ascii="Times New Roman" w:hAnsi="Times New Roman"/>
          <w:b/>
          <w:sz w:val="20"/>
        </w:rPr>
        <w:t>15.5</w:t>
      </w:r>
      <w:r>
        <w:rPr/>
        <w:t xml:space="preserve"> </w:t>
      </w:r>
      <w:r>
        <w:rPr>
          <w:b/>
          <w:sz w:val="20"/>
        </w:rPr>
        <w:t xml:space="preserve">million shares of common stock, representing approximately </w:t>
      </w:r>
      <w:r>
        <w:rPr>
          <w:rFonts w:ascii="Times New Roman" w:hAnsi="Times New Roman"/>
          <w:b/>
          <w:sz w:val="20"/>
        </w:rPr>
        <w:t>39</w:t>
      </w:r>
      <w:r>
        <w:rPr>
          <w:b/>
          <w:sz w:val="20"/>
        </w:rPr>
        <w:t xml:space="preserve">% of the shares outstanding as of </w:t>
      </w:r>
      <w:r>
        <w:rPr>
          <w:rFonts w:ascii="Times New Roman" w:hAnsi="Times New Roman"/>
          <w:b/>
          <w:sz w:val="20"/>
        </w:rPr>
        <w:t>December 31, 2025</w:t>
      </w:r>
      <w:r>
        <w:rPr>
          <w:b/>
          <w:sz w:val="20"/>
        </w:rPr>
        <w:t>,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pStyle w:val="TextBody"/>
        <w:bidi w:val="0"/>
        <w:spacing w:lineRule="atLeast" w:line="240" w:before="200" w:after="200"/>
        <w:jc w:val="both"/>
        <w:rPr/>
      </w:pPr>
      <w:r>
        <w:rPr>
          <w:sz w:val="20"/>
        </w:rPr>
        <w:t xml:space="preserve">As of </w:t>
      </w:r>
      <w:r>
        <w:rPr>
          <w:rFonts w:ascii="Times New Roman" w:hAnsi="Times New Roman"/>
          <w:sz w:val="20"/>
        </w:rPr>
        <w:t>December 31, 2025</w:t>
      </w:r>
      <w:r>
        <w:rPr>
          <w:sz w:val="20"/>
        </w:rPr>
        <w:t xml:space="preserve">, we had </w:t>
      </w:r>
      <w:r>
        <w:rPr>
          <w:rFonts w:ascii="Times New Roman" w:hAnsi="Times New Roman"/>
          <w:sz w:val="20"/>
        </w:rPr>
        <w:t>4.9</w:t>
      </w:r>
      <w:r>
        <w:rPr/>
        <w:t xml:space="preserve"> </w:t>
      </w:r>
      <w:r>
        <w:rPr>
          <w:sz w:val="20"/>
        </w:rPr>
        <w:t>million</w:t>
      </w:r>
      <w:r>
        <w:rPr/>
        <w:t> </w:t>
      </w:r>
      <w:r>
        <w:rPr>
          <w:sz w:val="20"/>
        </w:rPr>
        <w:t xml:space="preserve">options and </w:t>
      </w:r>
      <w:r>
        <w:rPr>
          <w:rFonts w:ascii="Times New Roman" w:hAnsi="Times New Roman"/>
          <w:sz w:val="20"/>
        </w:rPr>
        <w:t>1.5</w:t>
      </w:r>
      <w:r>
        <w:rPr/>
        <w:t xml:space="preserve"> </w:t>
      </w:r>
      <w:r>
        <w:rPr>
          <w:sz w:val="20"/>
        </w:rPr>
        <w:t>million</w:t>
      </w:r>
      <w:r>
        <w:rPr/>
        <w:t> </w:t>
      </w:r>
      <w:r>
        <w:rPr>
          <w:sz w:val="20"/>
        </w:rPr>
        <w:t xml:space="preserve">restricted stock awards outstanding, held by our directors, officers and employees, which entitle these holders to acquire an equal number of shares of our common stock. Of this amount, </w:t>
      </w:r>
      <w:r>
        <w:rPr>
          <w:rFonts w:ascii="Times New Roman" w:hAnsi="Times New Roman"/>
          <w:sz w:val="20"/>
        </w:rPr>
        <w:t>4.0</w:t>
      </w:r>
      <w:r>
        <w:rPr/>
        <w:t xml:space="preserve"> </w:t>
      </w:r>
      <w:r>
        <w:rPr>
          <w:sz w:val="20"/>
        </w:rPr>
        <w:t xml:space="preserve">million options are vested and exercisable as of </w:t>
      </w:r>
      <w:r>
        <w:rPr>
          <w:rFonts w:ascii="Times New Roman" w:hAnsi="Times New Roman"/>
          <w:sz w:val="20"/>
        </w:rPr>
        <w:t>December 31, 2025</w:t>
      </w:r>
      <w:r>
        <w:rPr>
          <w:sz w:val="20"/>
        </w:rPr>
        <w:t xml:space="preserve">. Approximately </w:t>
      </w:r>
      <w:r>
        <w:rPr>
          <w:rFonts w:ascii="Times New Roman" w:hAnsi="Times New Roman"/>
          <w:sz w:val="20"/>
        </w:rPr>
        <w:t>1.1</w:t>
      </w:r>
      <w:r>
        <w:rPr/>
        <w:t> </w:t>
      </w:r>
      <w:r>
        <w:rPr>
          <w:sz w:val="20"/>
        </w:rPr>
        <w:t>million additional shares of our common stock may be issued in connection with our stock incentive and employee stock purchase plans.</w:t>
      </w:r>
      <w:r>
        <w:rPr/>
        <w:t> </w:t>
      </w:r>
      <w:r>
        <w:rPr>
          <w:sz w:val="20"/>
        </w:rPr>
        <w:t xml:space="preserve">Accordingly, based on current trading prices of our common stock, approximately </w:t>
      </w:r>
      <w:r>
        <w:rPr>
          <w:rFonts w:ascii="Times New Roman" w:hAnsi="Times New Roman"/>
          <w:sz w:val="20"/>
        </w:rPr>
        <w:t>3.1</w:t>
      </w:r>
      <w:r>
        <w:rPr/>
        <w:t> </w:t>
      </w:r>
      <w:r>
        <w:rPr>
          <w:sz w:val="20"/>
        </w:rPr>
        <w:t>million shares could potentially be added to our total current common stock outstanding through the exercise of options and the vesting of restricted stock awards, which could adversely impact the trading price for our stock.</w:t>
      </w:r>
      <w:r>
        <w:rPr/>
        <w:t> </w:t>
      </w:r>
    </w:p>
    <w:p>
      <w:pPr>
        <w:pStyle w:val="TextBody"/>
        <w:bidi w:val="0"/>
        <w:spacing w:lineRule="atLeast" w:line="240" w:before="200" w:after="200"/>
        <w:jc w:val="both"/>
        <w:rPr/>
      </w:pPr>
      <w:r>
        <w:rPr>
          <w:sz w:val="20"/>
        </w:rPr>
        <w:t xml:space="preserve">Of the </w:t>
      </w:r>
      <w:r>
        <w:rPr>
          <w:rFonts w:ascii="Times New Roman" w:hAnsi="Times New Roman"/>
          <w:sz w:val="20"/>
        </w:rPr>
        <w:t>6.4</w:t>
      </w:r>
      <w:r>
        <w:rPr/>
        <w:t xml:space="preserve"> </w:t>
      </w:r>
      <w:r>
        <w:rPr>
          <w:sz w:val="20"/>
        </w:rPr>
        <w:t xml:space="preserve">million total options and restricted stock awards outstanding, an aggregate of </w:t>
      </w:r>
      <w:r>
        <w:rPr>
          <w:rFonts w:ascii="Times New Roman" w:hAnsi="Times New Roman"/>
          <w:sz w:val="20"/>
        </w:rPr>
        <w:t>5.2</w:t>
      </w:r>
      <w:r>
        <w:rPr/>
        <w:t xml:space="preserve"> </w:t>
      </w:r>
      <w:r>
        <w:rPr>
          <w:sz w:val="20"/>
        </w:rPr>
        <w:t>million options and</w:t>
      </w:r>
      <w:r>
        <w:rPr/>
        <w:t> </w:t>
      </w:r>
      <w:r>
        <w:rPr>
          <w:sz w:val="20"/>
        </w:rPr>
        <w:t>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r>
        <w:rPr/>
        <w:t> </w:t>
      </w:r>
    </w:p>
    <w:p>
      <w:pPr>
        <w:pStyle w:val="TextBody"/>
        <w:bidi w:val="0"/>
        <w:spacing w:lineRule="atLeast" w:line="240" w:before="200" w:after="200"/>
        <w:jc w:val="both"/>
        <w:rPr/>
      </w:pPr>
      <w:r>
        <w:rPr>
          <w:sz w:val="20"/>
        </w:rPr>
        <w:t xml:space="preserve">Upon the occurrence of certain events, another </w:t>
      </w:r>
      <w:r>
        <w:rPr>
          <w:rFonts w:ascii="Times New Roman" w:hAnsi="Times New Roman"/>
          <w:sz w:val="20"/>
        </w:rPr>
        <w:t>8.0</w:t>
      </w:r>
      <w:r>
        <w:rPr/>
        <w:t xml:space="preserve"> </w:t>
      </w:r>
      <w:r>
        <w:rPr>
          <w:sz w:val="20"/>
        </w:rPr>
        <w:t>million shares of common stock could be issued upon conversion of the Company's existing convertible notes; in certain situations, the number of shares</w:t>
      </w:r>
      <w:r>
        <w:rPr/>
        <w:t> </w:t>
      </w:r>
      <w:r>
        <w:rPr>
          <w:sz w:val="20"/>
        </w:rPr>
        <w:t>issuable could be higher. While we have stated that we intend to settle any conversion of these notes by issuing cash for the principal value of the</w:t>
      </w:r>
      <w:r>
        <w:rPr/>
        <w:t> </w:t>
      </w:r>
      <w:r>
        <w:rPr>
          <w:sz w:val="20"/>
        </w:rPr>
        <w:t>notes and paying cash or issuing shares of common stock for the conversion value in excess of the principal, which would significantly</w:t>
      </w:r>
      <w:r>
        <w:rPr/>
        <w:t> </w:t>
      </w:r>
      <w:r>
        <w:rPr>
          <w:sz w:val="20"/>
        </w:rPr>
        <w:t>reduce the number of shares issued upon conversion, if our financial condition significantly and adversely changes, we may not be able to settle as intended should the notes be converted.</w:t>
      </w:r>
    </w:p>
    <w:p>
      <w:pPr>
        <w:pStyle w:val="TextBody"/>
        <w:bidi w:val="0"/>
        <w:spacing w:lineRule="atLeast" w:line="240" w:before="0" w:after="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b/>
          <w:color w:val="3366FF"/>
          <w:sz w:val="20"/>
        </w:rPr>
      </w:pPr>
      <w:r>
        <w:rPr>
          <w:b/>
          <w:color w:val="3366FF"/>
          <w:sz w:val="20"/>
        </w:rPr>
        <w:t>KEY PERSONNEL</w:t>
      </w:r>
    </w:p>
    <w:p>
      <w:pPr>
        <w:pStyle w:val="TextBody"/>
        <w:bidi w:val="0"/>
        <w:spacing w:lineRule="atLeast" w:line="240" w:before="200" w:after="200"/>
        <w:jc w:val="both"/>
        <w:rPr/>
      </w:pPr>
      <w:r>
        <w:rPr>
          <w:b/>
          <w:sz w:val="20"/>
        </w:rPr>
        <w:t>Retaining the founder and key executives of our Company, and of companies that</w:t>
      </w:r>
      <w:r>
        <w:rPr/>
        <w:t xml:space="preserve"> </w:t>
      </w:r>
      <w:r>
        <w:rPr>
          <w:b/>
          <w:sz w:val="20"/>
        </w:rPr>
        <w:t>we acquire, and finding and retaining qualified personnel is important to our</w:t>
      </w:r>
      <w:r>
        <w:rPr/>
        <w:t xml:space="preserve"> </w:t>
      </w:r>
      <w:r>
        <w:rPr>
          <w:b/>
          <w:sz w:val="20"/>
        </w:rPr>
        <w:t>continued success, and any inability to attract and retain such personnel could harm our operations.</w:t>
      </w:r>
    </w:p>
    <w:p>
      <w:pPr>
        <w:pStyle w:val="TextBody"/>
        <w:bidi w:val="0"/>
        <w:spacing w:lineRule="atLeast" w:line="240" w:before="200" w:after="200"/>
        <w:jc w:val="both"/>
        <w:rPr/>
      </w:pPr>
      <w:r>
        <w:rPr>
          <w:sz w:val="20"/>
        </w:rPr>
        <w:t>The development and implementation of our strategy has depended in large part on our co-founder,</w:t>
      </w:r>
      <w:r>
        <w:rPr/>
        <w:t> </w:t>
      </w:r>
      <w:r>
        <w:rPr>
          <w:sz w:val="20"/>
        </w:rPr>
        <w:t>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pStyle w:val="TextBody"/>
        <w:bidi w:val="0"/>
        <w:spacing w:lineRule="atLeast" w:line="240" w:before="200" w:after="0"/>
        <w:jc w:val="both"/>
        <w:rPr>
          <w:sz w:val="20"/>
        </w:rPr>
      </w:pPr>
      <w:r>
        <w:rPr>
          <w:sz w:val="20"/>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pStyle w:val="TextBody"/>
        <w:bidi w:val="0"/>
        <w:spacing w:lineRule="atLeast" w:line="240" w:before="200" w:after="200"/>
        <w:jc w:val="both"/>
        <w:rPr/>
      </w:pPr>
      <w:bookmarkStart w:id="10" w:name="bm_762c59af6bd5c8f0"/>
      <w:bookmarkEnd w:id="10"/>
      <w:r>
        <w:rPr>
          <w:b/>
          <w:sz w:val="20"/>
        </w:rPr>
        <w:t xml:space="preserve">Item 1B. </w:t>
      </w:r>
      <w:hyperlink w:anchor="TOC">
        <w:r>
          <w:rPr>
            <w:rStyle w:val="InternetLink"/>
            <w:b/>
            <w:strike w:val="false"/>
            <w:dstrike w:val="false"/>
            <w:color w:val="000000"/>
            <w:sz w:val="20"/>
            <w:u w:val="none"/>
            <w:effect w:val="none"/>
          </w:rPr>
          <w:t>Unresolved Staff Comments</w:t>
        </w:r>
      </w:hyperlink>
    </w:p>
    <w:p>
      <w:pPr>
        <w:pStyle w:val="TextBody"/>
        <w:bidi w:val="0"/>
        <w:spacing w:lineRule="atLeast" w:line="240" w:before="200" w:after="200"/>
        <w:jc w:val="both"/>
        <w:rPr>
          <w:sz w:val="20"/>
        </w:rPr>
      </w:pPr>
      <w:r>
        <w:rPr>
          <w:sz w:val="20"/>
        </w:rPr>
        <w:t>None.</w:t>
      </w:r>
    </w:p>
    <w:p>
      <w:pPr>
        <w:pStyle w:val="TextBody"/>
        <w:bidi w:val="0"/>
        <w:spacing w:lineRule="atLeast" w:line="240" w:before="0" w:after="0"/>
        <w:jc w:val="both"/>
        <w:rPr/>
      </w:pPr>
      <w:bookmarkStart w:id="11" w:name="bm_23daf4db9e044f1f"/>
      <w:bookmarkEnd w:id="11"/>
      <w:r>
        <w:rPr>
          <w:rFonts w:ascii="Times New Roman" w:hAnsi="Times New Roman"/>
          <w:b/>
          <w:sz w:val="20"/>
        </w:rPr>
        <w:t>Item 1C.</w:t>
      </w:r>
      <w:r>
        <w:rPr/>
        <w:t> </w:t>
      </w:r>
      <w:hyperlink w:anchor="TOC">
        <w:r>
          <w:rPr>
            <w:rStyle w:val="InternetLink"/>
            <w:rFonts w:ascii="Times New Roman" w:hAnsi="Times New Roman"/>
            <w:b/>
            <w:strike w:val="false"/>
            <w:dstrike w:val="false"/>
            <w:color w:val="000000"/>
            <w:sz w:val="20"/>
            <w:u w:val="none"/>
            <w:effect w:val="none"/>
          </w:rPr>
          <w:t>Cybersecurity Risk Management and Strategy</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We recognize that cyber threats are constantly evolving, and we must stay ahead of risks and threats to our business systems, data, infrastructure, and employees.</w:t>
      </w:r>
      <w:r>
        <w:rPr/>
        <w:t> </w:t>
      </w:r>
      <w:r>
        <w:rPr>
          <w:rFonts w:ascii="Times New Roman" w:hAnsi="Times New Roman"/>
          <w:sz w:val="20"/>
        </w:rPr>
        <w:t>We take a holistic approach to cybersecurity to proactively mitigate and respond to cyber threats.</w:t>
      </w:r>
      <w:r>
        <w:rPr/>
        <w:t> </w:t>
      </w:r>
      <w:r>
        <w:rPr>
          <w:rFonts w:ascii="Times New Roman" w:hAnsi="Times New Roman"/>
          <w:sz w:val="20"/>
        </w:rPr>
        <w:t>Building a robust security program and security controls are critical components that are in the core foundation of our products, culture, and management oversight.</w:t>
      </w:r>
      <w:r>
        <w:rPr/>
        <w:t> </w:t>
      </w:r>
      <w:r>
        <w:rPr>
          <w:rFonts w:ascii="Times New Roman" w:hAnsi="Times New Roman"/>
          <w:sz w:val="20"/>
        </w:rPr>
        <w:t>As a financial transaction processor, we ensure security is embedded and regarded with importance across the organization and within our products and services. We recognize the criticality of maintaining the safety, security, and integrity of our systems and data to protect our customers, employees, partners, and shareholders. The security program and cybersecurity strategies are strongly supported by both executive management and our Board of Directors. Our executive management fosters a strong culture of security awareness and responsibilities from the tone at the top and across all functional teams at all levels.</w:t>
      </w:r>
      <w:r>
        <w:rPr/>
        <w:t> </w:t>
      </w:r>
      <w:r>
        <w:rPr>
          <w:rFonts w:ascii="Times New Roman" w:hAnsi="Times New Roman"/>
          <w:sz w:val="20"/>
        </w:rPr>
        <w:t>The security team leadership also conducts segment level Board and/or periodic meetings with segment business leadership to share security key performance indicators ("KPIs") and risk considerations, as well as align with business strategies and gain approval for financial support for cybersecurity resources and tools.</w:t>
      </w:r>
      <w:r>
        <w:rPr/>
        <w:t> </w:t>
      </w:r>
      <w:r>
        <w:rPr>
          <w:rFonts w:ascii="Times New Roman" w:hAnsi="Times New Roman"/>
          <w:sz w:val="20"/>
        </w:rPr>
        <w:t>Security leadership is also involved in financial forecasting for security needs and costs, and the Chief Technology Officer ("CTO") and Chief Financial Officer or executive management team is involved in understanding and approving security related investments and strategies.</w:t>
      </w:r>
      <w:r>
        <w:rPr/>
        <w:t> </w:t>
      </w:r>
      <w:r>
        <w:rPr>
          <w:rFonts w:ascii="Times New Roman" w:hAnsi="Times New Roman"/>
          <w:sz w:val="20"/>
        </w:rPr>
        <w:t>We</w:t>
      </w:r>
      <w:r>
        <w:rPr/>
        <w:t> </w:t>
      </w:r>
      <w:r>
        <w:rPr>
          <w:rFonts w:ascii="Times New Roman" w:hAnsi="Times New Roman"/>
          <w:sz w:val="20"/>
        </w:rPr>
        <w:t>invest in our</w:t>
      </w:r>
      <w:r>
        <w:rPr/>
        <w:t> </w:t>
      </w:r>
      <w:r>
        <w:rPr>
          <w:rFonts w:ascii="Times New Roman" w:hAnsi="Times New Roman"/>
          <w:sz w:val="20"/>
        </w:rPr>
        <w:t>cybersecurity personnel and protections to address critical risks to our infrastructure and systems, and we remain dedicated to continuous improvement in our cybersecurity program.</w:t>
      </w:r>
    </w:p>
    <w:p>
      <w:pPr>
        <w:pStyle w:val="TextBody"/>
        <w:bidi w:val="0"/>
        <w:spacing w:lineRule="atLeast" w:line="240" w:before="0" w:after="0"/>
        <w:jc w:val="both"/>
        <w:rPr/>
      </w:pPr>
      <w:r>
        <w:rPr/>
        <w:t> </w:t>
      </w:r>
    </w:p>
    <w:p>
      <w:pPr>
        <w:pStyle w:val="TextBody"/>
        <w:bidi w:val="0"/>
        <w:spacing w:lineRule="atLeast" w:line="240" w:before="0" w:after="200"/>
        <w:jc w:val="both"/>
        <w:rPr/>
      </w:pPr>
      <w:r>
        <w:rPr>
          <w:rFonts w:ascii="Times New Roman" w:hAnsi="Times New Roman"/>
          <w:sz w:val="20"/>
        </w:rPr>
        <w:t>The Company’s CTO reports to our Chief Executive Officer and has been with Euronet 14 years and is responsible for developing and implementing our information security program and reporting on cybersecurity matters to the Board of Directors (the “Board”). Many on our Information Technology ("IT") security team leadership have over a decade of cybersecurity and IT control experience, certifications, and external and internal IT audit experience.</w:t>
      </w:r>
      <w:r>
        <w:rPr/>
        <w:t> </w:t>
      </w:r>
      <w:r>
        <w:rPr>
          <w:rFonts w:ascii="Times New Roman" w:hAnsi="Times New Roman"/>
          <w:sz w:val="20"/>
        </w:rPr>
        <w:t>The Chief Information Security Officer ("CISO") reports to executive management independent of IT and is responsible for management of cybersecurity risk, security governance and compliance, security policies, security training, and the overall protection and defense of our networks, systems, and company data. The CISO manages the global security governance, risk, and compliance teams and is responsible for ensuring we meet our regulatory and compliance requirements as related to PCI DSS, ISO 27001, and other certifications we hold globally that support our business products and services.</w:t>
      </w:r>
      <w:r>
        <w:rPr/>
        <w:t> </w:t>
      </w:r>
      <w:r>
        <w:rPr>
          <w:rFonts w:ascii="Times New Roman" w:hAnsi="Times New Roman"/>
          <w:sz w:val="20"/>
        </w:rPr>
        <w:t>The Global Director of Cybersecurity reports to the CTO and manages our security toolbelt and implementations, incident response, alert management, and various technical security teams.</w:t>
      </w:r>
      <w:r>
        <w:rPr/>
        <w:t> </w:t>
      </w:r>
      <w:r>
        <w:rPr>
          <w:rFonts w:ascii="Times New Roman" w:hAnsi="Times New Roman"/>
          <w:sz w:val="20"/>
        </w:rPr>
        <w:t>The CISO and Global Director of Cybersecurity manage teams of cybersecurity professionals with broad experience and expertise, including PCI and other regulatory compliance, threat assessments and detection, forensic investigations, mitigation technologies, cybersecurity training, incident response, insider threats, third party risk, penetration testing, and security engineering expertise. Many members of the security leadership team across the organization have been with Euronet for more than 15 years. The global and segment security leadership teams work closely with legal, privacy, audit, and compliance teams to ensure we meet regulatory requirements and work together to address cyber risks in all functional areas of the organization. We also conduct strategic in person and virtual annual, quarterly, and monthly security meetings with key members of security and IT leadership to align on security priorities, initiatives, and requirements.</w:t>
      </w: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Our Board of Directors is responsible for overseeing our enterprise risk management activities in general, and each of our Board committees assists the Board in the role of risk oversight. The full Board receives an update on our risk management process and the risk trends related to cybersecurity at least annually. The CTO attends all quarterly Board meetings and presents to the Board at a minimum of twice per year on security and cybersecurity KPIs and threat mitigations.</w:t>
      </w:r>
      <w:r>
        <w:rPr/>
        <w:t> </w:t>
      </w:r>
      <w:r>
        <w:rPr>
          <w:rFonts w:ascii="Times New Roman" w:hAnsi="Times New Roman"/>
          <w:sz w:val="20"/>
        </w:rPr>
        <w:t>The Audit Committee oversees risks including cybersecurity risks.</w:t>
      </w:r>
      <w:r>
        <w:rPr/>
        <w:t> </w:t>
      </w:r>
      <w:r>
        <w:rPr>
          <w:rFonts w:ascii="Times New Roman" w:hAnsi="Times New Roman"/>
          <w:sz w:val="20"/>
        </w:rPr>
        <w:t>Our internal audit team reports on cybersecurity risks and internal and external audit results to the Audit Committee. Internal Audit performs IT security and compliance audits for SOX 404 purposes, as well as testing Euronet’s security standards, and performs pre-assessments for ISO 27001. We also engage third party independent assessments for penetration testing, vulnerability assessments, and certification such as PCI DSS, ISO 27001, VISA PIN and SOC Type 1 and Type 2 audits. The CTO and CISO also have weekly and monthly meetings with senior executive management to discuss security strategy, projects, and concerns.</w:t>
      </w:r>
      <w:r>
        <w:rPr/>
        <w:t xml:space="preserve"> </w:t>
      </w:r>
      <w:r>
        <w:rPr>
          <w:rFonts w:ascii="Times New Roman" w:hAnsi="Times New Roman"/>
          <w:sz w:val="20"/>
        </w:rPr>
        <w:t>We have an established incident response process led by our CISO governing our assessment, response, and notifications internally and externally upon the occurrence of a cybersecurity incident. Depending on the nature and severity of an incident, this process provides for escalating notification to our Chief Executive Officer, executive management team, and the Board as well as regulatory notifications depending on the jurisdiction and specifications of the incident.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While we evaluate all security incidents and consider the materiality of individual or combined incidents, to date, no incidents or combination of incidents have materially affected the Company or our financial position, results of operations, and/or cash flows. We continue to invest in cybersecurity to enhance the design and effectiveness of our internal controls and processes to protect our systems, networks, and integrity of our data.</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Our approach to cybersecurity risk management includes the following key areas: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sz w:val="20"/>
        </w:rPr>
        <w:t xml:space="preserve">Risk Management and Policies - </w:t>
      </w:r>
      <w:r>
        <w:rPr>
          <w:rFonts w:ascii="Times New Roman" w:hAnsi="Times New Roman"/>
          <w:sz w:val="20"/>
        </w:rPr>
        <w:t>Our policies, standards, processes, and practices for assessing, identifying, and managing risks, including material risks, from cybersecurity threats are integrated</w:t>
      </w:r>
      <w:r>
        <w:rPr/>
        <w:t xml:space="preserve"> </w:t>
      </w:r>
      <w:r>
        <w:rPr>
          <w:rFonts w:ascii="Times New Roman" w:hAnsi="Times New Roman"/>
          <w:sz w:val="20"/>
        </w:rPr>
        <w:t>into our overall security and risk management program and are based on frameworks established by the National Institute of Standards and Technology (“NIST”), the International Organization for Standardization ("ISO"), and other applicable industry standards and best practices.</w:t>
      </w:r>
      <w:r>
        <w:rPr/>
        <w:t> </w:t>
      </w:r>
      <w:r>
        <w:rPr>
          <w:rFonts w:ascii="Times New Roman" w:hAnsi="Times New Roman"/>
          <w:sz w:val="20"/>
        </w:rPr>
        <w:t>We regularly review and update policies and procedures with input from IT and security leadership and industry security standards including PCI DSS and ISO.</w:t>
      </w:r>
      <w:r>
        <w:rPr/>
        <w:t> </w:t>
      </w:r>
      <w:r>
        <w:rPr>
          <w:rFonts w:ascii="Times New Roman" w:hAnsi="Times New Roman"/>
          <w:sz w:val="20"/>
        </w:rPr>
        <w:t>Business segments and local entities also maintain local policies and procedures that include global requirements and local, statutory, or contractual requirements and escalations.</w:t>
      </w:r>
      <w:r>
        <w:rPr/>
        <w:t> </w:t>
      </w:r>
      <w:r>
        <w:rPr>
          <w:rFonts w:ascii="Times New Roman" w:hAnsi="Times New Roman"/>
          <w:sz w:val="20"/>
        </w:rPr>
        <w:t>All employees must sign and acknowledge a Corporate Information Security Policy that outlines their responsibilities related to IT security, cybersecurity, and protection of company assets and data.</w:t>
      </w:r>
      <w:r>
        <w:rPr/>
        <w:t> </w:t>
      </w:r>
      <w:r>
        <w:rPr>
          <w:rFonts w:ascii="Times New Roman" w:hAnsi="Times New Roman"/>
          <w:sz w:val="20"/>
        </w:rPr>
        <w:t>In addition to the enterprise risk assessment presented to the Board, local entity IT and security teams maintain detailed risk assessments that are shared with local management and are provided for applicable regulatory requirements, as well.</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sz w:val="20"/>
        </w:rPr>
        <w:t xml:space="preserve">Information Sharing and Collaboration - </w:t>
      </w:r>
      <w:r>
        <w:rPr>
          <w:rFonts w:ascii="Times New Roman" w:hAnsi="Times New Roman"/>
          <w:sz w:val="20"/>
        </w:rPr>
        <w:t>We subscribe to financial services cyber intelligence and collaboration services, and we work closely with cyber intelligence and managed security service providers to augment our own security program and controls.</w:t>
      </w:r>
      <w:r>
        <w:rPr/>
        <w:t> </w:t>
      </w:r>
      <w:r>
        <w:rPr>
          <w:rFonts w:ascii="Times New Roman" w:hAnsi="Times New Roman"/>
          <w:sz w:val="20"/>
        </w:rPr>
        <w:t>We investigate intelligence sharing platforms to assess potential risks as credible or emerging risks.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sz w:val="20"/>
        </w:rPr>
        <w:t xml:space="preserve">Continuous Monitoring – </w:t>
      </w:r>
      <w:r>
        <w:rPr>
          <w:rFonts w:ascii="Times New Roman" w:hAnsi="Times New Roman"/>
          <w:sz w:val="20"/>
        </w:rPr>
        <w:t>We have security team members across all of our geographic business operations that support our key IT processing centers.</w:t>
      </w:r>
      <w:r>
        <w:rPr/>
        <w:t> </w:t>
      </w:r>
      <w:r>
        <w:rPr>
          <w:rFonts w:ascii="Times New Roman" w:hAnsi="Times New Roman"/>
          <w:sz w:val="20"/>
        </w:rPr>
        <w:t>We have teams dedicated to investigating all security alerts and incidents at a global level or within our business segments.</w:t>
      </w:r>
      <w:r>
        <w:rPr/>
        <w:t xml:space="preserve">  </w:t>
      </w:r>
      <w:r>
        <w:rPr>
          <w:rFonts w:ascii="Times New Roman" w:hAnsi="Times New Roman"/>
          <w:sz w:val="20"/>
        </w:rPr>
        <w:t>Further, we have managed security service providers who provide 24x7 advanced threat detection and monitoring services to augment our security analyst teams.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sz w:val="20"/>
        </w:rPr>
        <w:t xml:space="preserve">Incident Response – </w:t>
      </w:r>
      <w:r>
        <w:rPr>
          <w:rFonts w:ascii="Times New Roman" w:hAnsi="Times New Roman"/>
          <w:sz w:val="20"/>
        </w:rPr>
        <w:t>We have a global incident response policy that is shared with key stakeholders and outlines our classification, escalation, investigation, reporting, and overall response procedures depending on the classification and severity of incidents.</w:t>
      </w:r>
      <w:r>
        <w:rPr/>
        <w:t> </w:t>
      </w:r>
      <w:r>
        <w:rPr>
          <w:rFonts w:ascii="Times New Roman" w:hAnsi="Times New Roman"/>
          <w:sz w:val="20"/>
        </w:rPr>
        <w:t>Local IT teams must also create a local incident response plan and playbooks for addressing various types of incidents and handling escalations and reporting obligations locally.</w:t>
      </w:r>
      <w:r>
        <w:rPr/>
        <w:t> </w:t>
      </w:r>
      <w:r>
        <w:rPr>
          <w:rFonts w:ascii="Times New Roman" w:hAnsi="Times New Roman"/>
          <w:sz w:val="20"/>
        </w:rPr>
        <w:t>Further, we engage external forensic investigations as necessary to augment our incident reporting process if deemed critical and/or necessary for prompt response to security incidents which may require a higher technical level of forensics and/or resources to quickly assess and respond to certain incidents.</w:t>
      </w:r>
    </w:p>
    <w:p>
      <w:pPr>
        <w:pStyle w:val="TextBody"/>
        <w:bidi w:val="0"/>
        <w:spacing w:lineRule="atLeast" w:line="240" w:before="0" w:after="0"/>
        <w:jc w:val="both"/>
        <w:rPr/>
      </w:pPr>
      <w:r>
        <w:rPr/>
        <w:br/>
      </w:r>
      <w:r>
        <w:rPr>
          <w:rFonts w:ascii="Times New Roman" w:hAnsi="Times New Roman"/>
          <w:b/>
          <w:sz w:val="20"/>
        </w:rPr>
        <w:t>Training and</w:t>
      </w:r>
      <w:r>
        <w:rPr/>
        <w:t xml:space="preserve"> </w:t>
      </w:r>
      <w:r>
        <w:rPr>
          <w:rFonts w:ascii="Times New Roman" w:hAnsi="Times New Roman"/>
          <w:b/>
          <w:sz w:val="20"/>
        </w:rPr>
        <w:t>Awareness</w:t>
      </w:r>
      <w:r>
        <w:rPr/>
        <w:t xml:space="preserve"> </w:t>
      </w:r>
      <w:r>
        <w:rPr>
          <w:rFonts w:ascii="Times New Roman" w:hAnsi="Times New Roman"/>
          <w:sz w:val="20"/>
        </w:rPr>
        <w:t>- We provide security awareness training to our employees and contractors to help identify, mitigate, and report on cybersecurity threats. Our employees with network access must complete quarterly security awareness training which includes multiple interactive and video training modules with passing scores required to complete training compliance. We require annual PCI DSS and GDPR training as well as any other regulatory required security training.</w:t>
      </w:r>
      <w:r>
        <w:rPr/>
        <w:t> </w:t>
      </w:r>
      <w:r>
        <w:rPr>
          <w:rFonts w:ascii="Times New Roman" w:hAnsi="Times New Roman"/>
          <w:sz w:val="20"/>
        </w:rPr>
        <w:t>We also perform simulated phishing campaigns to further test security training effectiveness. We also periodically host tabletop exercises with IT and management to test and evaluate our incident response plan or playbooks.</w:t>
      </w:r>
    </w:p>
    <w:p>
      <w:pPr>
        <w:pStyle w:val="TextBody"/>
        <w:bidi w:val="0"/>
        <w:spacing w:lineRule="atLeast" w:line="240" w:before="0" w:after="0"/>
        <w:jc w:val="both"/>
        <w:rPr/>
      </w:pPr>
      <w:r>
        <w:rPr/>
        <w:br/>
      </w:r>
      <w:r>
        <w:rPr>
          <w:rFonts w:ascii="Times New Roman" w:hAnsi="Times New Roman"/>
          <w:b/>
          <w:sz w:val="20"/>
        </w:rPr>
        <w:t>Insider Threats</w:t>
      </w:r>
      <w:r>
        <w:rPr/>
        <w:t xml:space="preserve"> </w:t>
      </w:r>
      <w:r>
        <w:rPr>
          <w:rFonts w:ascii="Times New Roman" w:hAnsi="Times New Roman"/>
          <w:sz w:val="20"/>
        </w:rPr>
        <w:t>- We implement insider threat controls designed to identify, assess, and address potential risks from within our Company. We implement controls and tools to alert on suspicious or unusual insider activity, and we have rigorous controls in place to prevent data loss and external sharing of company information.</w:t>
      </w:r>
      <w:r>
        <w:rPr/>
        <w:t> </w:t>
      </w:r>
      <w:r>
        <w:rPr>
          <w:rFonts w:ascii="Times New Roman" w:hAnsi="Times New Roman"/>
          <w:sz w:val="20"/>
        </w:rPr>
        <w:t>We consider and evaluate potential risks consistent with industry practices, customer requirements and applicable law, including privacy and other considerations.</w:t>
      </w:r>
    </w:p>
    <w:p>
      <w:pPr>
        <w:pStyle w:val="TextBody"/>
        <w:bidi w:val="0"/>
        <w:spacing w:lineRule="atLeast" w:line="240" w:before="200" w:after="200"/>
        <w:jc w:val="both"/>
        <w:rPr/>
      </w:pPr>
      <w:r>
        <w:rPr>
          <w:rFonts w:ascii="Times New Roman" w:hAnsi="Times New Roman"/>
          <w:b/>
          <w:sz w:val="20"/>
        </w:rPr>
        <w:t>Third Party Risk Assessments</w:t>
      </w:r>
      <w:r>
        <w:rPr/>
        <w:t xml:space="preserve"> </w:t>
      </w:r>
      <w:r>
        <w:rPr>
          <w:rFonts w:ascii="Times New Roman" w:hAnsi="Times New Roman"/>
          <w:sz w:val="20"/>
        </w:rPr>
        <w:t>- We conduct information security assessments before sharing or allowing the hosting of data in computing environments managed by third parties or allowing third parties to connect to our environment.</w:t>
      </w:r>
      <w:r>
        <w:rPr/>
        <w:t> </w:t>
      </w:r>
      <w:r>
        <w:rPr>
          <w:rFonts w:ascii="Times New Roman" w:hAnsi="Times New Roman"/>
          <w:sz w:val="20"/>
        </w:rPr>
        <w:t>We also review and amend legal terms and conditions to ensure there are contractual provisions requiring certain security protections and incident reporting.</w:t>
      </w:r>
      <w:r>
        <w:rPr/>
        <w:t> </w:t>
      </w:r>
      <w:r>
        <w:rPr>
          <w:rFonts w:ascii="Times New Roman" w:hAnsi="Times New Roman"/>
          <w:sz w:val="20"/>
        </w:rPr>
        <w:t>We also perform vendor risk assessments to assess the risk of new and existing vendors we conduct business with.</w:t>
      </w:r>
    </w:p>
    <w:p>
      <w:pPr>
        <w:pStyle w:val="TextBody"/>
        <w:bidi w:val="0"/>
        <w:spacing w:lineRule="atLeast" w:line="240" w:before="0" w:after="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sz w:val="20"/>
        </w:rPr>
        <w:t xml:space="preserve">External Assessments – </w:t>
      </w:r>
      <w:r>
        <w:rPr>
          <w:rFonts w:ascii="Times New Roman" w:hAnsi="Times New Roman"/>
          <w:sz w:val="20"/>
        </w:rPr>
        <w:t>We engage external assessors to evaluate, test, and conclude on the design and effectiveness of security controls and processes.</w:t>
      </w:r>
      <w:r>
        <w:rPr/>
        <w:t> </w:t>
      </w:r>
      <w:r>
        <w:rPr>
          <w:rFonts w:ascii="Times New Roman" w:hAnsi="Times New Roman"/>
          <w:sz w:val="20"/>
        </w:rPr>
        <w:t>We engage quality assessors for vulnerability and penetration testing as well as for security certification and/or regulatory requirements.</w:t>
      </w:r>
      <w:r>
        <w:rPr/>
        <w:t> </w:t>
      </w:r>
      <w:r>
        <w:rPr>
          <w:rFonts w:ascii="Times New Roman" w:hAnsi="Times New Roman"/>
          <w:sz w:val="20"/>
        </w:rPr>
        <w:t>Further, we have external audits performed by customers, banking and government regulators, and public accounting firms as part of financial and statutory audit purposes. In 2025, we did not identify any cybersecurity</w:t>
      </w:r>
      <w:r>
        <w:rPr/>
        <w:t> </w:t>
      </w:r>
      <w:r>
        <w:rPr>
          <w:rFonts w:ascii="Times New Roman" w:hAnsi="Times New Roman"/>
          <w:sz w:val="20"/>
        </w:rPr>
        <w:t>threats that have materially</w:t>
      </w:r>
      <w:r>
        <w:rPr/>
        <w:t> </w:t>
      </w:r>
      <w:r>
        <w:rPr>
          <w:rFonts w:ascii="Times New Roman" w:hAnsi="Times New Roman"/>
          <w:sz w:val="20"/>
        </w:rPr>
        <w:t>affected or are reasonably likely to materially affect our business</w:t>
      </w:r>
      <w:r>
        <w:rPr/>
        <w:t> </w:t>
      </w:r>
      <w:r>
        <w:rPr>
          <w:rFonts w:ascii="Times New Roman" w:hAnsi="Times New Roman"/>
          <w:sz w:val="20"/>
        </w:rPr>
        <w:t>strategy, results of operations, or financial condition. However, despite our efforts, we cannot eliminate all risks from cybersecurity</w:t>
      </w:r>
      <w:r>
        <w:rPr/>
        <w:t> </w:t>
      </w:r>
      <w:r>
        <w:rPr>
          <w:rFonts w:ascii="Times New Roman" w:hAnsi="Times New Roman"/>
          <w:sz w:val="20"/>
        </w:rPr>
        <w:t>threats or provide assurances that we have not experienced undetected cybersecurity</w:t>
      </w:r>
      <w:r>
        <w:rPr/>
        <w:t> </w:t>
      </w:r>
      <w:r>
        <w:rPr>
          <w:rFonts w:ascii="Times New Roman" w:hAnsi="Times New Roman"/>
          <w:sz w:val="20"/>
        </w:rPr>
        <w:t>incidents.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For more information on security and cybersecurity threats we face, please see “Risk Factors.”</w:t>
      </w:r>
    </w:p>
    <w:p>
      <w:pPr>
        <w:pStyle w:val="TextBody"/>
        <w:bidi w:val="0"/>
        <w:spacing w:lineRule="atLeast" w:line="240" w:before="200" w:after="200"/>
        <w:jc w:val="both"/>
        <w:rPr/>
      </w:pPr>
      <w:bookmarkStart w:id="12" w:name="bm_2ee4aec03c4096ba"/>
      <w:bookmarkEnd w:id="12"/>
      <w:r>
        <w:rPr>
          <w:b/>
          <w:sz w:val="20"/>
        </w:rPr>
        <w:t xml:space="preserve">Item 2. </w:t>
      </w:r>
      <w:hyperlink w:anchor="TOC">
        <w:r>
          <w:rPr>
            <w:rStyle w:val="InternetLink"/>
            <w:b/>
            <w:strike w:val="false"/>
            <w:dstrike w:val="false"/>
            <w:color w:val="000000"/>
            <w:sz w:val="20"/>
            <w:u w:val="none"/>
            <w:effect w:val="none"/>
          </w:rPr>
          <w:t>Properties</w:t>
        </w:r>
      </w:hyperlink>
    </w:p>
    <w:p>
      <w:pPr>
        <w:pStyle w:val="TextBody"/>
        <w:bidi w:val="0"/>
        <w:spacing w:lineRule="atLeast" w:line="240" w:before="200" w:after="200"/>
        <w:jc w:val="both"/>
        <w:rPr/>
      </w:pPr>
      <w:r>
        <w:rPr>
          <w:sz w:val="20"/>
        </w:rPr>
        <w:t xml:space="preserve">Our executive offices are located in Leawood, Kansas. As of </w:t>
      </w:r>
      <w:r>
        <w:rPr>
          <w:rFonts w:ascii="Times New Roman" w:hAnsi="Times New Roman"/>
          <w:sz w:val="20"/>
        </w:rPr>
        <w:t>December 31, 2025</w:t>
      </w:r>
      <w:r>
        <w:rPr>
          <w:sz w:val="20"/>
        </w:rPr>
        <w:t>, we also have</w:t>
      </w:r>
      <w:r>
        <w:rPr/>
        <w:t> </w:t>
      </w:r>
      <w:r>
        <w:rPr>
          <w:rFonts w:ascii="Times New Roman" w:hAnsi="Times New Roman"/>
          <w:sz w:val="20"/>
        </w:rPr>
        <w:t>36</w:t>
      </w:r>
      <w:r>
        <w:rPr/>
        <w:t> </w:t>
      </w:r>
      <w:r>
        <w:rPr>
          <w:sz w:val="20"/>
        </w:rPr>
        <w:t>principal offices in Europe,</w:t>
      </w:r>
      <w:r>
        <w:rPr/>
        <w:t> </w:t>
      </w:r>
      <w:r>
        <w:rPr>
          <w:rFonts w:ascii="Times New Roman" w:hAnsi="Times New Roman"/>
          <w:sz w:val="20"/>
        </w:rPr>
        <w:t>15</w:t>
      </w:r>
      <w:r>
        <w:rPr/>
        <w:t> </w:t>
      </w:r>
      <w:r>
        <w:rPr>
          <w:sz w:val="20"/>
        </w:rPr>
        <w:t>in Asia Pacific,</w:t>
      </w:r>
      <w:r>
        <w:rPr/>
        <w:t> </w:t>
      </w:r>
      <w:r>
        <w:rPr>
          <w:rFonts w:ascii="Times New Roman" w:hAnsi="Times New Roman"/>
          <w:sz w:val="20"/>
        </w:rPr>
        <w:t>11</w:t>
      </w:r>
      <w:r>
        <w:rPr/>
        <w:t> </w:t>
      </w:r>
      <w:r>
        <w:rPr>
          <w:sz w:val="20"/>
        </w:rPr>
        <w:t>in North America,</w:t>
      </w:r>
      <w:r>
        <w:rPr/>
        <w:t> </w:t>
      </w:r>
      <w:r>
        <w:rPr>
          <w:rFonts w:ascii="Times New Roman" w:hAnsi="Times New Roman"/>
          <w:sz w:val="20"/>
        </w:rPr>
        <w:t>four</w:t>
      </w:r>
      <w:r>
        <w:rPr/>
        <w:t> </w:t>
      </w:r>
      <w:r>
        <w:rPr>
          <w:sz w:val="20"/>
        </w:rPr>
        <w:t>in the Middle East,</w:t>
      </w:r>
      <w:r>
        <w:rPr/>
        <w:t> </w:t>
      </w:r>
      <w:r>
        <w:rPr>
          <w:rFonts w:ascii="Times New Roman" w:hAnsi="Times New Roman"/>
          <w:sz w:val="20"/>
        </w:rPr>
        <w:t>three</w:t>
      </w:r>
      <w:r>
        <w:rPr/>
        <w:t> </w:t>
      </w:r>
      <w:r>
        <w:rPr>
          <w:sz w:val="20"/>
        </w:rPr>
        <w:t>in South America and</w:t>
      </w:r>
      <w:r>
        <w:rPr/>
        <w:t> </w:t>
      </w:r>
      <w:r>
        <w:rPr>
          <w:rFonts w:ascii="Times New Roman" w:hAnsi="Times New Roman"/>
          <w:sz w:val="20"/>
        </w:rPr>
        <w:t>three</w:t>
      </w:r>
      <w:r>
        <w:rPr/>
        <w:t> </w:t>
      </w:r>
      <w:r>
        <w:rPr>
          <w:sz w:val="20"/>
        </w:rPr>
        <w:t>in Africa. Our office leases generally provide for initial terms ranging from two to twelve years.</w:t>
      </w:r>
    </w:p>
    <w:p>
      <w:pPr>
        <w:pStyle w:val="TextBody"/>
        <w:bidi w:val="0"/>
        <w:spacing w:lineRule="atLeast" w:line="240" w:before="200" w:after="200"/>
        <w:jc w:val="both"/>
        <w:rPr/>
      </w:pPr>
      <w:r>
        <w:rPr>
          <w:sz w:val="20"/>
        </w:rPr>
        <w:t>Our processing centers for the EFT Processing Segment are located in Germany, Hungary, India, China, Indonesia, Pakistan and the U.S. Processing centers we operate for the epay Segment are located in</w:t>
      </w:r>
      <w:r>
        <w:rPr/>
        <w:t> </w:t>
      </w:r>
      <w:r>
        <w:rPr>
          <w:sz w:val="20"/>
        </w:rPr>
        <w:t>the</w:t>
      </w:r>
      <w:r>
        <w:rPr/>
        <w:t> </w:t>
      </w:r>
      <w:r>
        <w:rPr>
          <w:sz w:val="20"/>
        </w:rPr>
        <w:t>U.K., Germany, Italy, and the U.S. Our processing centers for the Money Transfer Segment are located in the U.S., the U.K., New Zealand, and Malaysia.</w:t>
      </w:r>
    </w:p>
    <w:p>
      <w:pPr>
        <w:pStyle w:val="TextBody"/>
        <w:bidi w:val="0"/>
        <w:spacing w:lineRule="atLeast" w:line="240" w:before="200" w:after="200"/>
        <w:jc w:val="both"/>
        <w:rPr>
          <w:sz w:val="20"/>
        </w:rPr>
      </w:pPr>
      <w:r>
        <w:rPr>
          <w:sz w:val="20"/>
        </w:rPr>
        <w:t>All of our processing centers are leased and have off-site real time backup processing centers that are capable of providing full or partial processing services in the event of failure of the primary processing centers.</w:t>
      </w:r>
    </w:p>
    <w:p>
      <w:pPr>
        <w:pStyle w:val="TextBody"/>
        <w:bidi w:val="0"/>
        <w:spacing w:lineRule="atLeast" w:line="240" w:before="200" w:after="200"/>
        <w:jc w:val="both"/>
        <w:rPr/>
      </w:pPr>
      <w:bookmarkStart w:id="13" w:name="bm_1bb9e04304a83898"/>
      <w:bookmarkEnd w:id="13"/>
      <w:r>
        <w:rPr>
          <w:b/>
          <w:sz w:val="20"/>
        </w:rPr>
        <w:t xml:space="preserve">Item 3. </w:t>
      </w:r>
      <w:hyperlink w:anchor="TOC">
        <w:r>
          <w:rPr>
            <w:rStyle w:val="InternetLink"/>
            <w:b/>
            <w:strike w:val="false"/>
            <w:dstrike w:val="false"/>
            <w:color w:val="000000"/>
            <w:sz w:val="20"/>
            <w:u w:val="none"/>
            <w:effect w:val="none"/>
          </w:rPr>
          <w:t>Legal Proceedings</w:t>
        </w:r>
      </w:hyperlink>
    </w:p>
    <w:p>
      <w:pPr>
        <w:pStyle w:val="TextBody"/>
        <w:bidi w:val="0"/>
        <w:spacing w:lineRule="atLeast" w:line="240" w:before="200" w:after="200"/>
        <w:jc w:val="both"/>
        <w:rPr/>
      </w:pPr>
      <w:r>
        <w:rPr>
          <w:sz w:val="20"/>
        </w:rPr>
        <w:t>The Company is, from time to time, a party to legal or regulatory proceedings arising in the ordinary course of its business.</w:t>
      </w:r>
      <w:r>
        <w:rPr/>
        <w:t> </w:t>
      </w:r>
    </w:p>
    <w:p>
      <w:pPr>
        <w:pStyle w:val="TextBody"/>
        <w:bidi w:val="0"/>
        <w:spacing w:lineRule="atLeast" w:line="240" w:before="200" w:after="200"/>
        <w:jc w:val="both"/>
        <w:rPr>
          <w:sz w:val="20"/>
        </w:rPr>
      </w:pPr>
      <w:r>
        <w:rPr>
          <w:sz w:val="20"/>
        </w:rPr>
        <w:t>The discussion regarding litigation in Part II, Item 8 - Financial Statements and Supplementary Data and Note 20, Litigation and Contingencies, to the Consolidated Financial Statements included elsewhere in this report is incorporated herein by reference.</w:t>
      </w:r>
    </w:p>
    <w:p>
      <w:pPr>
        <w:pStyle w:val="TextBody"/>
        <w:bidi w:val="0"/>
        <w:spacing w:lineRule="atLeast" w:line="240" w:before="200" w:after="200"/>
        <w:jc w:val="both"/>
        <w:rPr/>
      </w:pPr>
      <w:bookmarkStart w:id="14" w:name="bm_bb2246304e5ee0ed"/>
      <w:bookmarkEnd w:id="14"/>
      <w:r>
        <w:rPr>
          <w:sz w:val="20"/>
        </w:rPr>
        <w:t>Since July 2024, the Company has received multiple differing judicial decisions at the same tax court addressing withholding taxes on certain agency relationships within the Money Transfer Segment in Italy.</w:t>
      </w:r>
      <w:r>
        <w:rPr/>
        <w:t xml:space="preserve">  </w:t>
      </w:r>
      <w:r>
        <w:rPr>
          <w:sz w:val="20"/>
        </w:rPr>
        <w:t>The company intends to appeal or has appealed these decisions to a higher court for ultimate resolution.</w:t>
      </w:r>
      <w:r>
        <w:rPr/>
        <w:t xml:space="preserve">  </w:t>
      </w:r>
      <w:r>
        <w:rPr>
          <w:sz w:val="20"/>
        </w:rPr>
        <w:t>Based on its assessment of the available facts and circumstances, including the differing judicial outcomes and ongoing appeals, management concluded that a loss is reasonably possible, but not probable, as defined under ASC 450, and therefore no liability has been recorded as of the reporting date.</w:t>
      </w:r>
      <w:r>
        <w:rPr/>
        <w:t xml:space="preserve">  </w:t>
      </w:r>
      <w:r>
        <w:rPr>
          <w:sz w:val="20"/>
        </w:rPr>
        <w:t>The principal amount of the potential withholding tax exposure for all open periods could be approximately EUR 19.4 million, exclusive of potential interest and penalties, if any.</w:t>
      </w:r>
    </w:p>
    <w:p>
      <w:pPr>
        <w:pStyle w:val="TextBody"/>
        <w:bidi w:val="0"/>
        <w:spacing w:lineRule="atLeast" w:line="240" w:before="200" w:after="200"/>
        <w:jc w:val="both"/>
        <w:rPr/>
      </w:pPr>
      <w:r>
        <w:rPr>
          <w:sz w:val="20"/>
        </w:rPr>
        <w:t>In March 2025, the Company was notified of a fire, resulting in the loss of Malaysian Ringgit</w:t>
      </w:r>
      <w:r>
        <w:rPr/>
        <w:t> </w:t>
      </w:r>
      <w:r>
        <w:rPr>
          <w:sz w:val="20"/>
        </w:rPr>
        <w:t>notes in the custody of a third-party service provider. The third-party service provider had the risk of loss based on the terms of the contractual arrangement. The bank note balance of approximately</w:t>
      </w:r>
      <w:r>
        <w:rPr/>
        <w:t> </w:t>
      </w:r>
      <w:r>
        <w:rPr>
          <w:sz w:val="20"/>
        </w:rPr>
        <w:t>$11.0 million was moved to other receivables as of</w:t>
      </w:r>
      <w:r>
        <w:rPr/>
        <w:t> </w:t>
      </w:r>
      <w:r>
        <w:rPr>
          <w:sz w:val="20"/>
        </w:rPr>
        <w:t>March 31, 2025. At this time the Company has determined that it is probable the other receivable will be recovered.</w:t>
      </w:r>
    </w:p>
    <w:p>
      <w:pPr>
        <w:pStyle w:val="TextBody"/>
        <w:bidi w:val="0"/>
        <w:spacing w:lineRule="atLeast" w:line="240" w:before="200" w:after="200"/>
        <w:jc w:val="both"/>
        <w:rPr/>
      </w:pPr>
      <w:r>
        <w:rPr>
          <w:b/>
          <w:sz w:val="20"/>
        </w:rPr>
        <w:t xml:space="preserve">Item 4. </w:t>
      </w:r>
      <w:hyperlink w:anchor="TOC">
        <w:r>
          <w:rPr>
            <w:rStyle w:val="InternetLink"/>
            <w:b/>
            <w:strike w:val="false"/>
            <w:dstrike w:val="false"/>
            <w:color w:val="000000"/>
            <w:sz w:val="20"/>
            <w:u w:val="none"/>
            <w:effect w:val="none"/>
          </w:rPr>
          <w:t>Mine Safety Disclosures</w:t>
        </w:r>
      </w:hyperlink>
    </w:p>
    <w:p>
      <w:pPr>
        <w:pStyle w:val="TextBody"/>
        <w:bidi w:val="0"/>
        <w:spacing w:lineRule="atLeast" w:line="240" w:before="200" w:after="200"/>
        <w:jc w:val="both"/>
        <w:rPr>
          <w:sz w:val="20"/>
        </w:rPr>
      </w:pPr>
      <w:r>
        <w:rPr>
          <w:sz w:val="20"/>
        </w:rPr>
        <w:t>Not applicable.</w:t>
      </w:r>
    </w:p>
    <w:p>
      <w:pPr>
        <w:pStyle w:val="TextBody"/>
        <w:bidi w:val="0"/>
        <w:spacing w:lineRule="atLeast" w:line="240" w:before="0" w:after="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bookmarkStart w:id="15" w:name="bm_796cc489b77a6097"/>
      <w:bookmarkEnd w:id="15"/>
      <w:r>
        <w:rPr>
          <w:b/>
          <w:sz w:val="20"/>
        </w:rPr>
        <w:t>Part II</w:t>
      </w:r>
    </w:p>
    <w:p>
      <w:pPr>
        <w:pStyle w:val="TextBody"/>
        <w:bidi w:val="0"/>
        <w:spacing w:lineRule="atLeast" w:line="240" w:before="0" w:after="0"/>
        <w:jc w:val="both"/>
        <w:rPr/>
      </w:pPr>
      <w:r>
        <w:rPr/>
        <w:t> </w:t>
      </w:r>
    </w:p>
    <w:p>
      <w:pPr>
        <w:pStyle w:val="TextBody"/>
        <w:bidi w:val="0"/>
        <w:spacing w:lineRule="atLeast" w:line="240" w:before="0" w:after="0"/>
        <w:ind w:left="630" w:right="0" w:hanging="630"/>
        <w:jc w:val="both"/>
        <w:rPr>
          <w:b/>
          <w:sz w:val="20"/>
        </w:rPr>
      </w:pPr>
      <w:bookmarkStart w:id="16" w:name="bm_049abd6f6636671e"/>
      <w:bookmarkEnd w:id="16"/>
      <w:r>
        <w:rPr>
          <w:b/>
          <w:sz w:val="20"/>
        </w:rPr>
        <w:t>Item 5. Market for Registrant's Common Equity, Related Stockholder Matters and Issuer Purchases of Equity Securities</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Market Information</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Our common stock, $</w:t>
      </w:r>
      <w:r>
        <w:rPr>
          <w:rFonts w:ascii="Times New Roman" w:hAnsi="Times New Roman"/>
          <w:sz w:val="20"/>
        </w:rPr>
        <w:t>0.02</w:t>
      </w:r>
      <w:r>
        <w:rPr/>
        <w:t xml:space="preserve"> </w:t>
      </w:r>
      <w:r>
        <w:rPr>
          <w:sz w:val="20"/>
        </w:rPr>
        <w:t>par value per share, is quoted on the Nasdaq Global Select Market under the symbol EEFT.</w:t>
      </w:r>
      <w:r>
        <w:rPr/>
        <w:t>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Dividends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Since our inception, we have not paid</w:t>
      </w:r>
      <w:r>
        <w:rPr/>
        <w:t> </w:t>
      </w:r>
      <w:r>
        <w:rPr>
          <w:sz w:val="20"/>
        </w:rPr>
        <w:t>dividends</w:t>
      </w:r>
      <w:r>
        <w:rPr/>
        <w:t> </w:t>
      </w:r>
      <w:r>
        <w:rPr>
          <w:sz w:val="20"/>
        </w:rPr>
        <w:t xml:space="preserve">on our common stock. We do not intend to distribute dividends for the foreseeable future.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Holders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At </w:t>
      </w:r>
      <w:r>
        <w:rPr>
          <w:rFonts w:ascii="Times New Roman" w:hAnsi="Times New Roman"/>
          <w:sz w:val="20"/>
        </w:rPr>
        <w:t>December 31, 2025</w:t>
      </w:r>
      <w:r>
        <w:rPr>
          <w:sz w:val="20"/>
        </w:rPr>
        <w:t xml:space="preserve">, we had </w:t>
      </w:r>
      <w:r>
        <w:rPr>
          <w:rFonts w:ascii="Times New Roman" w:hAnsi="Times New Roman"/>
          <w:sz w:val="20"/>
        </w:rPr>
        <w:t>48</w:t>
      </w:r>
      <w:r>
        <w:rPr/>
        <w:t xml:space="preserve"> </w:t>
      </w:r>
      <w:r>
        <w:rPr>
          <w:sz w:val="20"/>
        </w:rPr>
        <w:t>stockholders of record of our common stock, and none of our preferred stock was outstanding. This figure does not include an estimate of the indeterminate number of beneficial holders whose shares may be held of record by brokerage firms and clearing agencies.</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Private Placements and Issuances of Equity</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During </w:t>
      </w:r>
      <w:r>
        <w:rPr>
          <w:rFonts w:ascii="Times New Roman" w:hAnsi="Times New Roman"/>
          <w:sz w:val="20"/>
        </w:rPr>
        <w:t>2025</w:t>
      </w:r>
      <w:r>
        <w:rPr>
          <w:sz w:val="20"/>
        </w:rPr>
        <w:t>, we did not issue any equity securities that were not registered under the Securities Act of 1933, which have not been previously reported in a Quarterly Report on Form 10-Q or a Current Report on Form 8-K.</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Stock Performance Graph</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2020, and that dividends received were immediately invested in additional shares. The graph plots the value of the initial $100 investment at one-year intervals for the fiscal years shown.</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6772275" cy="3514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72275" cy="3514725"/>
                    </a:xfrm>
                    <a:prstGeom prst="rect">
                      <a:avLst/>
                    </a:prstGeom>
                  </pic:spPr>
                </pic:pic>
              </a:graphicData>
            </a:graphic>
          </wp:inline>
        </w:drawing>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Equity Compensation Plan Information</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Refer to Part</w:t>
      </w:r>
      <w:r>
        <w:rPr/>
        <w:t> </w:t>
      </w:r>
      <w:r>
        <w:rPr>
          <w:sz w:val="20"/>
        </w:rPr>
        <w:t>II, Item 8,</w:t>
      </w:r>
      <w:r>
        <w:rPr/>
        <w:t> </w:t>
      </w:r>
      <w:r>
        <w:rPr>
          <w:i/>
          <w:sz w:val="20"/>
          <w:shd w:fill="FFFFFF" w:val="clear"/>
        </w:rPr>
        <w:t>Financial Statements and Supplementary Data</w:t>
      </w:r>
      <w:r>
        <w:rPr>
          <w:sz w:val="20"/>
        </w:rPr>
        <w:t>, Note 17, Stock Plans, and Part</w:t>
      </w:r>
      <w:r>
        <w:rPr/>
        <w:t> </w:t>
      </w:r>
      <w:r>
        <w:rPr>
          <w:sz w:val="20"/>
        </w:rPr>
        <w:t>III, Item 12,</w:t>
      </w:r>
      <w:r>
        <w:rPr/>
        <w:t> </w:t>
      </w:r>
      <w:r>
        <w:rPr>
          <w:i/>
          <w:sz w:val="20"/>
          <w:shd w:fill="FFFFFF" w:val="clear"/>
        </w:rPr>
        <w:t>Security Ownership of Certain Beneficial Owners and Management and Related Stockholder Matters,</w:t>
      </w:r>
      <w:r>
        <w:rPr>
          <w:shd w:fill="FFFFFF" w:val="clear"/>
        </w:rPr>
        <w:t> </w:t>
      </w:r>
      <w:r>
        <w:rPr>
          <w:sz w:val="20"/>
        </w:rPr>
        <w:t>for information related to our equity compensation plans.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b/>
          <w:sz w:val="20"/>
        </w:rPr>
        <w:t>Stock Repurchases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following table provides information with respect to shares of the Company's Common Stock that were purchased during the three months ended</w:t>
      </w:r>
      <w:r>
        <w:rPr/>
        <w:t> </w:t>
      </w:r>
      <w:r>
        <w:rPr>
          <w:rFonts w:ascii="Times New Roman" w:hAnsi="Times New Roman"/>
          <w:sz w:val="20"/>
        </w:rPr>
        <w:t>December 31, 2025</w:t>
      </w:r>
      <w:r>
        <w:rPr>
          <w:sz w:val="20"/>
        </w:rPr>
        <w:t>.</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28" w:type="dxa"/>
          <w:right w:w="0" w:type="dxa"/>
        </w:tblCellMar>
      </w:tblPr>
      <w:tblGrid>
        <w:gridCol w:w="1581"/>
        <w:gridCol w:w="60"/>
        <w:gridCol w:w="1416"/>
        <w:gridCol w:w="60"/>
        <w:gridCol w:w="125"/>
        <w:gridCol w:w="1151"/>
        <w:gridCol w:w="60"/>
        <w:gridCol w:w="2639"/>
        <w:gridCol w:w="60"/>
        <w:gridCol w:w="125"/>
        <w:gridCol w:w="2928"/>
      </w:tblGrid>
      <w:tr>
        <w:trPr/>
        <w:tc>
          <w:tcPr>
            <w:tcW w:w="1581" w:type="dxa"/>
            <w:tcBorders>
              <w:bottom w:val="single" w:sz="8" w:space="0" w:color="000000"/>
            </w:tcBorders>
            <w:vAlign w:val="center"/>
          </w:tcPr>
          <w:p>
            <w:pPr>
              <w:pStyle w:val="TableContents"/>
              <w:bidi w:val="0"/>
              <w:spacing w:lineRule="atLeast" w:line="240" w:before="0" w:after="0"/>
              <w:jc w:val="left"/>
              <w:rPr>
                <w:rFonts w:ascii="Times New Roman" w:hAnsi="Times New Roman"/>
                <w:b/>
                <w:sz w:val="16"/>
              </w:rPr>
            </w:pPr>
            <w:r>
              <w:rPr>
                <w:rFonts w:ascii="Times New Roman" w:hAnsi="Times New Roman"/>
                <w:b/>
                <w:sz w:val="16"/>
              </w:rPr>
              <w:t>Period</w:t>
            </w:r>
          </w:p>
        </w:tc>
        <w:tc>
          <w:tcPr>
            <w:tcW w:w="60" w:type="dxa"/>
            <w:tcBorders/>
            <w:tcMar>
              <w:bottom w:w="0" w:type="dxa"/>
            </w:tcMar>
            <w:vAlign w:val="center"/>
          </w:tcPr>
          <w:p>
            <w:pPr>
              <w:pStyle w:val="TableContents"/>
              <w:bidi w:val="0"/>
              <w:spacing w:lineRule="atLeast" w:line="240" w:before="0" w:after="0"/>
              <w:jc w:val="left"/>
              <w:rPr/>
            </w:pPr>
            <w:r>
              <w:rPr/>
              <w:t> </w:t>
            </w:r>
          </w:p>
        </w:tc>
        <w:tc>
          <w:tcPr>
            <w:tcW w:w="1416"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w:t>
            </w:r>
          </w:p>
        </w:tc>
        <w:tc>
          <w:tcPr>
            <w:tcW w:w="60" w:type="dxa"/>
            <w:tcBorders/>
            <w:tcMar>
              <w:bottom w:w="0" w:type="dxa"/>
            </w:tcMar>
            <w:vAlign w:val="center"/>
          </w:tcPr>
          <w:p>
            <w:pPr>
              <w:pStyle w:val="TableContents"/>
              <w:bidi w:val="0"/>
              <w:spacing w:lineRule="atLeast" w:line="240" w:before="0" w:after="0"/>
              <w:jc w:val="left"/>
              <w:rPr/>
            </w:pPr>
            <w:r>
              <w:rPr/>
              <w:t> </w:t>
            </w:r>
          </w:p>
        </w:tc>
        <w:tc>
          <w:tcPr>
            <w:tcW w:w="125" w:type="dxa"/>
            <w:tcBorders>
              <w:bottom w:val="single" w:sz="8" w:space="0" w:color="000000"/>
            </w:tcBorders>
            <w:vAlign w:val="center"/>
          </w:tcPr>
          <w:p>
            <w:pPr>
              <w:pStyle w:val="TableContents"/>
              <w:bidi w:val="0"/>
              <w:spacing w:lineRule="atLeast" w:line="240" w:before="0" w:after="0"/>
              <w:jc w:val="left"/>
              <w:rPr/>
            </w:pPr>
            <w:r>
              <w:rPr/>
              <w:t> </w:t>
            </w:r>
          </w:p>
        </w:tc>
        <w:tc>
          <w:tcPr>
            <w:tcW w:w="115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Price Paid per Share</w:t>
            </w:r>
          </w:p>
        </w:tc>
        <w:tc>
          <w:tcPr>
            <w:tcW w:w="60" w:type="dxa"/>
            <w:tcBorders/>
            <w:tcMar>
              <w:bottom w:w="0" w:type="dxa"/>
            </w:tcMar>
            <w:vAlign w:val="center"/>
          </w:tcPr>
          <w:p>
            <w:pPr>
              <w:pStyle w:val="TableContents"/>
              <w:bidi w:val="0"/>
              <w:spacing w:lineRule="atLeast" w:line="240" w:before="0" w:after="0"/>
              <w:jc w:val="left"/>
              <w:rPr/>
            </w:pPr>
            <w:r>
              <w:rPr/>
              <w:t> </w:t>
            </w:r>
          </w:p>
        </w:tc>
        <w:tc>
          <w:tcPr>
            <w:tcW w:w="263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 as Part of Publicly Announced Plans or Programs</w:t>
            </w:r>
          </w:p>
        </w:tc>
        <w:tc>
          <w:tcPr>
            <w:tcW w:w="60" w:type="dxa"/>
            <w:tcBorders/>
            <w:tcMar>
              <w:bottom w:w="0" w:type="dxa"/>
            </w:tcMar>
            <w:vAlign w:val="center"/>
          </w:tcPr>
          <w:p>
            <w:pPr>
              <w:pStyle w:val="TableContents"/>
              <w:bidi w:val="0"/>
              <w:spacing w:lineRule="atLeast" w:line="240" w:before="0" w:after="0"/>
              <w:jc w:val="left"/>
              <w:rPr/>
            </w:pPr>
            <w:r>
              <w:rPr/>
              <w:t> </w:t>
            </w:r>
          </w:p>
        </w:tc>
        <w:tc>
          <w:tcPr>
            <w:tcW w:w="125" w:type="dxa"/>
            <w:tcBorders>
              <w:bottom w:val="single" w:sz="8" w:space="0" w:color="000000"/>
            </w:tcBorders>
            <w:vAlign w:val="center"/>
          </w:tcPr>
          <w:p>
            <w:pPr>
              <w:pStyle w:val="TableContents"/>
              <w:bidi w:val="0"/>
              <w:spacing w:lineRule="atLeast" w:line="240" w:before="0" w:after="0"/>
              <w:jc w:val="left"/>
              <w:rPr/>
            </w:pPr>
            <w:r>
              <w:rPr/>
              <w:t> </w:t>
            </w:r>
          </w:p>
        </w:tc>
        <w:tc>
          <w:tcPr>
            <w:tcW w:w="2928"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 Dollar Value of Shares that May Yet Be Purchased Under the Programs (in millions) (1)</w:t>
            </w:r>
          </w:p>
        </w:tc>
      </w:tr>
      <w:tr>
        <w:trPr/>
        <w:tc>
          <w:tcPr>
            <w:tcW w:w="1581"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October 1 - October 31, 2025</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416"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55,016</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151"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75.5</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639"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55,016</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2928"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489.3</w:t>
            </w:r>
          </w:p>
        </w:tc>
      </w:tr>
      <w:tr>
        <w:trPr/>
        <w:tc>
          <w:tcPr>
            <w:tcW w:w="1581"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November 1 - November 30, 2025</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416"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1,121,446</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1151"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72.0</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2639"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1,121,446</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2928"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408.6</w:t>
            </w:r>
          </w:p>
        </w:tc>
      </w:tr>
      <w:tr>
        <w:trPr/>
        <w:tc>
          <w:tcPr>
            <w:tcW w:w="1581"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December 1 - December 31, 2025</w:t>
            </w:r>
          </w:p>
        </w:tc>
        <w:tc>
          <w:tcPr>
            <w:tcW w:w="60" w:type="dxa"/>
            <w:tcBorders>
              <w:bottom w:val="single" w:sz="6" w:space="0" w:color="000000"/>
            </w:tcBorders>
            <w:shd w:fill="CCEEFF" w:val="clear"/>
            <w:vAlign w:val="center"/>
          </w:tcPr>
          <w:p>
            <w:pPr>
              <w:pStyle w:val="TableContents"/>
              <w:bidi w:val="0"/>
              <w:spacing w:lineRule="atLeast" w:line="240" w:before="0" w:after="0"/>
              <w:jc w:val="left"/>
              <w:rPr/>
            </w:pPr>
            <w:r>
              <w:rPr/>
              <w:t> </w:t>
            </w:r>
          </w:p>
        </w:tc>
        <w:tc>
          <w:tcPr>
            <w:tcW w:w="1416" w:type="dxa"/>
            <w:tcBorders>
              <w:bottom w:val="single" w:sz="6" w:space="0" w:color="000000"/>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1,845,163</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bottom w:val="single" w:sz="6" w:space="0" w:color="000000"/>
            </w:tcBorders>
            <w:shd w:fill="CCEEFF" w:val="clear"/>
            <w:vAlign w:val="center"/>
          </w:tcPr>
          <w:p>
            <w:pPr>
              <w:pStyle w:val="TableContents"/>
              <w:bidi w:val="0"/>
              <w:spacing w:lineRule="atLeast" w:line="240" w:before="0" w:after="0"/>
              <w:jc w:val="left"/>
              <w:rPr/>
            </w:pPr>
            <w:r>
              <w:rPr/>
              <w:t> </w:t>
            </w:r>
          </w:p>
        </w:tc>
        <w:tc>
          <w:tcPr>
            <w:tcW w:w="1151" w:type="dxa"/>
            <w:tcBorders>
              <w:bottom w:val="single" w:sz="6" w:space="0" w:color="000000"/>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76.0</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639" w:type="dxa"/>
            <w:tcBorders>
              <w:bottom w:val="single" w:sz="6" w:space="0" w:color="000000"/>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1,845,163</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2928"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268.4</w:t>
            </w:r>
          </w:p>
        </w:tc>
      </w:tr>
      <w:tr>
        <w:trPr/>
        <w:tc>
          <w:tcPr>
            <w:tcW w:w="1581"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w:t>
            </w:r>
          </w:p>
        </w:tc>
        <w:tc>
          <w:tcPr>
            <w:tcW w:w="60" w:type="dxa"/>
            <w:tcBorders>
              <w:top w:val="single" w:sz="6" w:space="0" w:color="000000"/>
              <w:bottom w:val="double" w:sz="6"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1416" w:type="dxa"/>
            <w:tcBorders>
              <w:top w:val="single" w:sz="6" w:space="0" w:color="000000"/>
              <w:bottom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3,021,625</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1151" w:type="dxa"/>
            <w:tcBorders>
              <w:top w:val="single" w:sz="6" w:space="0" w:color="000000"/>
              <w:bottom w:val="double" w:sz="6"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2639" w:type="dxa"/>
            <w:tcBorders>
              <w:top w:val="single" w:sz="6" w:space="0" w:color="000000"/>
              <w:bottom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3,021,625</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2928" w:type="dxa"/>
            <w:tcBorders/>
            <w:shd w:fill="FFFFFF" w:val="clear"/>
            <w:tcMar>
              <w:bottom w:w="0" w:type="dxa"/>
            </w:tcMar>
            <w:vAlign w:val="center"/>
          </w:tcPr>
          <w:p>
            <w:pPr>
              <w:pStyle w:val="TableContents"/>
              <w:bidi w:val="0"/>
              <w:spacing w:lineRule="atLeast" w:line="240" w:before="0" w:after="0"/>
              <w:jc w:val="right"/>
              <w:rPr/>
            </w:pPr>
            <w:r>
              <w:rPr/>
              <w:t> </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sz w:val="20"/>
        </w:rPr>
        <w:t>(1)</w:t>
      </w:r>
      <w:r>
        <w:rPr/>
        <w:t> </w:t>
      </w:r>
      <w:r>
        <w:rPr>
          <w:sz w:val="20"/>
        </w:rPr>
        <w:t>On September 13, 2023, the Company initiated a repurchase program to repurchase up to $350</w:t>
      </w:r>
      <w:r>
        <w:rPr/>
        <w:t> </w:t>
      </w:r>
      <w:r>
        <w:rPr>
          <w:sz w:val="20"/>
        </w:rPr>
        <w:t>million in value, but not more than</w:t>
      </w:r>
      <w:r>
        <w:rPr/>
        <w:t> </w:t>
      </w:r>
      <w:r>
        <w:rPr>
          <w:sz w:val="20"/>
        </w:rPr>
        <w:t>7.0</w:t>
      </w:r>
      <w:r>
        <w:rPr/>
        <w:t> </w:t>
      </w:r>
      <w:r>
        <w:rPr>
          <w:sz w:val="20"/>
        </w:rPr>
        <w:t>million shares of common stock through September 13, 2025.</w:t>
      </w:r>
      <w:r>
        <w:rPr/>
        <w:t> </w:t>
      </w:r>
      <w:r>
        <w:rPr>
          <w:sz w:val="20"/>
        </w:rPr>
        <w:t xml:space="preserve">During 2025, we repurchased </w:t>
      </w:r>
      <w:r>
        <w:rPr>
          <w:rFonts w:ascii="Times New Roman" w:hAnsi="Times New Roman"/>
          <w:sz w:val="20"/>
        </w:rPr>
        <w:t>1,732,929</w:t>
      </w:r>
      <w:r>
        <w:rPr/>
        <w:t xml:space="preserve"> </w:t>
      </w:r>
      <w:r>
        <w:rPr>
          <w:sz w:val="20"/>
        </w:rPr>
        <w:t>shares under the repurchase program at a weighted average purchase price of</w:t>
      </w:r>
      <w:r>
        <w:rPr/>
        <w:t> </w:t>
      </w:r>
      <w:r>
        <w:rPr>
          <w:sz w:val="20"/>
        </w:rPr>
        <w:t>$</w:t>
      </w:r>
      <w:r>
        <w:rPr>
          <w:rFonts w:ascii="Times New Roman" w:hAnsi="Times New Roman"/>
          <w:sz w:val="20"/>
        </w:rPr>
        <w:t>104.70</w:t>
      </w:r>
      <w:r>
        <w:rPr/>
        <w:t> </w:t>
      </w:r>
      <w:r>
        <w:rPr>
          <w:sz w:val="20"/>
        </w:rPr>
        <w:t>for a total value of</w:t>
      </w:r>
      <w:r>
        <w:rPr/>
        <w:t> </w:t>
      </w:r>
      <w:r>
        <w:rPr>
          <w:sz w:val="20"/>
        </w:rPr>
        <w:t>$</w:t>
      </w:r>
      <w:r>
        <w:rPr>
          <w:rFonts w:ascii="Times New Roman" w:hAnsi="Times New Roman"/>
          <w:sz w:val="20"/>
        </w:rPr>
        <w:t>181.4</w:t>
      </w:r>
      <w:r>
        <w:rPr/>
        <w:t xml:space="preserve"> </w:t>
      </w:r>
      <w:r>
        <w:rPr>
          <w:sz w:val="20"/>
        </w:rPr>
        <w:t>million.</w:t>
      </w:r>
      <w:r>
        <w:rPr/>
        <w:t> </w:t>
      </w:r>
      <w:r>
        <w:rPr>
          <w:sz w:val="20"/>
        </w:rPr>
        <w:t>No additional shares are available for repurchase under this repurchase program.</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On September 11, 2024, the Company initiated a repurchase program to repurchase up to $350</w:t>
      </w:r>
      <w:r>
        <w:rPr/>
        <w:t> </w:t>
      </w:r>
      <w:r>
        <w:rPr>
          <w:sz w:val="20"/>
        </w:rPr>
        <w:t>million in value, but not more than</w:t>
      </w:r>
      <w:r>
        <w:rPr/>
        <w:t> </w:t>
      </w:r>
      <w:r>
        <w:rPr>
          <w:sz w:val="20"/>
        </w:rPr>
        <w:t>7.0</w:t>
      </w:r>
      <w:r>
        <w:rPr/>
        <w:t> </w:t>
      </w:r>
      <w:r>
        <w:rPr>
          <w:sz w:val="20"/>
        </w:rPr>
        <w:t>million shares of common stock through September 11, 2026.</w:t>
      </w:r>
      <w:r>
        <w:rPr/>
        <w:t> </w:t>
      </w:r>
      <w:r>
        <w:rPr>
          <w:sz w:val="20"/>
        </w:rPr>
        <w:t xml:space="preserve">During 2025, we repurchased </w:t>
      </w:r>
      <w:r>
        <w:rPr>
          <w:rFonts w:ascii="Times New Roman" w:hAnsi="Times New Roman"/>
          <w:sz w:val="20"/>
        </w:rPr>
        <w:t>3,780,154</w:t>
      </w:r>
      <w:r>
        <w:rPr/>
        <w:t> </w:t>
      </w:r>
      <w:r>
        <w:rPr>
          <w:sz w:val="20"/>
        </w:rPr>
        <w:t>shares under the repurchase program at a weighted average purchase price of</w:t>
      </w:r>
      <w:r>
        <w:rPr/>
        <w:t> </w:t>
      </w:r>
      <w:r>
        <w:rPr>
          <w:sz w:val="20"/>
        </w:rPr>
        <w:t>$</w:t>
      </w:r>
      <w:r>
        <w:rPr>
          <w:rFonts w:ascii="Times New Roman" w:hAnsi="Times New Roman"/>
          <w:sz w:val="20"/>
        </w:rPr>
        <w:t>92.59</w:t>
      </w:r>
      <w:r>
        <w:rPr/>
        <w:t> </w:t>
      </w:r>
      <w:r>
        <w:rPr>
          <w:sz w:val="20"/>
        </w:rPr>
        <w:t>for a total value of</w:t>
      </w:r>
      <w:r>
        <w:rPr/>
        <w:t> </w:t>
      </w:r>
      <w:r>
        <w:rPr>
          <w:sz w:val="20"/>
        </w:rPr>
        <w:t>$</w:t>
      </w:r>
      <w:r>
        <w:rPr>
          <w:rFonts w:ascii="Times New Roman" w:hAnsi="Times New Roman"/>
          <w:sz w:val="20"/>
        </w:rPr>
        <w:t>350.0</w:t>
      </w:r>
      <w:r>
        <w:rPr/>
        <w:t xml:space="preserve"> </w:t>
      </w:r>
      <w:r>
        <w:rPr>
          <w:sz w:val="20"/>
        </w:rPr>
        <w:t>million. No additional shares are available for repurchase under this repurchase program.</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On June 3, 2025, the Company put a repurchase program in place to repurchase up to $400</w:t>
      </w:r>
      <w:r>
        <w:rPr/>
        <w:t> </w:t>
      </w:r>
      <w:r>
        <w:rPr>
          <w:sz w:val="20"/>
        </w:rPr>
        <w:t>million in value, but not more than</w:t>
      </w:r>
      <w:r>
        <w:rPr/>
        <w:t> </w:t>
      </w:r>
      <w:r>
        <w:rPr>
          <w:sz w:val="20"/>
        </w:rPr>
        <w:t>8.0</w:t>
      </w:r>
      <w:r>
        <w:rPr/>
        <w:t> </w:t>
      </w:r>
      <w:r>
        <w:rPr>
          <w:sz w:val="20"/>
        </w:rPr>
        <w:t xml:space="preserve">million shares of common stock through June 3, 2027. During 2025, we repurchased </w:t>
      </w:r>
      <w:r>
        <w:rPr>
          <w:rFonts w:ascii="Times New Roman" w:hAnsi="Times New Roman"/>
          <w:sz w:val="20"/>
        </w:rPr>
        <w:t>1,730,566</w:t>
      </w:r>
      <w:r>
        <w:rPr/>
        <w:t xml:space="preserve"> </w:t>
      </w:r>
      <w:r>
        <w:rPr>
          <w:sz w:val="20"/>
        </w:rPr>
        <w:t>shares under the repurchase program at a weighted average purchase price of</w:t>
      </w:r>
      <w:r>
        <w:rPr/>
        <w:t> </w:t>
      </w:r>
      <w:r>
        <w:rPr>
          <w:sz w:val="20"/>
        </w:rPr>
        <w:t>$</w:t>
      </w:r>
      <w:r>
        <w:rPr>
          <w:rFonts w:ascii="Times New Roman" w:hAnsi="Times New Roman"/>
          <w:sz w:val="20"/>
        </w:rPr>
        <w:t>76.02</w:t>
      </w:r>
      <w:r>
        <w:rPr/>
        <w:t> </w:t>
      </w:r>
      <w:r>
        <w:rPr>
          <w:sz w:val="20"/>
        </w:rPr>
        <w:t>for a total value of</w:t>
      </w:r>
      <w:r>
        <w:rPr/>
        <w:t> </w:t>
      </w:r>
      <w:r>
        <w:rPr>
          <w:sz w:val="20"/>
        </w:rPr>
        <w:t>$</w:t>
      </w:r>
      <w:r>
        <w:rPr>
          <w:rFonts w:ascii="Times New Roman" w:hAnsi="Times New Roman"/>
          <w:sz w:val="20"/>
        </w:rPr>
        <w:t>131.6</w:t>
      </w:r>
      <w:r>
        <w:rPr/>
        <w:t xml:space="preserve">  </w:t>
      </w:r>
      <w:r>
        <w:rPr>
          <w:sz w:val="20"/>
        </w:rPr>
        <w:t>million.</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On February 24, 2026, the Company put a repurchase program in place to repurchase up to $425 million in value, but not more than 10 million shares of common stock. The Company has not made any repurchases under this plan.</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Repurchases under the programs may take place in the open market or in privately negotiated transactions, including derivative transactions, and may be made under a Rule 10b5-1</w:t>
      </w:r>
      <w:r>
        <w:rPr/>
        <w:t> </w:t>
      </w:r>
      <w:r>
        <w:rPr>
          <w:sz w:val="20"/>
        </w:rPr>
        <w:t>plan.</w:t>
      </w:r>
    </w:p>
    <w:p>
      <w:pPr>
        <w:pStyle w:val="TextBody"/>
        <w:bidi w:val="0"/>
        <w:spacing w:lineRule="atLeast" w:line="240" w:before="0" w:after="0"/>
        <w:jc w:val="both"/>
        <w:rPr/>
      </w:pPr>
      <w:r>
        <w:rPr/>
        <w:t> </w:t>
      </w:r>
    </w:p>
    <w:p>
      <w:pPr>
        <w:pStyle w:val="TextBody"/>
        <w:bidi w:val="0"/>
        <w:spacing w:lineRule="atLeast" w:line="240" w:before="0" w:after="0"/>
        <w:ind w:left="630" w:right="0" w:hanging="630"/>
        <w:jc w:val="both"/>
        <w:rPr/>
      </w:pPr>
      <w:bookmarkStart w:id="17" w:name="bm_216134d7ba1a33c6"/>
      <w:bookmarkEnd w:id="17"/>
      <w:r>
        <w:rPr>
          <w:b/>
          <w:sz w:val="20"/>
        </w:rPr>
        <w:t xml:space="preserve">Item 6. </w:t>
      </w:r>
      <w:bookmarkStart w:id="18" w:name="B2_D80RD49QDC00000000000000000000"/>
      <w:bookmarkEnd w:id="18"/>
      <w:r>
        <w:rPr>
          <w:b/>
          <w:sz w:val="20"/>
        </w:rPr>
        <w:t>Reserved</w:t>
      </w:r>
    </w:p>
    <w:p>
      <w:pPr>
        <w:pStyle w:val="TextBody"/>
        <w:bidi w:val="0"/>
        <w:spacing w:lineRule="atLeast" w:line="240" w:before="0" w:after="0"/>
        <w:jc w:val="both"/>
        <w:rPr/>
      </w:pPr>
      <w:r>
        <w:rPr/>
        <w:t> </w:t>
      </w:r>
    </w:p>
    <w:p>
      <w:pPr>
        <w:pStyle w:val="TextBody"/>
        <w:bidi w:val="0"/>
        <w:spacing w:lineRule="atLeast" w:line="240" w:before="0" w:after="0"/>
        <w:ind w:left="630" w:right="0" w:hanging="630"/>
        <w:jc w:val="both"/>
        <w:rPr/>
      </w:pPr>
      <w:bookmarkStart w:id="19" w:name="bm_ed2f31d64de4d72b"/>
      <w:bookmarkEnd w:id="19"/>
      <w:r>
        <w:rPr>
          <w:b/>
          <w:sz w:val="20"/>
        </w:rPr>
        <w:t xml:space="preserve">Item 7. </w:t>
      </w:r>
      <w:bookmarkStart w:id="20" w:name="B4_F2YBZTFJ3K00000000000000000000"/>
      <w:bookmarkEnd w:id="20"/>
      <w:r>
        <w:rPr>
          <w:b/>
          <w:sz w:val="20"/>
        </w:rPr>
        <w:t>Management's Discussion and Analysis of Financial Condition and Results of Operations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following discussion and analysis should be read in conjunction with the consolidated financial statements and accompanying notes included elsewhere in this Annual Report on Form 10-K. This section of the Form 10-K generally discusses </w:t>
      </w:r>
      <w:r>
        <w:rPr>
          <w:rFonts w:ascii="Times New Roman" w:hAnsi="Times New Roman"/>
          <w:sz w:val="20"/>
        </w:rPr>
        <w:t>2025</w:t>
      </w:r>
      <w:r>
        <w:rPr/>
        <w:t xml:space="preserve"> </w:t>
      </w:r>
      <w:r>
        <w:rPr>
          <w:sz w:val="20"/>
        </w:rPr>
        <w:t xml:space="preserve">items and year-to-year comparisons between </w:t>
      </w:r>
      <w:r>
        <w:rPr>
          <w:rFonts w:ascii="Times New Roman" w:hAnsi="Times New Roman"/>
          <w:sz w:val="20"/>
        </w:rPr>
        <w:t>2025</w:t>
      </w:r>
      <w:r>
        <w:rPr/>
        <w:t xml:space="preserve"> </w:t>
      </w:r>
      <w:r>
        <w:rPr>
          <w:sz w:val="20"/>
        </w:rPr>
        <w:t xml:space="preserve">and </w:t>
      </w:r>
      <w:r>
        <w:rPr>
          <w:rFonts w:ascii="Times New Roman" w:hAnsi="Times New Roman"/>
          <w:sz w:val="20"/>
        </w:rPr>
        <w:t>2024</w:t>
      </w:r>
      <w:r>
        <w:rPr>
          <w:sz w:val="20"/>
        </w:rPr>
        <w:t>.</w:t>
      </w:r>
      <w:r>
        <w:rPr/>
        <w:t xml:space="preserve">  </w:t>
      </w:r>
      <w:r>
        <w:rPr>
          <w:sz w:val="20"/>
        </w:rPr>
        <w:t xml:space="preserve">Discussions of </w:t>
      </w:r>
      <w:r>
        <w:rPr>
          <w:rFonts w:ascii="Times New Roman" w:hAnsi="Times New Roman"/>
          <w:sz w:val="20"/>
        </w:rPr>
        <w:t>2023</w:t>
      </w:r>
      <w:r>
        <w:rPr/>
        <w:t xml:space="preserve"> </w:t>
      </w:r>
      <w:r>
        <w:rPr>
          <w:sz w:val="20"/>
        </w:rPr>
        <w:t xml:space="preserve">items and year-to-year comparisons between </w:t>
      </w:r>
      <w:r>
        <w:rPr>
          <w:rFonts w:ascii="Times New Roman" w:hAnsi="Times New Roman"/>
          <w:sz w:val="20"/>
        </w:rPr>
        <w:t>2024</w:t>
      </w:r>
      <w:r>
        <w:rPr/>
        <w:t xml:space="preserve"> </w:t>
      </w:r>
      <w:r>
        <w:rPr>
          <w:sz w:val="20"/>
        </w:rPr>
        <w:t xml:space="preserve">and </w:t>
      </w:r>
      <w:r>
        <w:rPr>
          <w:rFonts w:ascii="Times New Roman" w:hAnsi="Times New Roman"/>
          <w:sz w:val="20"/>
        </w:rPr>
        <w:t>2023</w:t>
      </w:r>
      <w:r>
        <w:rPr/>
        <w:t xml:space="preserve"> </w:t>
      </w:r>
      <w:r>
        <w:rPr>
          <w:sz w:val="20"/>
        </w:rPr>
        <w:t xml:space="preserve">that are not included in this Form 10-K can be found in "Management's Discussion and Analysis of Financial Condition and Results of Operations" in Part II, Item 7 of our Annual Report on Form 10-K for the fiscal year ended </w:t>
      </w:r>
      <w:r>
        <w:rPr>
          <w:rFonts w:ascii="Times New Roman" w:hAnsi="Times New Roman"/>
          <w:sz w:val="20"/>
        </w:rPr>
        <w:t>December 31, 2024</w:t>
      </w:r>
      <w:r>
        <w:rPr>
          <w:sz w:val="20"/>
        </w:rPr>
        <w:t>.</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Company Overview, Geographic Locations and Principal Products and Services</w:t>
      </w:r>
      <w:r>
        <w:rPr/>
        <w:t>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Euronet is a leading financial technology solutions and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1)</w:t>
      </w:r>
      <w:r>
        <w:rPr/>
        <w:t> </w:t>
      </w:r>
      <w:r>
        <w:rPr>
          <w:sz w:val="20"/>
        </w:rPr>
        <w:t xml:space="preserve">Our Electronic Funds Transfer (EFT)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w:t>
      </w:r>
      <w:r>
        <w:rPr>
          <w:rFonts w:ascii="Times New Roman" w:hAnsi="Times New Roman"/>
          <w:sz w:val="20"/>
        </w:rPr>
        <w:t>56,818</w:t>
      </w:r>
      <w:r>
        <w:rPr/>
        <w:t xml:space="preserve"> </w:t>
      </w:r>
      <w:r>
        <w:rPr>
          <w:sz w:val="20"/>
        </w:rPr>
        <w:t xml:space="preserve">ATMs, as of </w:t>
      </w:r>
      <w:r>
        <w:rPr>
          <w:rFonts w:ascii="Times New Roman" w:hAnsi="Times New Roman"/>
          <w:sz w:val="20"/>
        </w:rPr>
        <w:t>December 31, 2025</w:t>
      </w:r>
      <w:r>
        <w:rPr>
          <w:sz w:val="20"/>
        </w:rPr>
        <w:t xml:space="preserve">, and approximately </w:t>
      </w:r>
      <w:r>
        <w:rPr>
          <w:rFonts w:ascii="Times New Roman" w:hAnsi="Times New Roman"/>
          <w:sz w:val="20"/>
        </w:rPr>
        <w:t>610,000</w:t>
      </w:r>
      <w:r>
        <w:rPr/>
        <w:t xml:space="preserve"> </w:t>
      </w:r>
      <w:r>
        <w:rPr>
          <w:sz w:val="20"/>
        </w:rPr>
        <w:t>POS terminals.</w:t>
      </w:r>
      <w:r>
        <w:rPr/>
        <w:t> </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sz w:val="20"/>
        </w:rPr>
        <w:t>2)</w:t>
      </w:r>
      <w:r>
        <w:rPr/>
        <w:t> </w:t>
      </w:r>
      <w:r>
        <w:rPr>
          <w:sz w:val="20"/>
        </w:rPr>
        <w:t xml:space="preserve">Our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w:t>
      </w:r>
      <w:r>
        <w:rPr>
          <w:rFonts w:ascii="Times New Roman" w:hAnsi="Times New Roman"/>
          <w:sz w:val="20"/>
        </w:rPr>
        <w:t>66</w:t>
      </w:r>
      <w:r>
        <w:rPr/>
        <w:t> </w:t>
      </w:r>
      <w:r>
        <w:rPr>
          <w:sz w:val="20"/>
        </w:rPr>
        <w:t>countries. We operate a network that includes approximately</w:t>
      </w:r>
      <w:r>
        <w:rPr/>
        <w:t> </w:t>
      </w:r>
      <w:r>
        <w:rPr>
          <w:rFonts w:ascii="Times New Roman" w:hAnsi="Times New Roman"/>
          <w:sz w:val="20"/>
        </w:rPr>
        <w:t>749,000</w:t>
      </w:r>
      <w:r>
        <w:rPr/>
        <w:t xml:space="preserve"> </w:t>
      </w:r>
      <w:r>
        <w:rPr>
          <w:sz w:val="20"/>
        </w:rPr>
        <w:t>POS terminals that enable electronic processing of prepaid mobile airtime "top-up" services and other digital media content.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3)</w:t>
      </w:r>
      <w:r>
        <w:rPr/>
        <w:t> </w:t>
      </w:r>
      <w:r>
        <w:rPr>
          <w:sz w:val="20"/>
        </w:rPr>
        <w:t>Our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207 countries and territories, enabling banks, fintechs and big tech platforms to integrate an international payments solution into their own platforms.</w:t>
      </w:r>
      <w:r>
        <w:rPr/>
        <w:t>  </w:t>
      </w:r>
      <w:r>
        <w:rPr>
          <w:sz w:val="20"/>
        </w:rPr>
        <w:t>Ria Money Transfer offers real-time international money transfers with a special focus on emerging markets. In addition, Ria offers safe and affordable money transfers through a global network of cash locations and online.</w:t>
      </w:r>
      <w:r>
        <w:rPr/>
        <w:t> </w:t>
      </w:r>
      <w:r>
        <w:rPr>
          <w:sz w:val="20"/>
        </w:rPr>
        <w:t>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We have six processing centers in Europe, five in Asia Pacific and two in North America. We have </w:t>
      </w:r>
      <w:r>
        <w:rPr>
          <w:rFonts w:ascii="Times New Roman" w:hAnsi="Times New Roman"/>
          <w:sz w:val="20"/>
        </w:rPr>
        <w:t>36</w:t>
      </w:r>
      <w:r>
        <w:rPr/>
        <w:t xml:space="preserve"> </w:t>
      </w:r>
      <w:r>
        <w:rPr>
          <w:sz w:val="20"/>
        </w:rPr>
        <w:t xml:space="preserve">principal offices in Europe, </w:t>
      </w:r>
      <w:r>
        <w:rPr>
          <w:rFonts w:ascii="Times New Roman" w:hAnsi="Times New Roman"/>
          <w:sz w:val="20"/>
        </w:rPr>
        <w:t>15</w:t>
      </w:r>
      <w:r>
        <w:rPr/>
        <w:t xml:space="preserve"> </w:t>
      </w:r>
      <w:r>
        <w:rPr>
          <w:sz w:val="20"/>
        </w:rPr>
        <w:t xml:space="preserve">in Asia Pacific, </w:t>
      </w:r>
      <w:r>
        <w:rPr>
          <w:rFonts w:ascii="Times New Roman" w:hAnsi="Times New Roman"/>
          <w:sz w:val="20"/>
        </w:rPr>
        <w:t>11</w:t>
      </w:r>
      <w:r>
        <w:rPr/>
        <w:t xml:space="preserve"> </w:t>
      </w:r>
      <w:r>
        <w:rPr>
          <w:sz w:val="20"/>
        </w:rPr>
        <w:t xml:space="preserve">in North America, </w:t>
      </w:r>
      <w:r>
        <w:rPr>
          <w:rFonts w:ascii="Times New Roman" w:hAnsi="Times New Roman"/>
          <w:sz w:val="20"/>
        </w:rPr>
        <w:t>four</w:t>
      </w:r>
      <w:r>
        <w:rPr/>
        <w:t xml:space="preserve"> </w:t>
      </w:r>
      <w:r>
        <w:rPr>
          <w:sz w:val="20"/>
        </w:rPr>
        <w:t xml:space="preserve">in the Middle East, </w:t>
      </w:r>
      <w:r>
        <w:rPr>
          <w:rFonts w:ascii="Times New Roman" w:hAnsi="Times New Roman"/>
          <w:sz w:val="20"/>
        </w:rPr>
        <w:t>three</w:t>
      </w:r>
      <w:r>
        <w:rPr/>
        <w:t xml:space="preserve"> </w:t>
      </w:r>
      <w:r>
        <w:rPr>
          <w:sz w:val="20"/>
        </w:rPr>
        <w:t xml:space="preserve">in South America and </w:t>
      </w:r>
      <w:r>
        <w:rPr>
          <w:rFonts w:ascii="Times New Roman" w:hAnsi="Times New Roman"/>
          <w:sz w:val="20"/>
        </w:rPr>
        <w:t>three</w:t>
      </w:r>
      <w:r>
        <w:rPr/>
        <w:t xml:space="preserve"> </w:t>
      </w:r>
      <w:r>
        <w:rPr>
          <w:sz w:val="20"/>
        </w:rPr>
        <w:t>in Africa. Our executive offices are located in Leawood, Kansas, USA. With approximately 76%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Sources of Revenues and Cash Flow</w:t>
      </w:r>
      <w:r>
        <w:rPr/>
        <w:t>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Euronet earns revenues and income primarily from ATM management fees, transaction fees, commissions, and foreign currency exchange margin. Each operating segment's sources of revenue are described below.</w:t>
      </w:r>
    </w:p>
    <w:p>
      <w:pPr>
        <w:pStyle w:val="TextBody"/>
        <w:bidi w:val="0"/>
        <w:spacing w:lineRule="atLeast" w:line="240" w:before="0" w:after="0"/>
        <w:jc w:val="both"/>
        <w:rPr/>
      </w:pPr>
      <w:r>
        <w:rPr/>
        <w:t> </w:t>
      </w:r>
    </w:p>
    <w:p>
      <w:pPr>
        <w:pStyle w:val="TextBody"/>
        <w:bidi w:val="0"/>
        <w:spacing w:lineRule="atLeast" w:line="240" w:before="0" w:after="0"/>
        <w:jc w:val="both"/>
        <w:rPr/>
      </w:pPr>
      <w:r>
        <w:rPr>
          <w:i/>
          <w:sz w:val="20"/>
        </w:rPr>
        <w:t>EFT Processing Segment</w:t>
      </w:r>
      <w:r>
        <w:rPr/>
        <w:t xml:space="preserve"> — </w:t>
      </w:r>
      <w:r>
        <w:rPr>
          <w:sz w:val="20"/>
        </w:rPr>
        <w:t>Revenues in the EFT Processing Segment, which represented approximately</w:t>
      </w:r>
      <w:r>
        <w:rPr/>
        <w:t> </w:t>
      </w:r>
      <w:r>
        <w:rPr>
          <w:rFonts w:ascii="Times New Roman" w:hAnsi="Times New Roman"/>
          <w:sz w:val="20"/>
        </w:rPr>
        <w:t>30</w:t>
      </w:r>
      <w:r>
        <w:rPr>
          <w:sz w:val="20"/>
        </w:rPr>
        <w:t>%</w:t>
      </w:r>
      <w:r>
        <w:rPr/>
        <w:t> </w:t>
      </w:r>
      <w:r>
        <w:rPr>
          <w:sz w:val="20"/>
        </w:rPr>
        <w:t xml:space="preserve">of total consolidated revenues for the year ended </w:t>
      </w:r>
      <w:r>
        <w:rPr>
          <w:rFonts w:ascii="Times New Roman" w:hAnsi="Times New Roman"/>
          <w:sz w:val="20"/>
        </w:rPr>
        <w:t>December 31, 2025</w:t>
      </w:r>
      <w:r>
        <w:rPr>
          <w:sz w:val="20"/>
        </w:rPr>
        <w:t>,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merchant acquiring services,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payments, banknote recycling, tax refund services, license fees, professional services and maintenance fees for proprietary application software and sales of related hardware.</w:t>
      </w:r>
    </w:p>
    <w:p>
      <w:pPr>
        <w:pStyle w:val="TextBody"/>
        <w:bidi w:val="0"/>
        <w:spacing w:lineRule="atLeast" w:line="240" w:before="0" w:after="0"/>
        <w:jc w:val="both"/>
        <w:rPr/>
      </w:pPr>
      <w:r>
        <w:rPr/>
        <w:t> </w:t>
      </w:r>
    </w:p>
    <w:p>
      <w:pPr>
        <w:pStyle w:val="TextBody"/>
        <w:bidi w:val="0"/>
        <w:spacing w:lineRule="atLeast" w:line="240" w:before="0" w:after="0"/>
        <w:jc w:val="both"/>
        <w:rPr/>
      </w:pPr>
      <w:r>
        <w:rPr>
          <w:i/>
          <w:sz w:val="20"/>
        </w:rPr>
        <w:t>epay Segment</w:t>
      </w:r>
      <w:r>
        <w:rPr/>
        <w:t xml:space="preserve"> — </w:t>
      </w:r>
      <w:r>
        <w:rPr>
          <w:sz w:val="20"/>
        </w:rPr>
        <w:t>Revenues in the epay Segment, which represented approximately</w:t>
      </w:r>
      <w:r>
        <w:rPr/>
        <w:t> </w:t>
      </w:r>
      <w:r>
        <w:rPr>
          <w:rFonts w:ascii="Times New Roman" w:hAnsi="Times New Roman"/>
          <w:sz w:val="20"/>
        </w:rPr>
        <w:t>28</w:t>
      </w:r>
      <w:r>
        <w:rPr>
          <w:sz w:val="20"/>
        </w:rPr>
        <w:t>%</w:t>
      </w:r>
      <w:r>
        <w:rPr/>
        <w:t> </w:t>
      </w:r>
      <w:r>
        <w:rPr>
          <w:sz w:val="20"/>
        </w:rPr>
        <w:t xml:space="preserve">of total consolidated revenues for the year ended </w:t>
      </w:r>
      <w:r>
        <w:rPr>
          <w:rFonts w:ascii="Times New Roman" w:hAnsi="Times New Roman"/>
          <w:sz w:val="20"/>
        </w:rPr>
        <w:t>December 31, 2025</w:t>
      </w:r>
      <w:r>
        <w:rPr>
          <w:sz w:val="20"/>
        </w:rPr>
        <w:t xml:space="preserve">,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w:t>
      </w:r>
      <w:r>
        <w:rPr>
          <w:rFonts w:ascii="Times New Roman" w:hAnsi="Times New Roman"/>
          <w:sz w:val="20"/>
        </w:rPr>
        <w:t>73</w:t>
      </w:r>
      <w:r>
        <w:rPr>
          <w:sz w:val="20"/>
        </w:rPr>
        <w:t>%</w:t>
      </w:r>
      <w:r>
        <w:rPr/>
        <w:t> </w:t>
      </w:r>
      <w:r>
        <w:rPr>
          <w:sz w:val="20"/>
        </w:rPr>
        <w:t>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i/>
          <w:sz w:val="20"/>
        </w:rPr>
        <w:t>Money Transfer Segment</w:t>
      </w:r>
      <w:r>
        <w:rPr/>
        <w:t xml:space="preserve"> — </w:t>
      </w:r>
      <w:r>
        <w:rPr>
          <w:sz w:val="20"/>
        </w:rPr>
        <w:t>Revenues in the Money Transfer Segment, which represented approximately</w:t>
      </w:r>
      <w:r>
        <w:rPr/>
        <w:t> </w:t>
      </w:r>
      <w:r>
        <w:rPr>
          <w:rFonts w:ascii="Times New Roman" w:hAnsi="Times New Roman"/>
          <w:sz w:val="20"/>
        </w:rPr>
        <w:t>42</w:t>
      </w:r>
      <w:r>
        <w:rPr>
          <w:sz w:val="20"/>
        </w:rPr>
        <w:t>%</w:t>
      </w:r>
      <w:r>
        <w:rPr/>
        <w:t> </w:t>
      </w:r>
      <w:r>
        <w:rPr>
          <w:sz w:val="20"/>
        </w:rPr>
        <w:t xml:space="preserve">of total consolidated revenues for the year ended </w:t>
      </w:r>
      <w:r>
        <w:rPr>
          <w:rFonts w:ascii="Times New Roman" w:hAnsi="Times New Roman"/>
          <w:sz w:val="20"/>
        </w:rPr>
        <w:t>December 31, 2025</w:t>
      </w:r>
      <w:r>
        <w:rPr>
          <w:sz w:val="20"/>
        </w:rPr>
        <w:t>,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w:t>
      </w:r>
      <w:r>
        <w:rPr/>
        <w:t> </w:t>
      </w:r>
      <w:r>
        <w:rPr>
          <w:sz w:val="20"/>
        </w:rPr>
        <w:t>The Dandelion cross-border payments platform provides financial institutions,</w:t>
      </w:r>
      <w:r>
        <w:rPr/>
        <w:t> </w:t>
      </w:r>
      <w:r>
        <w:rPr>
          <w:sz w:val="20"/>
        </w:rPr>
        <w:t>fintechs</w:t>
      </w:r>
      <w:r>
        <w:rPr/>
        <w:t> </w:t>
      </w:r>
      <w:r>
        <w:rPr>
          <w:sz w:val="20"/>
        </w:rPr>
        <w:t>such as digital wallets and banks, and enterprise software companies access to</w:t>
      </w:r>
      <w:r>
        <w:rPr/>
        <w:t> </w:t>
      </w:r>
      <w:r>
        <w:rPr>
          <w:sz w:val="20"/>
        </w:rPr>
        <w:t>Euronet's</w:t>
      </w:r>
      <w:r>
        <w:rPr/>
        <w:t> </w:t>
      </w:r>
      <w:r>
        <w:rPr>
          <w:sz w:val="20"/>
        </w:rPr>
        <w:t>money transfer network through an API connection. Sending and correspondent agents each earn fees for cash collection and distribution services, which are recognized as direct operating costs at the time of sale.</w:t>
      </w:r>
    </w:p>
    <w:p>
      <w:pPr>
        <w:pStyle w:val="TextBody"/>
        <w:bidi w:val="0"/>
        <w:spacing w:lineRule="atLeast" w:line="240" w:before="0" w:after="0"/>
        <w:jc w:val="both"/>
        <w:rPr/>
      </w:pPr>
      <w:r>
        <w:rPr/>
        <w:t> </w:t>
      </w:r>
    </w:p>
    <w:p>
      <w:pPr>
        <w:pStyle w:val="TextBody"/>
        <w:bidi w:val="0"/>
        <w:spacing w:lineRule="atLeast" w:line="240" w:before="0" w:after="0"/>
        <w:jc w:val="both"/>
        <w:rPr/>
      </w:pPr>
      <w:r>
        <w:rPr>
          <w:i/>
          <w:sz w:val="20"/>
        </w:rPr>
        <w:t>Corporate Services, Eliminations and Other</w:t>
      </w:r>
      <w:r>
        <w:rPr/>
        <w:t xml:space="preserve"> — </w:t>
      </w:r>
      <w:r>
        <w:rPr>
          <w:sz w:val="20"/>
        </w:rPr>
        <w:t>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expenses. These services are not directly identifiable with our reportable operating segments.</w:t>
      </w:r>
      <w:r>
        <w:rPr/>
        <w:t>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Opportunities and Challenges</w:t>
      </w:r>
    </w:p>
    <w:p>
      <w:pPr>
        <w:pStyle w:val="TextBody"/>
        <w:bidi w:val="0"/>
        <w:spacing w:lineRule="atLeast" w:line="240" w:before="0" w:after="0"/>
        <w:jc w:val="both"/>
        <w:rPr/>
      </w:pPr>
      <w:r>
        <w:rPr/>
        <w:t> </w:t>
      </w:r>
    </w:p>
    <w:p>
      <w:pPr>
        <w:pStyle w:val="TextBody"/>
        <w:shd w:fill="FFFFFF" w:val="clear"/>
        <w:bidi w:val="0"/>
        <w:spacing w:lineRule="atLeast" w:line="240" w:before="0" w:after="0"/>
        <w:jc w:val="both"/>
        <w:rPr/>
      </w:pPr>
      <w:r>
        <w:rPr>
          <w:sz w:val="20"/>
        </w:rPr>
        <w:t>The global</w:t>
      </w:r>
      <w:r>
        <w:rPr/>
        <w:t> </w:t>
      </w:r>
      <w:r>
        <w:rPr>
          <w:sz w:val="20"/>
        </w:rPr>
        <w:t>product markets</w:t>
      </w:r>
      <w:r>
        <w:rPr/>
        <w:t> </w:t>
      </w:r>
      <w:r>
        <w:rPr>
          <w:sz w:val="20"/>
        </w:rPr>
        <w:t>in which we operate are large and fragmented, which poses both opportunities and challenges for our technology to disrupt new and existing competition. As an organization, our focus is on increasing our market presence through both physical (ATMs, POS terminals,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pPr>
      <w:r>
        <w:rPr>
          <w:sz w:val="20"/>
        </w:rPr>
        <w:t>1) 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sz w:val="10"/>
        </w:rPr>
        <w:t>®</w:t>
      </w:r>
      <w:r>
        <w:rPr/>
        <w:t> </w:t>
      </w:r>
      <w:r>
        <w:rPr>
          <w:sz w:val="20"/>
        </w:rPr>
        <w:t>and Mastercard</w:t>
      </w:r>
      <w:r>
        <w:rPr>
          <w:sz w:val="10"/>
        </w:rPr>
        <w:t>®</w:t>
      </w:r>
      <w:r>
        <w:rPr>
          <w:sz w:val="20"/>
        </w:rPr>
        <w:t>, that govern ATM interchange fees, direct access fees and other restrictions. Our profitability is dependent on the laws and regulations that govern DCC transactions, specifically in the E.U., increasing expansion of prepaid forex cards,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pPr>
      <w:r>
        <w:rPr>
          <w:sz w:val="20"/>
        </w:rPr>
        <w:t>2)</w:t>
      </w:r>
      <w:r>
        <w:rPr/>
        <w:t> </w:t>
      </w:r>
      <w:r>
        <w:rPr>
          <w:sz w:val="20"/>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w:t>
      </w:r>
      <w:r>
        <w:rPr/>
        <w:t> </w:t>
      </w:r>
      <w:r>
        <w:rPr>
          <w:sz w:val="20"/>
        </w:rPr>
        <w:t>with whom we partner in countries in which we have a presence, and corresponding licensure requirements mandated upon such parties to legally operate in such countries.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3) 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w:t>
      </w:r>
      <w:r>
        <w:rPr/>
        <w:t> </w:t>
      </w:r>
      <w:r>
        <w:rPr>
          <w:sz w:val="20"/>
        </w:rPr>
        <w:t>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w:t>
      </w:r>
      <w:r>
        <w:rPr/>
        <w:t> </w:t>
      </w:r>
      <w:r>
        <w:rPr>
          <w:sz w:val="20"/>
        </w:rPr>
        <w:t>and the money transfer markets can significantly impact our ability to grow the number of transactions on our network.</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Segment Revenues and Operating Income For The Years Ended</w:t>
      </w:r>
      <w:r>
        <w:rPr/>
        <w:t> </w:t>
      </w:r>
      <w:r>
        <w:rPr>
          <w:rFonts w:ascii="Times New Roman" w:hAnsi="Times New Roman"/>
          <w:b/>
          <w:sz w:val="20"/>
        </w:rPr>
        <w:t>December 31, 2025</w:t>
      </w:r>
      <w:r>
        <w:rPr/>
        <w:t xml:space="preserve"> </w:t>
      </w:r>
      <w:r>
        <w:rPr>
          <w:b/>
          <w:sz w:val="20"/>
        </w:rPr>
        <w:t>and</w:t>
      </w:r>
      <w:r>
        <w:rPr/>
        <w:t> </w:t>
      </w:r>
      <w:r>
        <w:rPr>
          <w:rFonts w:ascii="Times New Roman" w:hAnsi="Times New Roman"/>
          <w:b/>
          <w:sz w:val="20"/>
        </w:rPr>
        <w:t>2024</w:t>
      </w:r>
    </w:p>
    <w:p>
      <w:pPr>
        <w:pStyle w:val="TextBody"/>
        <w:bidi w:val="0"/>
        <w:spacing w:lineRule="atLeast" w:line="240" w:before="0" w:after="0"/>
        <w:jc w:val="both"/>
        <w:rPr/>
      </w:pPr>
      <w:r>
        <w:rPr/>
        <w:t> </w:t>
      </w:r>
    </w:p>
    <w:tbl>
      <w:tblPr>
        <w:tblW w:w="7275" w:type="dxa"/>
        <w:jc w:val="left"/>
        <w:tblInd w:w="0" w:type="dxa"/>
        <w:tblLayout w:type="fixed"/>
        <w:tblCellMar>
          <w:top w:w="0" w:type="dxa"/>
          <w:left w:w="0" w:type="dxa"/>
          <w:bottom w:w="0" w:type="dxa"/>
          <w:right w:w="0" w:type="dxa"/>
        </w:tblCellMar>
      </w:tblPr>
      <w:tblGrid>
        <w:gridCol w:w="3455"/>
        <w:gridCol w:w="60"/>
        <w:gridCol w:w="125"/>
        <w:gridCol w:w="635"/>
        <w:gridCol w:w="60"/>
        <w:gridCol w:w="125"/>
        <w:gridCol w:w="635"/>
        <w:gridCol w:w="60"/>
        <w:gridCol w:w="200"/>
        <w:gridCol w:w="800"/>
        <w:gridCol w:w="96"/>
        <w:gridCol w:w="200"/>
        <w:gridCol w:w="824"/>
      </w:tblGrid>
      <w:tr>
        <w:trPr/>
        <w:tc>
          <w:tcPr>
            <w:tcW w:w="345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580"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Revenues</w:t>
            </w:r>
          </w:p>
        </w:tc>
        <w:tc>
          <w:tcPr>
            <w:tcW w:w="60" w:type="dxa"/>
            <w:tcBorders/>
            <w:vAlign w:val="center"/>
          </w:tcPr>
          <w:p>
            <w:pPr>
              <w:pStyle w:val="TableContents"/>
              <w:bidi w:val="0"/>
              <w:spacing w:lineRule="atLeast" w:line="240" w:before="0" w:after="0"/>
              <w:jc w:val="left"/>
              <w:rPr/>
            </w:pPr>
            <w:r>
              <w:rPr/>
              <w:t> </w:t>
            </w:r>
          </w:p>
        </w:tc>
        <w:tc>
          <w:tcPr>
            <w:tcW w:w="2120"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Operating Income(Expenses)</w:t>
            </w:r>
          </w:p>
        </w:tc>
      </w:tr>
      <w:tr>
        <w:trPr/>
        <w:tc>
          <w:tcPr>
            <w:tcW w:w="345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lineRule="atLeast" w:line="240" w:before="0" w:after="0"/>
              <w:jc w:val="left"/>
              <w:rPr/>
            </w:pPr>
            <w:r>
              <w:rPr/>
              <w:t> </w:t>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lineRule="atLeast" w:line="240" w:before="0" w:after="0"/>
              <w:jc w:val="left"/>
              <w:rPr/>
            </w:pPr>
            <w:r>
              <w:rPr/>
              <w:t> </w:t>
            </w:r>
          </w:p>
        </w:tc>
        <w:tc>
          <w:tcPr>
            <w:tcW w:w="2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8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96"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2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824"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r>
      <w:tr>
        <w:trPr/>
        <w:tc>
          <w:tcPr>
            <w:tcW w:w="345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1,283.7</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1,161.2</w:t>
            </w:r>
          </w:p>
        </w:tc>
        <w:tc>
          <w:tcPr>
            <w:tcW w:w="60" w:type="dxa"/>
            <w:tcBorders/>
            <w:shd w:fill="CCEEFF" w:val="clear"/>
            <w:vAlign w:val="center"/>
          </w:tcPr>
          <w:p>
            <w:pPr>
              <w:pStyle w:val="TableContents"/>
              <w:bidi w:val="0"/>
              <w:spacing w:lineRule="atLeast" w:line="240" w:before="0" w:after="0"/>
              <w:jc w:val="left"/>
              <w:rPr/>
            </w:pPr>
            <w:r>
              <w:rPr/>
              <w:t> </w:t>
            </w:r>
          </w:p>
        </w:tc>
        <w:tc>
          <w:tcPr>
            <w:tcW w:w="20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0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278.8</w:t>
            </w:r>
          </w:p>
        </w:tc>
        <w:tc>
          <w:tcPr>
            <w:tcW w:w="96" w:type="dxa"/>
            <w:tcBorders/>
            <w:shd w:fill="CCEEFF" w:val="clear"/>
            <w:vAlign w:val="center"/>
          </w:tcPr>
          <w:p>
            <w:pPr>
              <w:pStyle w:val="TableContents"/>
              <w:bidi w:val="0"/>
              <w:spacing w:lineRule="atLeast" w:line="240" w:before="0" w:after="0"/>
              <w:jc w:val="left"/>
              <w:rPr/>
            </w:pPr>
            <w:r>
              <w:rPr/>
              <w:t> </w:t>
            </w:r>
          </w:p>
        </w:tc>
        <w:tc>
          <w:tcPr>
            <w:tcW w:w="20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24"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256.0</w:t>
            </w:r>
          </w:p>
        </w:tc>
      </w:tr>
      <w:tr>
        <w:trPr/>
        <w:tc>
          <w:tcPr>
            <w:tcW w:w="345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1,187.6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1,150.5</w:t>
            </w:r>
          </w:p>
        </w:tc>
        <w:tc>
          <w:tcPr>
            <w:tcW w:w="60" w:type="dxa"/>
            <w:tcBorders/>
            <w:shd w:fill="FFFFFF" w:val="clear"/>
            <w:vAlign w:val="center"/>
          </w:tcPr>
          <w:p>
            <w:pPr>
              <w:pStyle w:val="TableContents"/>
              <w:bidi w:val="0"/>
              <w:spacing w:lineRule="atLeast" w:line="240" w:before="0" w:after="0"/>
              <w:jc w:val="left"/>
              <w:rPr/>
            </w:pPr>
            <w:r>
              <w:rPr/>
              <w:t> </w:t>
            </w:r>
          </w:p>
        </w:tc>
        <w:tc>
          <w:tcPr>
            <w:tcW w:w="200" w:type="dxa"/>
            <w:tcBorders/>
            <w:shd w:fill="FFFFFF" w:val="clear"/>
            <w:vAlign w:val="center"/>
          </w:tcPr>
          <w:p>
            <w:pPr>
              <w:pStyle w:val="TableContents"/>
              <w:bidi w:val="0"/>
              <w:spacing w:lineRule="atLeast" w:line="240" w:before="0" w:after="0"/>
              <w:jc w:val="left"/>
              <w:rPr/>
            </w:pPr>
            <w:r>
              <w:rPr/>
              <w:t> </w:t>
            </w:r>
          </w:p>
        </w:tc>
        <w:tc>
          <w:tcPr>
            <w:tcW w:w="80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136.2</w:t>
            </w:r>
          </w:p>
        </w:tc>
        <w:tc>
          <w:tcPr>
            <w:tcW w:w="96" w:type="dxa"/>
            <w:tcBorders/>
            <w:shd w:fill="FFFFFF" w:val="clear"/>
            <w:vAlign w:val="center"/>
          </w:tcPr>
          <w:p>
            <w:pPr>
              <w:pStyle w:val="TableContents"/>
              <w:bidi w:val="0"/>
              <w:spacing w:lineRule="atLeast" w:line="240" w:before="0" w:after="0"/>
              <w:jc w:val="left"/>
              <w:rPr/>
            </w:pPr>
            <w:r>
              <w:rPr/>
              <w:t> </w:t>
            </w:r>
          </w:p>
        </w:tc>
        <w:tc>
          <w:tcPr>
            <w:tcW w:w="200" w:type="dxa"/>
            <w:tcBorders/>
            <w:shd w:fill="FFFFFF" w:val="clear"/>
            <w:vAlign w:val="center"/>
          </w:tcPr>
          <w:p>
            <w:pPr>
              <w:pStyle w:val="TableContents"/>
              <w:bidi w:val="0"/>
              <w:spacing w:lineRule="atLeast" w:line="240" w:before="0" w:after="0"/>
              <w:jc w:val="left"/>
              <w:rPr/>
            </w:pPr>
            <w:r>
              <w:rPr/>
              <w:t> </w:t>
            </w:r>
          </w:p>
        </w:tc>
        <w:tc>
          <w:tcPr>
            <w:tcW w:w="82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129.9</w:t>
            </w:r>
          </w:p>
        </w:tc>
      </w:tr>
      <w:tr>
        <w:trPr/>
        <w:tc>
          <w:tcPr>
            <w:tcW w:w="345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1,782.4</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1,686.5</w:t>
            </w:r>
          </w:p>
        </w:tc>
        <w:tc>
          <w:tcPr>
            <w:tcW w:w="60" w:type="dxa"/>
            <w:tcBorders/>
            <w:shd w:fill="CCEEFF" w:val="clear"/>
            <w:vAlign w:val="center"/>
          </w:tcPr>
          <w:p>
            <w:pPr>
              <w:pStyle w:val="TableContents"/>
              <w:bidi w:val="0"/>
              <w:spacing w:lineRule="atLeast" w:line="240" w:before="0" w:after="0"/>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207.2</w:t>
            </w:r>
          </w:p>
        </w:tc>
        <w:tc>
          <w:tcPr>
            <w:tcW w:w="96" w:type="dxa"/>
            <w:tcBorders/>
            <w:shd w:fill="CCEEFF" w:val="clear"/>
            <w:vAlign w:val="center"/>
          </w:tcPr>
          <w:p>
            <w:pPr>
              <w:pStyle w:val="TableContents"/>
              <w:bidi w:val="0"/>
              <w:spacing w:lineRule="atLeast" w:line="240" w:before="0" w:after="0"/>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201.0</w:t>
            </w:r>
          </w:p>
        </w:tc>
      </w:tr>
      <w:tr>
        <w:trPr/>
        <w:tc>
          <w:tcPr>
            <w:tcW w:w="345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4,253.7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3,998.2</w:t>
            </w:r>
          </w:p>
        </w:tc>
        <w:tc>
          <w:tcPr>
            <w:tcW w:w="60" w:type="dxa"/>
            <w:tcBorders/>
            <w:shd w:fill="FFFFFF" w:val="clear"/>
            <w:vAlign w:val="center"/>
          </w:tcPr>
          <w:p>
            <w:pPr>
              <w:pStyle w:val="TableContents"/>
              <w:bidi w:val="0"/>
              <w:spacing w:lineRule="atLeast" w:line="240" w:before="0" w:after="0"/>
              <w:jc w:val="left"/>
              <w:rPr/>
            </w:pPr>
            <w:r>
              <w:rPr/>
              <w:t> </w:t>
            </w:r>
          </w:p>
        </w:tc>
        <w:tc>
          <w:tcPr>
            <w:tcW w:w="200"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800" w:type="dxa"/>
            <w:tcBorders>
              <w:top w:val="single" w:sz="8"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622.2</w:t>
            </w:r>
          </w:p>
        </w:tc>
        <w:tc>
          <w:tcPr>
            <w:tcW w:w="96" w:type="dxa"/>
            <w:tcBorders/>
            <w:shd w:fill="FFFFFF" w:val="clear"/>
            <w:vAlign w:val="center"/>
          </w:tcPr>
          <w:p>
            <w:pPr>
              <w:pStyle w:val="TableContents"/>
              <w:bidi w:val="0"/>
              <w:spacing w:lineRule="atLeast" w:line="240" w:before="0" w:after="0"/>
              <w:jc w:val="left"/>
              <w:rPr/>
            </w:pPr>
            <w:r>
              <w:rPr/>
              <w:t> </w:t>
            </w:r>
          </w:p>
        </w:tc>
        <w:tc>
          <w:tcPr>
            <w:tcW w:w="200"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824" w:type="dxa"/>
            <w:tcBorders>
              <w:top w:val="single" w:sz="8"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586.9</w:t>
            </w:r>
          </w:p>
        </w:tc>
      </w:tr>
      <w:tr>
        <w:trPr/>
        <w:tc>
          <w:tcPr>
            <w:tcW w:w="345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(9.5)</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(8.4)</w:t>
            </w:r>
          </w:p>
        </w:tc>
        <w:tc>
          <w:tcPr>
            <w:tcW w:w="60" w:type="dxa"/>
            <w:tcBorders/>
            <w:shd w:fill="CCEEFF" w:val="clear"/>
            <w:vAlign w:val="center"/>
          </w:tcPr>
          <w:p>
            <w:pPr>
              <w:pStyle w:val="TableContents"/>
              <w:bidi w:val="0"/>
              <w:spacing w:lineRule="atLeast" w:line="240" w:before="0" w:after="0"/>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(92.4)</w:t>
            </w:r>
          </w:p>
        </w:tc>
        <w:tc>
          <w:tcPr>
            <w:tcW w:w="96" w:type="dxa"/>
            <w:tcBorders/>
            <w:shd w:fill="CCEEFF" w:val="clear"/>
            <w:vAlign w:val="center"/>
          </w:tcPr>
          <w:p>
            <w:pPr>
              <w:pStyle w:val="TableContents"/>
              <w:bidi w:val="0"/>
              <w:spacing w:lineRule="atLeast" w:line="240" w:before="0" w:after="0"/>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(83.7)</w:t>
            </w:r>
          </w:p>
        </w:tc>
      </w:tr>
      <w:tr>
        <w:trPr/>
        <w:tc>
          <w:tcPr>
            <w:tcW w:w="3455"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4,244.2</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3,989.8</w:t>
            </w:r>
          </w:p>
        </w:tc>
        <w:tc>
          <w:tcPr>
            <w:tcW w:w="60" w:type="dxa"/>
            <w:tcBorders/>
            <w:shd w:fill="FFFFFF" w:val="clear"/>
            <w:vAlign w:val="center"/>
          </w:tcPr>
          <w:p>
            <w:pPr>
              <w:pStyle w:val="TableContents"/>
              <w:bidi w:val="0"/>
              <w:spacing w:lineRule="atLeast" w:line="240" w:before="0" w:after="0"/>
              <w:jc w:val="left"/>
              <w:rPr/>
            </w:pPr>
            <w:r>
              <w:rPr/>
              <w:t> </w:t>
            </w:r>
          </w:p>
        </w:tc>
        <w:tc>
          <w:tcPr>
            <w:tcW w:w="2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529.8</w:t>
            </w:r>
          </w:p>
        </w:tc>
        <w:tc>
          <w:tcPr>
            <w:tcW w:w="96" w:type="dxa"/>
            <w:tcBorders/>
            <w:shd w:fill="FFFFFF" w:val="clear"/>
            <w:vAlign w:val="center"/>
          </w:tcPr>
          <w:p>
            <w:pPr>
              <w:pStyle w:val="TableContents"/>
              <w:bidi w:val="0"/>
              <w:spacing w:lineRule="atLeast" w:line="240" w:before="0" w:after="0"/>
              <w:jc w:val="left"/>
              <w:rPr/>
            </w:pPr>
            <w:r>
              <w:rPr/>
              <w:t> </w:t>
            </w:r>
          </w:p>
        </w:tc>
        <w:tc>
          <w:tcPr>
            <w:tcW w:w="2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2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503.2</w:t>
            </w:r>
          </w:p>
        </w:tc>
      </w:tr>
    </w:tbl>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Summary</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Our annual consolidated revenues increased by </w:t>
      </w:r>
      <w:r>
        <w:rPr>
          <w:rFonts w:ascii="Times New Roman" w:hAnsi="Times New Roman"/>
          <w:sz w:val="20"/>
        </w:rPr>
        <w:t>6.4</w:t>
      </w:r>
      <w:r>
        <w:rPr>
          <w:sz w:val="20"/>
        </w:rPr>
        <w:t xml:space="preserve">% for </w:t>
      </w:r>
      <w:r>
        <w:rPr>
          <w:rFonts w:ascii="Times New Roman" w:hAnsi="Times New Roman"/>
          <w:sz w:val="20"/>
        </w:rPr>
        <w:t>2025</w:t>
      </w:r>
      <w:r>
        <w:rPr/>
        <w:t xml:space="preserve"> </w:t>
      </w:r>
      <w:r>
        <w:rPr>
          <w:sz w:val="20"/>
        </w:rPr>
        <w:t xml:space="preserve">compared to </w:t>
      </w:r>
      <w:r>
        <w:rPr>
          <w:rFonts w:ascii="Times New Roman" w:hAnsi="Times New Roman"/>
          <w:sz w:val="20"/>
        </w:rPr>
        <w:t>2024</w:t>
      </w:r>
      <w:r>
        <w:rPr>
          <w:sz w:val="20"/>
        </w:rPr>
        <w:t xml:space="preserve">. The increase in revenues for </w:t>
      </w:r>
      <w:r>
        <w:rPr>
          <w:rFonts w:ascii="Times New Roman" w:hAnsi="Times New Roman"/>
          <w:sz w:val="20"/>
        </w:rPr>
        <w:t>2025</w:t>
      </w:r>
      <w:r>
        <w:rPr/>
        <w:t xml:space="preserve"> </w:t>
      </w:r>
      <w:r>
        <w:rPr>
          <w:sz w:val="20"/>
        </w:rPr>
        <w:t>was primarily due to the increases in transaction volumes across all three segments.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Our annual consolidated operating income increased by </w:t>
      </w:r>
      <w:r>
        <w:rPr>
          <w:rFonts w:ascii="Times New Roman" w:hAnsi="Times New Roman"/>
          <w:sz w:val="20"/>
        </w:rPr>
        <w:t>5.3</w:t>
      </w:r>
      <w:r>
        <w:rPr>
          <w:sz w:val="20"/>
        </w:rPr>
        <w:t xml:space="preserve">% for </w:t>
      </w:r>
      <w:r>
        <w:rPr>
          <w:rFonts w:ascii="Times New Roman" w:hAnsi="Times New Roman"/>
          <w:sz w:val="20"/>
        </w:rPr>
        <w:t>2025</w:t>
      </w:r>
      <w:r>
        <w:rPr/>
        <w:t xml:space="preserve"> </w:t>
      </w:r>
      <w:r>
        <w:rPr>
          <w:sz w:val="20"/>
        </w:rPr>
        <w:t xml:space="preserve">compared to </w:t>
      </w:r>
      <w:r>
        <w:rPr>
          <w:rFonts w:ascii="Times New Roman" w:hAnsi="Times New Roman"/>
          <w:sz w:val="20"/>
        </w:rPr>
        <w:t>2024</w:t>
      </w:r>
      <w:r>
        <w:rPr>
          <w:sz w:val="20"/>
        </w:rPr>
        <w:t xml:space="preserve">. The increase in operating income for </w:t>
      </w:r>
      <w:r>
        <w:rPr>
          <w:rFonts w:ascii="Times New Roman" w:hAnsi="Times New Roman"/>
          <w:sz w:val="20"/>
        </w:rPr>
        <w:t>2025</w:t>
      </w:r>
      <w:r>
        <w:rPr/>
        <w:t xml:space="preserve"> </w:t>
      </w:r>
      <w:r>
        <w:rPr>
          <w:sz w:val="20"/>
        </w:rPr>
        <w:t>was primarily due to the increases in transaction volumes across all three segments.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Net income attributable to Euronet for </w:t>
      </w:r>
      <w:r>
        <w:rPr>
          <w:rFonts w:ascii="Times New Roman" w:hAnsi="Times New Roman"/>
          <w:sz w:val="20"/>
        </w:rPr>
        <w:t>2025</w:t>
      </w:r>
      <w:r>
        <w:rPr/>
        <w:t xml:space="preserve"> </w:t>
      </w:r>
      <w:r>
        <w:rPr>
          <w:sz w:val="20"/>
        </w:rPr>
        <w:t>was $</w:t>
      </w:r>
      <w:r>
        <w:rPr>
          <w:rFonts w:ascii="Times New Roman" w:hAnsi="Times New Roman"/>
          <w:sz w:val="20"/>
        </w:rPr>
        <w:t>309.5</w:t>
      </w:r>
      <w:r>
        <w:rPr/>
        <w:t xml:space="preserve"> </w:t>
      </w:r>
      <w:r>
        <w:rPr>
          <w:sz w:val="20"/>
        </w:rPr>
        <w:t>million, or $</w:t>
      </w:r>
      <w:r>
        <w:rPr>
          <w:rFonts w:ascii="Times New Roman" w:hAnsi="Times New Roman"/>
          <w:sz w:val="20"/>
        </w:rPr>
        <w:t>6.84</w:t>
      </w:r>
      <w:r>
        <w:rPr/>
        <w:t xml:space="preserve"> </w:t>
      </w:r>
      <w:r>
        <w:rPr>
          <w:sz w:val="20"/>
        </w:rPr>
        <w:t xml:space="preserve">per diluted share compared to a net income attributable to Euronet for </w:t>
      </w:r>
      <w:r>
        <w:rPr>
          <w:rFonts w:ascii="Times New Roman" w:hAnsi="Times New Roman"/>
          <w:sz w:val="20"/>
        </w:rPr>
        <w:t>2024</w:t>
      </w:r>
      <w:r>
        <w:rPr/>
        <w:t xml:space="preserve"> </w:t>
      </w:r>
      <w:r>
        <w:rPr>
          <w:sz w:val="20"/>
        </w:rPr>
        <w:t>of $</w:t>
      </w:r>
      <w:r>
        <w:rPr>
          <w:rFonts w:ascii="Times New Roman" w:hAnsi="Times New Roman"/>
          <w:sz w:val="20"/>
        </w:rPr>
        <w:t>306.0</w:t>
      </w:r>
      <w:r>
        <w:rPr/>
        <w:t xml:space="preserve"> </w:t>
      </w:r>
      <w:r>
        <w:rPr>
          <w:sz w:val="20"/>
        </w:rPr>
        <w:t>million, or $</w:t>
      </w:r>
      <w:r>
        <w:rPr>
          <w:rFonts w:ascii="Times New Roman" w:hAnsi="Times New Roman"/>
          <w:sz w:val="20"/>
        </w:rPr>
        <w:t>6.45</w:t>
      </w:r>
      <w:r>
        <w:rPr/>
        <w:t xml:space="preserve"> </w:t>
      </w:r>
      <w:r>
        <w:rPr>
          <w:sz w:val="20"/>
        </w:rPr>
        <w:t>per diluted share.</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Impact of changes in foreign currency exchange rates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w:t>
      </w:r>
      <w:r>
        <w:rPr>
          <w:rFonts w:ascii="Times New Roman" w:hAnsi="Times New Roman"/>
          <w:sz w:val="20"/>
        </w:rPr>
        <w:t>2025</w:t>
      </w:r>
      <w:r>
        <w:rPr/>
        <w:t xml:space="preserve"> </w:t>
      </w:r>
      <w:r>
        <w:rPr>
          <w:sz w:val="20"/>
        </w:rPr>
        <w:t xml:space="preserve">consolidated operating income was approximately </w:t>
      </w:r>
      <w:r>
        <w:rPr>
          <w:rFonts w:ascii="Times New Roman" w:hAnsi="Times New Roman"/>
          <w:sz w:val="20"/>
        </w:rPr>
        <w:t>4.1</w:t>
      </w:r>
      <w:r>
        <w:rPr>
          <w:sz w:val="20"/>
        </w:rPr>
        <w:t xml:space="preserve">% higher due to changes in foreign currency exchange rates when compared to </w:t>
      </w:r>
      <w:r>
        <w:rPr>
          <w:rFonts w:ascii="Times New Roman" w:hAnsi="Times New Roman"/>
          <w:sz w:val="20"/>
        </w:rPr>
        <w:t>2024</w:t>
      </w:r>
      <w:r>
        <w:rPr>
          <w:sz w:val="20"/>
        </w:rPr>
        <w:t>. If significant, in our discussion we will refer to the impact of fluctuations in foreign currency exchange rates in our comparison of operating segment results.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To provide further perspective on the impact of foreign currency exchange rates, the following table shows the changes in values relative to the U.S. dollar during </w:t>
      </w:r>
      <w:r>
        <w:rPr>
          <w:rFonts w:ascii="Times New Roman" w:hAnsi="Times New Roman"/>
          <w:sz w:val="20"/>
        </w:rPr>
        <w:t>2025</w:t>
      </w:r>
      <w:r>
        <w:rPr/>
        <w:t> </w:t>
      </w:r>
      <w:r>
        <w:rPr>
          <w:sz w:val="20"/>
        </w:rPr>
        <w:t xml:space="preserve">and </w:t>
      </w:r>
      <w:r>
        <w:rPr>
          <w:rFonts w:ascii="Times New Roman" w:hAnsi="Times New Roman"/>
          <w:sz w:val="20"/>
        </w:rPr>
        <w:t>2024</w:t>
      </w:r>
      <w:r>
        <w:rPr>
          <w:sz w:val="20"/>
        </w:rPr>
        <w:t>, of the currencies of the countries in which we have our most significant operations:</w:t>
      </w:r>
      <w:r>
        <w:rPr/>
        <w:t xml:space="preserve">  </w:t>
      </w:r>
    </w:p>
    <w:p>
      <w:pPr>
        <w:pStyle w:val="TextBody"/>
        <w:bidi w:val="0"/>
        <w:spacing w:lineRule="atLeast" w:line="240" w:before="0" w:after="0"/>
        <w:jc w:val="both"/>
        <w:rPr/>
      </w:pPr>
      <w:r>
        <w:rPr/>
        <w:t> </w:t>
      </w:r>
    </w:p>
    <w:tbl>
      <w:tblPr>
        <w:tblW w:w="7298" w:type="dxa"/>
        <w:jc w:val="left"/>
        <w:tblInd w:w="0" w:type="dxa"/>
        <w:tblLayout w:type="fixed"/>
        <w:tblCellMar>
          <w:top w:w="0" w:type="dxa"/>
          <w:left w:w="0" w:type="dxa"/>
          <w:bottom w:w="0" w:type="dxa"/>
          <w:right w:w="0" w:type="dxa"/>
        </w:tblCellMar>
      </w:tblPr>
      <w:tblGrid>
        <w:gridCol w:w="1625"/>
        <w:gridCol w:w="60"/>
        <w:gridCol w:w="125"/>
        <w:gridCol w:w="1661"/>
        <w:gridCol w:w="169"/>
        <w:gridCol w:w="352"/>
        <w:gridCol w:w="1661"/>
        <w:gridCol w:w="60"/>
        <w:gridCol w:w="1385"/>
        <w:gridCol w:w="200"/>
      </w:tblGrid>
      <w:tr>
        <w:trPr/>
        <w:tc>
          <w:tcPr>
            <w:tcW w:w="162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25" w:type="dxa"/>
            <w:tcBorders>
              <w:bottom w:val="single" w:sz="8" w:space="0" w:color="000000"/>
            </w:tcBorders>
            <w:tcMar>
              <w:bottom w:w="28" w:type="dxa"/>
            </w:tcMar>
            <w:vAlign w:val="center"/>
          </w:tcPr>
          <w:p>
            <w:pPr>
              <w:pStyle w:val="TableContents"/>
              <w:bidi w:val="0"/>
              <w:spacing w:lineRule="atLeast" w:line="240" w:before="0" w:after="0"/>
              <w:jc w:val="both"/>
              <w:rPr/>
            </w:pPr>
            <w:r>
              <w:rPr/>
              <w:t> </w:t>
            </w:r>
          </w:p>
        </w:tc>
        <w:tc>
          <w:tcPr>
            <w:tcW w:w="3843" w:type="dxa"/>
            <w:gridSpan w:val="4"/>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Average Translation Rate Year Ended December 31,</w:t>
            </w:r>
          </w:p>
        </w:tc>
        <w:tc>
          <w:tcPr>
            <w:tcW w:w="60" w:type="dxa"/>
            <w:tcBorders/>
            <w:vAlign w:val="center"/>
          </w:tcPr>
          <w:p>
            <w:pPr>
              <w:pStyle w:val="TableContents"/>
              <w:bidi w:val="0"/>
              <w:spacing w:lineRule="atLeast" w:line="240" w:before="0" w:after="0"/>
              <w:jc w:val="left"/>
              <w:rPr/>
            </w:pPr>
            <w:r>
              <w:rPr/>
              <w:t> </w:t>
            </w:r>
          </w:p>
        </w:tc>
        <w:tc>
          <w:tcPr>
            <w:tcW w:w="1385" w:type="dxa"/>
            <w:vMerge w:val="restart"/>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 xml:space="preserve">2025 Increase </w:t>
            </w:r>
          </w:p>
          <w:p>
            <w:pPr>
              <w:pStyle w:val="TableContents"/>
              <w:bidi w:val="0"/>
              <w:spacing w:lineRule="atLeast" w:line="240" w:before="0" w:after="0"/>
              <w:jc w:val="center"/>
              <w:rPr>
                <w:rFonts w:ascii="Times New Roman" w:hAnsi="Times New Roman"/>
                <w:b/>
                <w:sz w:val="16"/>
              </w:rPr>
            </w:pPr>
            <w:r>
              <w:rPr>
                <w:rFonts w:ascii="Times New Roman" w:hAnsi="Times New Roman"/>
                <w:b/>
                <w:sz w:val="16"/>
              </w:rPr>
              <w:t>(Decrease) Percent</w:t>
            </w:r>
          </w:p>
        </w:tc>
        <w:tc>
          <w:tcPr>
            <w:tcW w:w="200" w:type="dxa"/>
            <w:tcBorders/>
            <w:vAlign w:val="center"/>
          </w:tcPr>
          <w:p>
            <w:pPr>
              <w:pStyle w:val="TableContents"/>
              <w:bidi w:val="0"/>
              <w:spacing w:lineRule="atLeast" w:line="240" w:before="0" w:after="0"/>
              <w:jc w:val="left"/>
              <w:rPr/>
            </w:pPr>
            <w:r>
              <w:rPr/>
              <w:t> </w:t>
            </w:r>
          </w:p>
        </w:tc>
      </w:tr>
      <w:tr>
        <w:trPr/>
        <w:tc>
          <w:tcPr>
            <w:tcW w:w="162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b/>
                <w:sz w:val="16"/>
              </w:rPr>
            </w:pPr>
            <w:r>
              <w:rPr>
                <w:rFonts w:ascii="Times New Roman" w:hAnsi="Times New Roman"/>
                <w:b/>
                <w:sz w:val="16"/>
              </w:rPr>
              <w:t>Currency</w:t>
            </w:r>
          </w:p>
        </w:tc>
        <w:tc>
          <w:tcPr>
            <w:tcW w:w="60" w:type="dxa"/>
            <w:tcBorders/>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both"/>
              <w:rPr/>
            </w:pPr>
            <w:r>
              <w:rPr/>
              <w:t> </w:t>
            </w:r>
          </w:p>
        </w:tc>
        <w:tc>
          <w:tcPr>
            <w:tcW w:w="1661"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169" w:type="dxa"/>
            <w:tcBorders>
              <w:top w:val="single" w:sz="8" w:space="0" w:color="000000"/>
            </w:tcBorders>
            <w:tcMar>
              <w:top w:w="28" w:type="dxa"/>
            </w:tcMar>
            <w:vAlign w:val="center"/>
          </w:tcPr>
          <w:p>
            <w:pPr>
              <w:pStyle w:val="TableContents"/>
              <w:bidi w:val="0"/>
              <w:spacing w:lineRule="atLeast" w:line="240" w:before="0" w:after="0"/>
              <w:jc w:val="center"/>
              <w:rPr/>
            </w:pPr>
            <w:r>
              <w:rPr/>
              <w:t> </w:t>
            </w:r>
          </w:p>
        </w:tc>
        <w:tc>
          <w:tcPr>
            <w:tcW w:w="352"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pPr>
            <w:r>
              <w:rPr/>
              <w:t> </w:t>
            </w:r>
          </w:p>
        </w:tc>
        <w:tc>
          <w:tcPr>
            <w:tcW w:w="1661"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bottom w:val="single" w:sz="8" w:space="0" w:color="000000"/>
            </w:tcBorders>
            <w:tcMar>
              <w:bottom w:w="28" w:type="dxa"/>
            </w:tcMar>
            <w:vAlign w:val="center"/>
          </w:tcPr>
          <w:p>
            <w:pPr>
              <w:pStyle w:val="TableContents"/>
              <w:bidi w:val="0"/>
              <w:spacing w:lineRule="atLeast" w:line="240" w:before="0" w:after="0"/>
              <w:jc w:val="left"/>
              <w:rPr/>
            </w:pPr>
            <w:r>
              <w:rPr/>
              <w:t> </w:t>
            </w:r>
          </w:p>
        </w:tc>
        <w:tc>
          <w:tcPr>
            <w:tcW w:w="1385" w:type="dxa"/>
            <w:vMerge w:val="continue"/>
            <w:tcBorders>
              <w:bottom w:val="single" w:sz="8" w:space="0" w:color="000000"/>
            </w:tcBorders>
            <w:tcMar>
              <w:bottom w:w="28" w:type="dxa"/>
            </w:tcMar>
            <w:vAlign w:val="center"/>
          </w:tcPr>
          <w:p>
            <w:pPr>
              <w:pStyle w:val="Normal"/>
              <w:bidi w:val="0"/>
              <w:jc w:val="left"/>
              <w:rPr/>
            </w:pPr>
            <w:r>
              <w:rPr/>
            </w:r>
          </w:p>
        </w:tc>
        <w:tc>
          <w:tcPr>
            <w:tcW w:w="200" w:type="dxa"/>
            <w:tcBorders/>
            <w:vAlign w:val="center"/>
          </w:tcPr>
          <w:p>
            <w:pPr>
              <w:pStyle w:val="TableContents"/>
              <w:bidi w:val="0"/>
              <w:spacing w:lineRule="atLeast" w:line="240" w:before="0" w:after="0"/>
              <w:jc w:val="left"/>
              <w:rPr/>
            </w:pPr>
            <w:r>
              <w:rPr/>
              <w:t> </w:t>
            </w:r>
          </w:p>
        </w:tc>
      </w:tr>
      <w:tr>
        <w:trPr/>
        <w:tc>
          <w:tcPr>
            <w:tcW w:w="16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Australian dollar</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0.6443</w:t>
            </w:r>
          </w:p>
        </w:tc>
        <w:tc>
          <w:tcPr>
            <w:tcW w:w="169" w:type="dxa"/>
            <w:tcBorders/>
            <w:shd w:fill="CCEEFF" w:val="clear"/>
            <w:vAlign w:val="center"/>
          </w:tcPr>
          <w:p>
            <w:pPr>
              <w:pStyle w:val="TableContents"/>
              <w:bidi w:val="0"/>
              <w:spacing w:lineRule="atLeast" w:line="240" w:before="0" w:after="0"/>
              <w:jc w:val="left"/>
              <w:rPr/>
            </w:pPr>
            <w:r>
              <w:rPr/>
              <w:t> </w:t>
            </w:r>
          </w:p>
        </w:tc>
        <w:tc>
          <w:tcPr>
            <w:tcW w:w="352"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0.6594</w:t>
            </w:r>
          </w:p>
        </w:tc>
        <w:tc>
          <w:tcPr>
            <w:tcW w:w="6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138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w:t>
            </w:r>
          </w:p>
        </w:tc>
        <w:tc>
          <w:tcPr>
            <w:tcW w:w="200" w:type="dxa"/>
            <w:tcBorders/>
            <w:shd w:fill="CCEE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British pound</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1.3177</w:t>
            </w:r>
          </w:p>
        </w:tc>
        <w:tc>
          <w:tcPr>
            <w:tcW w:w="169" w:type="dxa"/>
            <w:tcBorders/>
            <w:shd w:fill="FFFFFF" w:val="clear"/>
            <w:vAlign w:val="center"/>
          </w:tcPr>
          <w:p>
            <w:pPr>
              <w:pStyle w:val="TableContents"/>
              <w:bidi w:val="0"/>
              <w:spacing w:lineRule="atLeast" w:line="240" w:before="0" w:after="0"/>
              <w:jc w:val="left"/>
              <w:rPr/>
            </w:pPr>
            <w:r>
              <w:rPr/>
              <w:t> </w:t>
            </w:r>
          </w:p>
        </w:tc>
        <w:tc>
          <w:tcPr>
            <w:tcW w:w="352"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1.2776</w:t>
            </w:r>
          </w:p>
        </w:tc>
        <w:tc>
          <w:tcPr>
            <w:tcW w:w="60" w:type="dxa"/>
            <w:tcBorders/>
            <w:shd w:fill="FFFFFF" w:val="clear"/>
            <w:vAlign w:val="center"/>
          </w:tcPr>
          <w:p>
            <w:pPr>
              <w:pStyle w:val="TableContents"/>
              <w:bidi w:val="0"/>
              <w:spacing w:lineRule="atLeast" w:line="240" w:before="0" w:after="0"/>
              <w:jc w:val="left"/>
              <w:rPr/>
            </w:pPr>
            <w:r>
              <w:rPr/>
              <w:t> </w:t>
            </w:r>
          </w:p>
        </w:tc>
        <w:tc>
          <w:tcPr>
            <w:tcW w:w="138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3.1</w:t>
            </w:r>
          </w:p>
        </w:tc>
        <w:tc>
          <w:tcPr>
            <w:tcW w:w="200" w:type="dxa"/>
            <w:tcBorders/>
            <w:shd w:fill="FFFF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Canadian dollar</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0.7162</w:t>
            </w:r>
          </w:p>
        </w:tc>
        <w:tc>
          <w:tcPr>
            <w:tcW w:w="169" w:type="dxa"/>
            <w:tcBorders/>
            <w:shd w:fill="CCEEFF" w:val="clear"/>
            <w:vAlign w:val="center"/>
          </w:tcPr>
          <w:p>
            <w:pPr>
              <w:pStyle w:val="TableContents"/>
              <w:bidi w:val="0"/>
              <w:spacing w:lineRule="atLeast" w:line="240" w:before="0" w:after="0"/>
              <w:jc w:val="left"/>
              <w:rPr/>
            </w:pPr>
            <w:r>
              <w:rPr/>
              <w:t> </w:t>
            </w:r>
          </w:p>
        </w:tc>
        <w:tc>
          <w:tcPr>
            <w:tcW w:w="352"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0.7303</w:t>
            </w:r>
          </w:p>
        </w:tc>
        <w:tc>
          <w:tcPr>
            <w:tcW w:w="60" w:type="dxa"/>
            <w:tcBorders/>
            <w:shd w:fill="CCEEFF" w:val="clear"/>
            <w:vAlign w:val="center"/>
          </w:tcPr>
          <w:p>
            <w:pPr>
              <w:pStyle w:val="TableContents"/>
              <w:bidi w:val="0"/>
              <w:spacing w:lineRule="atLeast" w:line="240" w:before="0" w:after="0"/>
              <w:jc w:val="left"/>
              <w:rPr/>
            </w:pPr>
            <w:r>
              <w:rPr/>
              <w:t> </w:t>
            </w:r>
          </w:p>
        </w:tc>
        <w:tc>
          <w:tcPr>
            <w:tcW w:w="138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w:t>
            </w:r>
          </w:p>
        </w:tc>
        <w:tc>
          <w:tcPr>
            <w:tcW w:w="200" w:type="dxa"/>
            <w:tcBorders/>
            <w:shd w:fill="CCEE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euro</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1.1295</w:t>
            </w:r>
          </w:p>
        </w:tc>
        <w:tc>
          <w:tcPr>
            <w:tcW w:w="169" w:type="dxa"/>
            <w:tcBorders/>
            <w:shd w:fill="FFFFFF" w:val="clear"/>
            <w:vAlign w:val="center"/>
          </w:tcPr>
          <w:p>
            <w:pPr>
              <w:pStyle w:val="TableContents"/>
              <w:bidi w:val="0"/>
              <w:spacing w:lineRule="atLeast" w:line="240" w:before="0" w:after="0"/>
              <w:jc w:val="left"/>
              <w:rPr/>
            </w:pPr>
            <w:r>
              <w:rPr/>
              <w:t> </w:t>
            </w:r>
          </w:p>
        </w:tc>
        <w:tc>
          <w:tcPr>
            <w:tcW w:w="352"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1.0816</w:t>
            </w:r>
          </w:p>
        </w:tc>
        <w:tc>
          <w:tcPr>
            <w:tcW w:w="60" w:type="dxa"/>
            <w:tcBorders/>
            <w:shd w:fill="FFFFFF" w:val="clear"/>
            <w:vAlign w:val="center"/>
          </w:tcPr>
          <w:p>
            <w:pPr>
              <w:pStyle w:val="TableContents"/>
              <w:bidi w:val="0"/>
              <w:spacing w:lineRule="atLeast" w:line="240" w:before="0" w:after="0"/>
              <w:jc w:val="left"/>
              <w:rPr/>
            </w:pPr>
            <w:r>
              <w:rPr/>
              <w:t> </w:t>
            </w:r>
          </w:p>
        </w:tc>
        <w:tc>
          <w:tcPr>
            <w:tcW w:w="138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w:t>
            </w:r>
          </w:p>
        </w:tc>
        <w:tc>
          <w:tcPr>
            <w:tcW w:w="200" w:type="dxa"/>
            <w:tcBorders/>
            <w:shd w:fill="FFFF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Hungarian forint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0.0028</w:t>
            </w:r>
          </w:p>
        </w:tc>
        <w:tc>
          <w:tcPr>
            <w:tcW w:w="169" w:type="dxa"/>
            <w:tcBorders/>
            <w:shd w:fill="CCEEFF" w:val="clear"/>
            <w:vAlign w:val="center"/>
          </w:tcPr>
          <w:p>
            <w:pPr>
              <w:pStyle w:val="TableContents"/>
              <w:bidi w:val="0"/>
              <w:spacing w:lineRule="atLeast" w:line="240" w:before="0" w:after="0"/>
              <w:jc w:val="left"/>
              <w:rPr/>
            </w:pPr>
            <w:r>
              <w:rPr/>
              <w:t> </w:t>
            </w:r>
          </w:p>
        </w:tc>
        <w:tc>
          <w:tcPr>
            <w:tcW w:w="352"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0.0027</w:t>
            </w:r>
          </w:p>
        </w:tc>
        <w:tc>
          <w:tcPr>
            <w:tcW w:w="60" w:type="dxa"/>
            <w:tcBorders/>
            <w:shd w:fill="CCEEFF" w:val="clear"/>
            <w:vAlign w:val="center"/>
          </w:tcPr>
          <w:p>
            <w:pPr>
              <w:pStyle w:val="TableContents"/>
              <w:bidi w:val="0"/>
              <w:spacing w:lineRule="atLeast" w:line="240" w:before="0" w:after="0"/>
              <w:jc w:val="left"/>
              <w:rPr/>
            </w:pPr>
            <w:r>
              <w:rPr/>
              <w:t> </w:t>
            </w:r>
          </w:p>
        </w:tc>
        <w:tc>
          <w:tcPr>
            <w:tcW w:w="138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w:t>
            </w:r>
          </w:p>
        </w:tc>
        <w:tc>
          <w:tcPr>
            <w:tcW w:w="200" w:type="dxa"/>
            <w:tcBorders/>
            <w:shd w:fill="CCEE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Indian rupee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0.0115</w:t>
            </w:r>
          </w:p>
        </w:tc>
        <w:tc>
          <w:tcPr>
            <w:tcW w:w="169" w:type="dxa"/>
            <w:tcBorders/>
            <w:shd w:fill="FFFFFF" w:val="clear"/>
            <w:vAlign w:val="center"/>
          </w:tcPr>
          <w:p>
            <w:pPr>
              <w:pStyle w:val="TableContents"/>
              <w:bidi w:val="0"/>
              <w:spacing w:lineRule="atLeast" w:line="240" w:before="0" w:after="0"/>
              <w:jc w:val="left"/>
              <w:rPr/>
            </w:pPr>
            <w:r>
              <w:rPr/>
              <w:t> </w:t>
            </w:r>
          </w:p>
        </w:tc>
        <w:tc>
          <w:tcPr>
            <w:tcW w:w="352"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0.0120</w:t>
            </w:r>
          </w:p>
        </w:tc>
        <w:tc>
          <w:tcPr>
            <w:tcW w:w="60" w:type="dxa"/>
            <w:tcBorders/>
            <w:shd w:fill="FFFFFF" w:val="clear"/>
            <w:vAlign w:val="center"/>
          </w:tcPr>
          <w:p>
            <w:pPr>
              <w:pStyle w:val="TableContents"/>
              <w:bidi w:val="0"/>
              <w:spacing w:lineRule="atLeast" w:line="240" w:before="0" w:after="0"/>
              <w:jc w:val="left"/>
              <w:rPr/>
            </w:pPr>
            <w:r>
              <w:rPr/>
              <w:t> </w:t>
            </w:r>
          </w:p>
        </w:tc>
        <w:tc>
          <w:tcPr>
            <w:tcW w:w="138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(4.2)</w:t>
            </w:r>
          </w:p>
        </w:tc>
        <w:tc>
          <w:tcPr>
            <w:tcW w:w="200" w:type="dxa"/>
            <w:tcBorders/>
            <w:shd w:fill="FFFF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Malaysian ringgit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0.2338</w:t>
            </w:r>
          </w:p>
        </w:tc>
        <w:tc>
          <w:tcPr>
            <w:tcW w:w="169" w:type="dxa"/>
            <w:tcBorders/>
            <w:shd w:fill="CCEEFF" w:val="clear"/>
            <w:vAlign w:val="center"/>
          </w:tcPr>
          <w:p>
            <w:pPr>
              <w:pStyle w:val="TableContents"/>
              <w:bidi w:val="0"/>
              <w:spacing w:lineRule="atLeast" w:line="240" w:before="0" w:after="0"/>
              <w:jc w:val="left"/>
              <w:rPr/>
            </w:pPr>
            <w:r>
              <w:rPr/>
              <w:t> </w:t>
            </w:r>
          </w:p>
        </w:tc>
        <w:tc>
          <w:tcPr>
            <w:tcW w:w="352"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0.2190</w:t>
            </w:r>
          </w:p>
        </w:tc>
        <w:tc>
          <w:tcPr>
            <w:tcW w:w="60" w:type="dxa"/>
            <w:tcBorders/>
            <w:shd w:fill="CCEEFF" w:val="clear"/>
            <w:vAlign w:val="center"/>
          </w:tcPr>
          <w:p>
            <w:pPr>
              <w:pStyle w:val="TableContents"/>
              <w:bidi w:val="0"/>
              <w:spacing w:lineRule="atLeast" w:line="240" w:before="0" w:after="0"/>
              <w:jc w:val="left"/>
              <w:rPr/>
            </w:pPr>
            <w:r>
              <w:rPr/>
              <w:t> </w:t>
            </w:r>
          </w:p>
        </w:tc>
        <w:tc>
          <w:tcPr>
            <w:tcW w:w="138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6.8</w:t>
            </w:r>
          </w:p>
        </w:tc>
        <w:tc>
          <w:tcPr>
            <w:tcW w:w="200" w:type="dxa"/>
            <w:tcBorders/>
            <w:shd w:fill="CCEE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New Zealand dollar</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0.5813</w:t>
            </w:r>
          </w:p>
        </w:tc>
        <w:tc>
          <w:tcPr>
            <w:tcW w:w="169" w:type="dxa"/>
            <w:tcBorders/>
            <w:shd w:fill="FFFFFF" w:val="clear"/>
            <w:vAlign w:val="center"/>
          </w:tcPr>
          <w:p>
            <w:pPr>
              <w:pStyle w:val="TableContents"/>
              <w:bidi w:val="0"/>
              <w:spacing w:lineRule="atLeast" w:line="240" w:before="0" w:after="0"/>
              <w:jc w:val="left"/>
              <w:rPr/>
            </w:pPr>
            <w:r>
              <w:rPr/>
              <w:t> </w:t>
            </w:r>
          </w:p>
        </w:tc>
        <w:tc>
          <w:tcPr>
            <w:tcW w:w="352"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0.6047</w:t>
            </w:r>
          </w:p>
        </w:tc>
        <w:tc>
          <w:tcPr>
            <w:tcW w:w="60" w:type="dxa"/>
            <w:tcBorders/>
            <w:shd w:fill="FFFFFF" w:val="clear"/>
            <w:vAlign w:val="center"/>
          </w:tcPr>
          <w:p>
            <w:pPr>
              <w:pStyle w:val="TableContents"/>
              <w:bidi w:val="0"/>
              <w:spacing w:lineRule="atLeast" w:line="240" w:before="0" w:after="0"/>
              <w:jc w:val="left"/>
              <w:rPr/>
            </w:pPr>
            <w:r>
              <w:rPr/>
              <w:t> </w:t>
            </w:r>
          </w:p>
        </w:tc>
        <w:tc>
          <w:tcPr>
            <w:tcW w:w="138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(3.9)</w:t>
            </w:r>
          </w:p>
        </w:tc>
        <w:tc>
          <w:tcPr>
            <w:tcW w:w="200" w:type="dxa"/>
            <w:tcBorders/>
            <w:shd w:fill="FFFF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r>
        <w:trPr/>
        <w:tc>
          <w:tcPr>
            <w:tcW w:w="162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Polish zloty</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both"/>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0.2669</w:t>
            </w:r>
          </w:p>
        </w:tc>
        <w:tc>
          <w:tcPr>
            <w:tcW w:w="169" w:type="dxa"/>
            <w:tcBorders/>
            <w:shd w:fill="CCEEFF" w:val="clear"/>
            <w:vAlign w:val="center"/>
          </w:tcPr>
          <w:p>
            <w:pPr>
              <w:pStyle w:val="TableContents"/>
              <w:bidi w:val="0"/>
              <w:spacing w:lineRule="atLeast" w:line="240" w:before="0" w:after="0"/>
              <w:jc w:val="left"/>
              <w:rPr/>
            </w:pPr>
            <w:r>
              <w:rPr/>
              <w:t> </w:t>
            </w:r>
          </w:p>
        </w:tc>
        <w:tc>
          <w:tcPr>
            <w:tcW w:w="352"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61"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0.2516</w:t>
            </w:r>
          </w:p>
        </w:tc>
        <w:tc>
          <w:tcPr>
            <w:tcW w:w="60" w:type="dxa"/>
            <w:tcBorders/>
            <w:shd w:fill="CCEEFF" w:val="clear"/>
            <w:vAlign w:val="center"/>
          </w:tcPr>
          <w:p>
            <w:pPr>
              <w:pStyle w:val="TableContents"/>
              <w:bidi w:val="0"/>
              <w:spacing w:lineRule="atLeast" w:line="240" w:before="0" w:after="0"/>
              <w:jc w:val="left"/>
              <w:rPr/>
            </w:pPr>
            <w:r>
              <w:rPr/>
              <w:t> </w:t>
            </w:r>
          </w:p>
        </w:tc>
        <w:tc>
          <w:tcPr>
            <w:tcW w:w="138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6.1</w:t>
            </w:r>
          </w:p>
        </w:tc>
        <w:tc>
          <w:tcPr>
            <w:tcW w:w="200" w:type="dxa"/>
            <w:tcBorders/>
            <w:shd w:fill="CCEEFF" w:val="clear"/>
            <w:vAlign w:val="center"/>
          </w:tcPr>
          <w:p>
            <w:pPr>
              <w:pStyle w:val="TableContents"/>
              <w:bidi w:val="0"/>
              <w:spacing w:lineRule="atLeast" w:line="240" w:before="0" w:after="0"/>
              <w:jc w:val="center"/>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b/>
          <w:sz w:val="20"/>
        </w:rPr>
        <w:t>Comparison of Operating Results For The Years Ended</w:t>
      </w:r>
      <w:r>
        <w:rPr/>
        <w:t> </w:t>
      </w:r>
      <w:r>
        <w:rPr>
          <w:rFonts w:ascii="Times New Roman" w:hAnsi="Times New Roman"/>
          <w:b/>
          <w:sz w:val="20"/>
        </w:rPr>
        <w:t>December 31, 2025</w:t>
      </w:r>
      <w:r>
        <w:rPr/>
        <w:t xml:space="preserve"> </w:t>
      </w:r>
      <w:r>
        <w:rPr>
          <w:b/>
          <w:sz w:val="20"/>
        </w:rPr>
        <w:t xml:space="preserve">and </w:t>
      </w:r>
      <w:r>
        <w:rPr>
          <w:rFonts w:ascii="Times New Roman" w:hAnsi="Times New Roman"/>
          <w:b/>
          <w:sz w:val="20"/>
        </w:rPr>
        <w:t>2024</w:t>
      </w:r>
      <w:r>
        <w:rPr/>
        <w:t> </w:t>
      </w:r>
      <w:r>
        <w:rPr>
          <w:b/>
          <w:sz w:val="20"/>
        </w:rPr>
        <w:t>- By Operating Segment</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EFT Processing Segment</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following table summarizes the results of operations for our EFT Processing Segment for the years ended</w:t>
      </w:r>
      <w:r>
        <w:rPr/>
        <w:t>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w:t>
      </w:r>
    </w:p>
    <w:p>
      <w:pPr>
        <w:pStyle w:val="TextBody"/>
        <w:bidi w:val="0"/>
        <w:spacing w:lineRule="atLeast" w:line="240" w:before="0" w:after="0"/>
        <w:jc w:val="both"/>
        <w:rPr/>
      </w:pPr>
      <w:r>
        <w:rPr/>
        <w:t> </w:t>
      </w:r>
    </w:p>
    <w:tbl>
      <w:tblPr>
        <w:tblW w:w="7460" w:type="dxa"/>
        <w:jc w:val="left"/>
        <w:tblInd w:w="0" w:type="dxa"/>
        <w:tblLayout w:type="fixed"/>
        <w:tblCellMar>
          <w:top w:w="0" w:type="dxa"/>
          <w:left w:w="0" w:type="dxa"/>
          <w:bottom w:w="0" w:type="dxa"/>
          <w:right w:w="0" w:type="dxa"/>
        </w:tblCellMar>
      </w:tblPr>
      <w:tblGrid>
        <w:gridCol w:w="2870"/>
        <w:gridCol w:w="60"/>
        <w:gridCol w:w="151"/>
        <w:gridCol w:w="767"/>
        <w:gridCol w:w="72"/>
        <w:gridCol w:w="151"/>
        <w:gridCol w:w="767"/>
        <w:gridCol w:w="60"/>
        <w:gridCol w:w="205"/>
        <w:gridCol w:w="1044"/>
        <w:gridCol w:w="79"/>
        <w:gridCol w:w="809"/>
        <w:gridCol w:w="425"/>
      </w:tblGrid>
      <w:tr>
        <w:trPr/>
        <w:tc>
          <w:tcPr>
            <w:tcW w:w="287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08"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60" w:type="dxa"/>
            <w:tcBorders/>
            <w:vAlign w:val="center"/>
          </w:tcPr>
          <w:p>
            <w:pPr>
              <w:pStyle w:val="TableContents"/>
              <w:bidi w:val="0"/>
              <w:spacing w:lineRule="atLeast" w:line="240" w:before="0" w:after="0"/>
              <w:jc w:val="left"/>
              <w:rPr/>
            </w:pPr>
            <w:r>
              <w:rPr/>
              <w:t> </w:t>
            </w:r>
          </w:p>
        </w:tc>
        <w:tc>
          <w:tcPr>
            <w:tcW w:w="2562"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-over-Year Change</w:t>
            </w:r>
          </w:p>
        </w:tc>
      </w:tr>
      <w:tr>
        <w:trPr/>
        <w:tc>
          <w:tcPr>
            <w:tcW w:w="287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91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72"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91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lineRule="atLeast" w:line="240" w:before="0" w:after="0"/>
              <w:jc w:val="left"/>
              <w:rPr/>
            </w:pPr>
            <w:r>
              <w:rPr/>
              <w:t> </w:t>
            </w:r>
          </w:p>
        </w:tc>
        <w:tc>
          <w:tcPr>
            <w:tcW w:w="124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Amount</w:t>
            </w:r>
          </w:p>
        </w:tc>
        <w:tc>
          <w:tcPr>
            <w:tcW w:w="79"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23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Percent</w:t>
            </w:r>
          </w:p>
        </w:tc>
      </w:tr>
      <w:tr>
        <w:trPr/>
        <w:tc>
          <w:tcPr>
            <w:tcW w:w="287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1,283.7</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1,161.2</w:t>
            </w:r>
          </w:p>
        </w:tc>
        <w:tc>
          <w:tcPr>
            <w:tcW w:w="60" w:type="dxa"/>
            <w:tcBorders/>
            <w:shd w:fill="CCEEFF" w:val="clear"/>
            <w:vAlign w:val="center"/>
          </w:tcPr>
          <w:p>
            <w:pPr>
              <w:pStyle w:val="TableContents"/>
              <w:bidi w:val="0"/>
              <w:spacing w:lineRule="atLeast" w:line="240" w:before="0" w:after="0"/>
              <w:jc w:val="left"/>
              <w:rPr/>
            </w:pPr>
            <w:r>
              <w:rPr/>
              <w:t> </w:t>
            </w:r>
          </w:p>
        </w:tc>
        <w:tc>
          <w:tcPr>
            <w:tcW w:w="20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0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122.5</w:t>
            </w:r>
          </w:p>
        </w:tc>
        <w:tc>
          <w:tcPr>
            <w:tcW w:w="79"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80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10.5</w:t>
            </w:r>
          </w:p>
        </w:tc>
        <w:tc>
          <w:tcPr>
            <w:tcW w:w="4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767"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767"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0" w:type="dxa"/>
            <w:tcBorders/>
            <w:shd w:fill="FFFFFF" w:val="clear"/>
            <w:vAlign w:val="center"/>
          </w:tcPr>
          <w:p>
            <w:pPr>
              <w:pStyle w:val="TableContents"/>
              <w:bidi w:val="0"/>
              <w:spacing w:lineRule="atLeast" w:line="240" w:before="0" w:after="0"/>
              <w:jc w:val="left"/>
              <w:rPr/>
            </w:pPr>
            <w:r>
              <w:rPr/>
              <w:t> </w:t>
            </w:r>
          </w:p>
        </w:tc>
        <w:tc>
          <w:tcPr>
            <w:tcW w:w="20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1044"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79" w:type="dxa"/>
            <w:tcBorders/>
            <w:shd w:fill="FFFFFF" w:val="clear"/>
            <w:vAlign w:val="center"/>
          </w:tcPr>
          <w:p>
            <w:pPr>
              <w:pStyle w:val="TableContents"/>
              <w:bidi w:val="0"/>
              <w:spacing w:lineRule="atLeast" w:line="240" w:before="0" w:after="0"/>
              <w:jc w:val="left"/>
              <w:rPr/>
            </w:pPr>
            <w:r>
              <w:rPr/>
              <w:t> </w:t>
            </w:r>
          </w:p>
        </w:tc>
        <w:tc>
          <w:tcPr>
            <w:tcW w:w="809" w:type="dxa"/>
            <w:tcBorders/>
            <w:shd w:fill="FFFFFF" w:val="clear"/>
            <w:vAlign w:val="center"/>
          </w:tcPr>
          <w:p>
            <w:pPr>
              <w:pStyle w:val="TableContents"/>
              <w:bidi w:val="0"/>
              <w:spacing w:lineRule="atLeast" w:line="240" w:before="0" w:after="0"/>
              <w:jc w:val="right"/>
              <w:rPr/>
            </w:pPr>
            <w:r>
              <w:rPr/>
              <w:t> </w:t>
            </w:r>
          </w:p>
        </w:tc>
        <w:tc>
          <w:tcPr>
            <w:tcW w:w="425" w:type="dxa"/>
            <w:tcBorders/>
            <w:shd w:fill="FFFFFF" w:val="clear"/>
            <w:vAlign w:val="center"/>
          </w:tcPr>
          <w:p>
            <w:pPr>
              <w:pStyle w:val="TableContents"/>
              <w:bidi w:val="0"/>
              <w:spacing w:lineRule="atLeast" w:line="240" w:before="0" w:after="0"/>
              <w:jc w:val="left"/>
              <w:rPr/>
            </w:pPr>
            <w:r>
              <w:rPr/>
              <w:t> </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673.4</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605.4</w:t>
            </w:r>
          </w:p>
        </w:tc>
        <w:tc>
          <w:tcPr>
            <w:tcW w:w="60" w:type="dxa"/>
            <w:tcBorders/>
            <w:shd w:fill="CCEEFF" w:val="clear"/>
            <w:vAlign w:val="center"/>
          </w:tcPr>
          <w:p>
            <w:pPr>
              <w:pStyle w:val="TableContents"/>
              <w:bidi w:val="0"/>
              <w:spacing w:lineRule="atLeast" w:line="240" w:before="0" w:after="0"/>
              <w:jc w:val="left"/>
              <w:rPr/>
            </w:pPr>
            <w:r>
              <w:rPr/>
              <w:t> </w:t>
            </w:r>
          </w:p>
        </w:tc>
        <w:tc>
          <w:tcPr>
            <w:tcW w:w="205" w:type="dxa"/>
            <w:tcBorders/>
            <w:shd w:fill="CCEEFF" w:val="clear"/>
            <w:vAlign w:val="center"/>
          </w:tcPr>
          <w:p>
            <w:pPr>
              <w:pStyle w:val="TableContents"/>
              <w:bidi w:val="0"/>
              <w:spacing w:lineRule="atLeast" w:line="240" w:before="0" w:after="0"/>
              <w:jc w:val="left"/>
              <w:rPr/>
            </w:pPr>
            <w:r>
              <w:rPr/>
              <w:t> </w:t>
            </w:r>
          </w:p>
        </w:tc>
        <w:tc>
          <w:tcPr>
            <w:tcW w:w="1044"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68.0</w:t>
            </w:r>
          </w:p>
        </w:tc>
        <w:tc>
          <w:tcPr>
            <w:tcW w:w="79"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11.2</w:t>
            </w:r>
          </w:p>
        </w:tc>
        <w:tc>
          <w:tcPr>
            <w:tcW w:w="425"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Contract asset impairment</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pPr>
            <w:r>
              <w:rPr/>
              <w:t>—</w:t>
            </w:r>
          </w:p>
        </w:tc>
        <w:tc>
          <w:tcPr>
            <w:tcW w:w="60" w:type="dxa"/>
            <w:tcBorders/>
            <w:shd w:fill="FFFFFF" w:val="clear"/>
            <w:vAlign w:val="center"/>
          </w:tcPr>
          <w:p>
            <w:pPr>
              <w:pStyle w:val="TableContents"/>
              <w:bidi w:val="0"/>
              <w:spacing w:lineRule="atLeast" w:line="240" w:before="0" w:after="0"/>
              <w:jc w:val="left"/>
              <w:rPr/>
            </w:pPr>
            <w:r>
              <w:rPr/>
              <w:t> </w:t>
            </w:r>
          </w:p>
        </w:tc>
        <w:tc>
          <w:tcPr>
            <w:tcW w:w="205" w:type="dxa"/>
            <w:tcBorders/>
            <w:shd w:fill="FFFFFF" w:val="clear"/>
            <w:vAlign w:val="center"/>
          </w:tcPr>
          <w:p>
            <w:pPr>
              <w:pStyle w:val="TableContents"/>
              <w:bidi w:val="0"/>
              <w:spacing w:lineRule="atLeast" w:line="240" w:before="0" w:after="0"/>
              <w:jc w:val="left"/>
              <w:rPr/>
            </w:pPr>
            <w:r>
              <w:rPr/>
              <w:t> </w:t>
            </w:r>
          </w:p>
        </w:tc>
        <w:tc>
          <w:tcPr>
            <w:tcW w:w="104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w:t>
            </w:r>
          </w:p>
        </w:tc>
        <w:tc>
          <w:tcPr>
            <w:tcW w:w="79" w:type="dxa"/>
            <w:tcBorders/>
            <w:shd w:fill="FFFF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N/A</w:t>
            </w:r>
          </w:p>
        </w:tc>
        <w:tc>
          <w:tcPr>
            <w:tcW w:w="425" w:type="dxa"/>
            <w:tcBorders/>
            <w:shd w:fill="FFFFFF" w:val="clear"/>
            <w:vAlign w:val="center"/>
          </w:tcPr>
          <w:p>
            <w:pPr>
              <w:pStyle w:val="TableContents"/>
              <w:bidi w:val="0"/>
              <w:spacing w:lineRule="atLeast" w:line="240" w:before="0" w:after="0"/>
              <w:jc w:val="left"/>
              <w:rPr/>
            </w:pPr>
            <w:r>
              <w:rPr/>
              <w:t> </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165.6</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146.8</w:t>
            </w:r>
          </w:p>
        </w:tc>
        <w:tc>
          <w:tcPr>
            <w:tcW w:w="60" w:type="dxa"/>
            <w:tcBorders/>
            <w:shd w:fill="CCEEFF" w:val="clear"/>
            <w:vAlign w:val="center"/>
          </w:tcPr>
          <w:p>
            <w:pPr>
              <w:pStyle w:val="TableContents"/>
              <w:bidi w:val="0"/>
              <w:spacing w:lineRule="atLeast" w:line="240" w:before="0" w:after="0"/>
              <w:jc w:val="left"/>
              <w:rPr/>
            </w:pPr>
            <w:r>
              <w:rPr/>
              <w:t> </w:t>
            </w:r>
          </w:p>
        </w:tc>
        <w:tc>
          <w:tcPr>
            <w:tcW w:w="205" w:type="dxa"/>
            <w:tcBorders/>
            <w:shd w:fill="CCEEFF" w:val="clear"/>
            <w:vAlign w:val="center"/>
          </w:tcPr>
          <w:p>
            <w:pPr>
              <w:pStyle w:val="TableContents"/>
              <w:bidi w:val="0"/>
              <w:spacing w:lineRule="atLeast" w:line="240" w:before="0" w:after="0"/>
              <w:jc w:val="left"/>
              <w:rPr/>
            </w:pPr>
            <w:r>
              <w:rPr/>
              <w:t> </w:t>
            </w:r>
          </w:p>
        </w:tc>
        <w:tc>
          <w:tcPr>
            <w:tcW w:w="1044"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18.8</w:t>
            </w:r>
          </w:p>
        </w:tc>
        <w:tc>
          <w:tcPr>
            <w:tcW w:w="79"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12.8</w:t>
            </w:r>
          </w:p>
        </w:tc>
        <w:tc>
          <w:tcPr>
            <w:tcW w:w="425"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59.0</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55.1</w:t>
            </w:r>
          </w:p>
        </w:tc>
        <w:tc>
          <w:tcPr>
            <w:tcW w:w="60" w:type="dxa"/>
            <w:tcBorders/>
            <w:shd w:fill="FFFFFF" w:val="clear"/>
            <w:vAlign w:val="center"/>
          </w:tcPr>
          <w:p>
            <w:pPr>
              <w:pStyle w:val="TableContents"/>
              <w:bidi w:val="0"/>
              <w:spacing w:lineRule="atLeast" w:line="240" w:before="0" w:after="0"/>
              <w:jc w:val="left"/>
              <w:rPr/>
            </w:pPr>
            <w:r>
              <w:rPr/>
              <w:t> </w:t>
            </w:r>
          </w:p>
        </w:tc>
        <w:tc>
          <w:tcPr>
            <w:tcW w:w="205" w:type="dxa"/>
            <w:tcBorders/>
            <w:shd w:fill="FFFFFF" w:val="clear"/>
            <w:vAlign w:val="center"/>
          </w:tcPr>
          <w:p>
            <w:pPr>
              <w:pStyle w:val="TableContents"/>
              <w:bidi w:val="0"/>
              <w:spacing w:lineRule="atLeast" w:line="240" w:before="0" w:after="0"/>
              <w:jc w:val="left"/>
              <w:rPr/>
            </w:pPr>
            <w:r>
              <w:rPr/>
              <w:t> </w:t>
            </w:r>
          </w:p>
        </w:tc>
        <w:tc>
          <w:tcPr>
            <w:tcW w:w="104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3.9</w:t>
            </w:r>
          </w:p>
        </w:tc>
        <w:tc>
          <w:tcPr>
            <w:tcW w:w="79" w:type="dxa"/>
            <w:tcBorders/>
            <w:shd w:fill="FFFF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7.1</w:t>
            </w:r>
          </w:p>
        </w:tc>
        <w:tc>
          <w:tcPr>
            <w:tcW w:w="425"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106.7</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97.9</w:t>
            </w:r>
          </w:p>
        </w:tc>
        <w:tc>
          <w:tcPr>
            <w:tcW w:w="60" w:type="dxa"/>
            <w:tcBorders/>
            <w:shd w:fill="CCEEFF" w:val="clear"/>
            <w:vAlign w:val="center"/>
          </w:tcPr>
          <w:p>
            <w:pPr>
              <w:pStyle w:val="TableContents"/>
              <w:bidi w:val="0"/>
              <w:spacing w:lineRule="atLeast" w:line="240" w:before="0" w:after="0"/>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8.8</w:t>
            </w:r>
          </w:p>
        </w:tc>
        <w:tc>
          <w:tcPr>
            <w:tcW w:w="79"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9.0</w:t>
            </w:r>
          </w:p>
        </w:tc>
        <w:tc>
          <w:tcPr>
            <w:tcW w:w="425"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7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1,004.9</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7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905.2</w:t>
            </w:r>
          </w:p>
        </w:tc>
        <w:tc>
          <w:tcPr>
            <w:tcW w:w="60" w:type="dxa"/>
            <w:tcBorders/>
            <w:shd w:fill="FFFFFF" w:val="clear"/>
            <w:vAlign w:val="center"/>
          </w:tcPr>
          <w:p>
            <w:pPr>
              <w:pStyle w:val="TableContents"/>
              <w:bidi w:val="0"/>
              <w:spacing w:lineRule="atLeast" w:line="240" w:before="0" w:after="0"/>
              <w:jc w:val="left"/>
              <w:rPr/>
            </w:pPr>
            <w:r>
              <w:rPr/>
              <w:t> </w:t>
            </w:r>
          </w:p>
        </w:tc>
        <w:tc>
          <w:tcPr>
            <w:tcW w:w="2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104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99.7</w:t>
            </w:r>
          </w:p>
        </w:tc>
        <w:tc>
          <w:tcPr>
            <w:tcW w:w="79" w:type="dxa"/>
            <w:tcBorders/>
            <w:shd w:fill="FFFF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11.0</w:t>
            </w:r>
          </w:p>
        </w:tc>
        <w:tc>
          <w:tcPr>
            <w:tcW w:w="425"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576" w:right="0" w:hanging="0"/>
              <w:jc w:val="left"/>
              <w:rPr>
                <w:rFonts w:ascii="Times New Roman" w:hAnsi="Times New Roman"/>
                <w:sz w:val="20"/>
              </w:rPr>
            </w:pPr>
            <w:r>
              <w:rPr>
                <w:rFonts w:ascii="Times New Roman" w:hAnsi="Times New Roman"/>
                <w:sz w:val="20"/>
              </w:rPr>
              <w:t>Operating income</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278.8</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256.0</w:t>
            </w:r>
          </w:p>
        </w:tc>
        <w:tc>
          <w:tcPr>
            <w:tcW w:w="60" w:type="dxa"/>
            <w:tcBorders/>
            <w:shd w:fill="CCEEFF" w:val="clear"/>
            <w:vAlign w:val="center"/>
          </w:tcPr>
          <w:p>
            <w:pPr>
              <w:pStyle w:val="TableContents"/>
              <w:bidi w:val="0"/>
              <w:spacing w:lineRule="atLeast" w:line="240" w:before="0" w:after="0"/>
              <w:jc w:val="left"/>
              <w:rPr/>
            </w:pPr>
            <w:r>
              <w:rPr/>
              <w:t> </w:t>
            </w:r>
          </w:p>
        </w:tc>
        <w:tc>
          <w:tcPr>
            <w:tcW w:w="2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0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22.8</w:t>
            </w:r>
          </w:p>
        </w:tc>
        <w:tc>
          <w:tcPr>
            <w:tcW w:w="79"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8.9</w:t>
            </w:r>
          </w:p>
        </w:tc>
        <w:tc>
          <w:tcPr>
            <w:tcW w:w="425"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Transactions processed (millions)</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top w:val="double" w:sz="6"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767" w:type="dxa"/>
            <w:tcBorders>
              <w:top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15,534</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top w:val="double" w:sz="6"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767" w:type="dxa"/>
            <w:tcBorders>
              <w:top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11,424</w:t>
            </w:r>
          </w:p>
        </w:tc>
        <w:tc>
          <w:tcPr>
            <w:tcW w:w="60" w:type="dxa"/>
            <w:tcBorders/>
            <w:shd w:fill="FFFFFF" w:val="clear"/>
            <w:vAlign w:val="center"/>
          </w:tcPr>
          <w:p>
            <w:pPr>
              <w:pStyle w:val="TableContents"/>
              <w:bidi w:val="0"/>
              <w:spacing w:lineRule="atLeast" w:line="240" w:before="0" w:after="0"/>
              <w:jc w:val="left"/>
              <w:rPr/>
            </w:pPr>
            <w:r>
              <w:rPr/>
              <w:t> </w:t>
            </w:r>
          </w:p>
        </w:tc>
        <w:tc>
          <w:tcPr>
            <w:tcW w:w="205" w:type="dxa"/>
            <w:tcBorders>
              <w:top w:val="double" w:sz="6"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1044" w:type="dxa"/>
            <w:tcBorders>
              <w:top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4,110.0</w:t>
            </w:r>
          </w:p>
        </w:tc>
        <w:tc>
          <w:tcPr>
            <w:tcW w:w="79" w:type="dxa"/>
            <w:tcBorders/>
            <w:shd w:fill="FFFF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36.0</w:t>
            </w:r>
          </w:p>
        </w:tc>
        <w:tc>
          <w:tcPr>
            <w:tcW w:w="425"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Active ATMs as of December 31,</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50,959</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49,945</w:t>
            </w:r>
          </w:p>
        </w:tc>
        <w:tc>
          <w:tcPr>
            <w:tcW w:w="60" w:type="dxa"/>
            <w:tcBorders/>
            <w:shd w:fill="CCEEFF" w:val="clear"/>
            <w:vAlign w:val="center"/>
          </w:tcPr>
          <w:p>
            <w:pPr>
              <w:pStyle w:val="TableContents"/>
              <w:bidi w:val="0"/>
              <w:spacing w:lineRule="atLeast" w:line="240" w:before="0" w:after="0"/>
              <w:jc w:val="left"/>
              <w:rPr/>
            </w:pPr>
            <w:r>
              <w:rPr/>
              <w:t> </w:t>
            </w:r>
          </w:p>
        </w:tc>
        <w:tc>
          <w:tcPr>
            <w:tcW w:w="205" w:type="dxa"/>
            <w:tcBorders/>
            <w:shd w:fill="CCEEFF" w:val="clear"/>
            <w:vAlign w:val="center"/>
          </w:tcPr>
          <w:p>
            <w:pPr>
              <w:pStyle w:val="TableContents"/>
              <w:bidi w:val="0"/>
              <w:spacing w:lineRule="atLeast" w:line="240" w:before="0" w:after="0"/>
              <w:jc w:val="left"/>
              <w:rPr/>
            </w:pPr>
            <w:r>
              <w:rPr/>
              <w:t> </w:t>
            </w:r>
          </w:p>
        </w:tc>
        <w:tc>
          <w:tcPr>
            <w:tcW w:w="1044"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1,014.0</w:t>
            </w:r>
          </w:p>
        </w:tc>
        <w:tc>
          <w:tcPr>
            <w:tcW w:w="79"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2.0</w:t>
            </w:r>
          </w:p>
        </w:tc>
        <w:tc>
          <w:tcPr>
            <w:tcW w:w="425"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Average active ATMs</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53,859</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51,450</w:t>
            </w:r>
          </w:p>
        </w:tc>
        <w:tc>
          <w:tcPr>
            <w:tcW w:w="60" w:type="dxa"/>
            <w:tcBorders/>
            <w:shd w:fill="FFFFFF" w:val="clear"/>
            <w:vAlign w:val="center"/>
          </w:tcPr>
          <w:p>
            <w:pPr>
              <w:pStyle w:val="TableContents"/>
              <w:bidi w:val="0"/>
              <w:spacing w:lineRule="atLeast" w:line="240" w:before="0" w:after="0"/>
              <w:jc w:val="left"/>
              <w:rPr/>
            </w:pPr>
            <w:r>
              <w:rPr/>
              <w:t> </w:t>
            </w:r>
          </w:p>
        </w:tc>
        <w:tc>
          <w:tcPr>
            <w:tcW w:w="205" w:type="dxa"/>
            <w:tcBorders/>
            <w:shd w:fill="FFFFFF" w:val="clear"/>
            <w:vAlign w:val="center"/>
          </w:tcPr>
          <w:p>
            <w:pPr>
              <w:pStyle w:val="TableContents"/>
              <w:bidi w:val="0"/>
              <w:spacing w:lineRule="atLeast" w:line="240" w:before="0" w:after="0"/>
              <w:jc w:val="left"/>
              <w:rPr/>
            </w:pPr>
            <w:r>
              <w:rPr/>
              <w:t> </w:t>
            </w:r>
          </w:p>
        </w:tc>
        <w:tc>
          <w:tcPr>
            <w:tcW w:w="104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2,409.0</w:t>
            </w:r>
          </w:p>
        </w:tc>
        <w:tc>
          <w:tcPr>
            <w:tcW w:w="79" w:type="dxa"/>
            <w:tcBorders/>
            <w:shd w:fill="FFFFFF" w:val="clear"/>
            <w:vAlign w:val="center"/>
          </w:tcPr>
          <w:p>
            <w:pPr>
              <w:pStyle w:val="TableContents"/>
              <w:bidi w:val="0"/>
              <w:spacing w:lineRule="atLeast" w:line="240" w:before="0" w:after="0"/>
              <w:jc w:val="left"/>
              <w:rPr>
                <w:color w:val="333333"/>
              </w:rPr>
            </w:pPr>
            <w:r>
              <w:rPr>
                <w:color w:val="333333"/>
              </w:rPr>
              <w:t> </w:t>
            </w:r>
          </w:p>
        </w:tc>
        <w:tc>
          <w:tcPr>
            <w:tcW w:w="80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4.7</w:t>
            </w:r>
          </w:p>
        </w:tc>
        <w:tc>
          <w:tcPr>
            <w:tcW w:w="425"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bl>
    <w:p>
      <w:pPr>
        <w:pStyle w:val="TextBody"/>
        <w:bidi w:val="0"/>
        <w:spacing w:lineRule="atLeast" w:line="240" w:before="0" w:after="0"/>
        <w:jc w:val="both"/>
        <w:rPr/>
      </w:pPr>
      <w:r>
        <w:rPr/>
        <w:t> </w:t>
      </w:r>
    </w:p>
    <w:p>
      <w:pPr>
        <w:pStyle w:val="TextBody"/>
        <w:bidi w:val="0"/>
        <w:spacing w:lineRule="atLeast" w:line="240" w:before="0" w:after="200"/>
        <w:jc w:val="both"/>
        <w:rPr/>
      </w:pPr>
      <w:r>
        <w:rPr>
          <w:i/>
          <w:sz w:val="20"/>
        </w:rPr>
        <w:t>Revenues</w:t>
      </w:r>
      <w:r>
        <w:rPr/>
        <w:t xml:space="preserve"> </w:t>
      </w:r>
    </w:p>
    <w:p>
      <w:pPr>
        <w:pStyle w:val="TextBody"/>
        <w:bidi w:val="0"/>
        <w:spacing w:lineRule="atLeast" w:line="240" w:before="0" w:after="160"/>
        <w:jc w:val="both"/>
        <w:rPr/>
      </w:pPr>
      <w:r>
        <w:rPr>
          <w:sz w:val="20"/>
        </w:rPr>
        <w:t>EFT Processing Segment total revenues were $</w:t>
      </w:r>
      <w:r>
        <w:rPr>
          <w:rFonts w:ascii="Times New Roman" w:hAnsi="Times New Roman"/>
          <w:sz w:val="20"/>
        </w:rPr>
        <w:t>1,283.7</w:t>
      </w:r>
      <w:r>
        <w:rPr/>
        <w:t xml:space="preserve"> </w:t>
      </w:r>
      <w:r>
        <w:rPr>
          <w:sz w:val="20"/>
        </w:rPr>
        <w:t>million</w:t>
      </w:r>
      <w:r>
        <w:rPr/>
        <w:t> </w:t>
      </w:r>
      <w:r>
        <w:rPr>
          <w:sz w:val="20"/>
        </w:rPr>
        <w:t>for the year ended</w:t>
      </w:r>
      <w:r>
        <w:rPr/>
        <w:t>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122.5</w:t>
      </w:r>
      <w:r>
        <w:rPr/>
        <w:t xml:space="preserve"> </w:t>
      </w:r>
      <w:r>
        <w:rPr>
          <w:sz w:val="20"/>
        </w:rPr>
        <w:t xml:space="preserve">million or </w:t>
      </w:r>
      <w:r>
        <w:rPr>
          <w:rFonts w:ascii="Times New Roman" w:hAnsi="Times New Roman"/>
          <w:sz w:val="20"/>
        </w:rPr>
        <w:t>10.5</w:t>
      </w:r>
      <w:r>
        <w:rPr>
          <w:sz w:val="20"/>
        </w:rPr>
        <w:t>%</w:t>
      </w:r>
      <w:r>
        <w:rPr/>
        <w:t> </w:t>
      </w:r>
      <w:r>
        <w:rPr>
          <w:sz w:val="20"/>
        </w:rPr>
        <w:t xml:space="preserve">compared to the same period in </w:t>
      </w:r>
      <w:r>
        <w:rPr>
          <w:rFonts w:ascii="Times New Roman" w:hAnsi="Times New Roman"/>
          <w:sz w:val="20"/>
        </w:rPr>
        <w:t>2024</w:t>
      </w:r>
      <w:r>
        <w:rPr>
          <w:sz w:val="20"/>
        </w:rPr>
        <w:t xml:space="preserve">. Revenues increased for the year ended </w:t>
      </w:r>
      <w:r>
        <w:rPr>
          <w:rFonts w:ascii="Times New Roman" w:hAnsi="Times New Roman"/>
          <w:sz w:val="20"/>
        </w:rPr>
        <w:t>December 31, 2025</w:t>
      </w:r>
      <w:r>
        <w:rPr/>
        <w:t xml:space="preserve"> </w:t>
      </w:r>
      <w:r>
        <w:rPr>
          <w:sz w:val="20"/>
        </w:rPr>
        <w:t xml:space="preserve">compared to the same period in </w:t>
      </w:r>
      <w:r>
        <w:rPr>
          <w:rFonts w:ascii="Times New Roman" w:hAnsi="Times New Roman"/>
          <w:sz w:val="20"/>
        </w:rPr>
        <w:t>2024</w:t>
      </w:r>
      <w:r>
        <w:rPr/>
        <w:t xml:space="preserve"> </w:t>
      </w:r>
      <w:r>
        <w:rPr>
          <w:sz w:val="20"/>
        </w:rPr>
        <w:t>due to an increase in average active ATMs, an increase in our most profitable international transactions driven by cross-border recovery levels, corresponding DCC and surcharge revenues and continued expansion to new markets.</w:t>
      </w:r>
      <w:r>
        <w:rPr/>
        <w:t> </w:t>
      </w:r>
      <w:r>
        <w:rPr>
          <w:sz w:val="20"/>
        </w:rPr>
        <w:t>Foreign currency movements</w:t>
      </w:r>
      <w:r>
        <w:rPr/>
        <w:t> </w:t>
      </w:r>
      <w:r>
        <w:rPr>
          <w:sz w:val="20"/>
        </w:rPr>
        <w:t>increased</w:t>
      </w:r>
      <w:r>
        <w:rPr/>
        <w:t> </w:t>
      </w:r>
      <w:r>
        <w:rPr>
          <w:sz w:val="20"/>
        </w:rPr>
        <w:t>revenues by approximately $</w:t>
      </w:r>
      <w:r>
        <w:rPr>
          <w:rFonts w:ascii="Times New Roman" w:hAnsi="Times New Roman"/>
          <w:sz w:val="20"/>
        </w:rPr>
        <w:t>43.9</w:t>
      </w:r>
      <w:r>
        <w:rPr/>
        <w:t xml:space="preserve"> </w:t>
      </w:r>
      <w:r>
        <w:rPr>
          <w:sz w:val="20"/>
        </w:rPr>
        <w:t>million</w:t>
      </w:r>
      <w:r>
        <w:rPr/>
        <w:t> </w:t>
      </w:r>
      <w:r>
        <w:rPr>
          <w:sz w:val="20"/>
        </w:rPr>
        <w:t>for the year</w:t>
      </w:r>
      <w:r>
        <w:rPr/>
        <w:t> </w:t>
      </w:r>
      <w:r>
        <w:rPr>
          <w:sz w:val="20"/>
        </w:rPr>
        <w:t xml:space="preserve">ended </w:t>
      </w:r>
      <w:r>
        <w:rPr>
          <w:rFonts w:ascii="Times New Roman" w:hAnsi="Times New Roman"/>
          <w:sz w:val="20"/>
        </w:rPr>
        <w:t>December 31, 2025</w:t>
      </w:r>
      <w:r>
        <w:rPr>
          <w:sz w:val="20"/>
        </w:rPr>
        <w:t xml:space="preserve">, compared to the same period in </w:t>
      </w:r>
      <w:r>
        <w:rPr>
          <w:rFonts w:ascii="Times New Roman" w:hAnsi="Times New Roman"/>
          <w:sz w:val="20"/>
        </w:rPr>
        <w:t>2024</w:t>
      </w:r>
      <w:r>
        <w:rPr>
          <w:sz w:val="20"/>
        </w:rPr>
        <w:t>.</w:t>
      </w:r>
    </w:p>
    <w:p>
      <w:pPr>
        <w:pStyle w:val="TextBody"/>
        <w:bidi w:val="0"/>
        <w:spacing w:lineRule="atLeast" w:line="240" w:before="0" w:after="160"/>
        <w:jc w:val="both"/>
        <w:rPr/>
      </w:pPr>
      <w:r>
        <w:rPr>
          <w:sz w:val="20"/>
        </w:rPr>
        <w:t>Revenue per transaction was</w:t>
      </w:r>
      <w:r>
        <w:rPr/>
        <w:t> </w:t>
      </w:r>
      <w:r>
        <w:rPr>
          <w:sz w:val="20"/>
        </w:rPr>
        <w:t>$</w:t>
      </w:r>
      <w:r>
        <w:rPr>
          <w:rFonts w:ascii="Times New Roman" w:hAnsi="Times New Roman"/>
          <w:sz w:val="20"/>
        </w:rPr>
        <w:t>0.08</w:t>
      </w:r>
      <w:r>
        <w:rPr/>
        <w:t xml:space="preserve"> </w:t>
      </w:r>
      <w:r>
        <w:rPr>
          <w:sz w:val="20"/>
        </w:rPr>
        <w:t>and $</w:t>
      </w:r>
      <w:r>
        <w:rPr>
          <w:rFonts w:ascii="Times New Roman" w:hAnsi="Times New Roman"/>
          <w:sz w:val="20"/>
        </w:rPr>
        <w:t>0.10</w:t>
      </w:r>
      <w:r>
        <w:rPr/>
        <w:t xml:space="preserve"> </w:t>
      </w:r>
      <w:r>
        <w:rPr>
          <w:sz w:val="20"/>
        </w:rPr>
        <w:t>for the year ended</w:t>
      </w:r>
      <w:r>
        <w:rPr/>
        <w:t>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 respectively. The decrease in revenue per transaction is due to an increase in processing digital transactions with a high volume and a low value per transaction.</w:t>
      </w:r>
    </w:p>
    <w:p>
      <w:pPr>
        <w:pStyle w:val="TextBody"/>
        <w:bidi w:val="0"/>
        <w:spacing w:lineRule="atLeast" w:line="240" w:before="0" w:after="200"/>
        <w:jc w:val="both"/>
        <w:rPr/>
      </w:pPr>
      <w:r>
        <w:rPr>
          <w:sz w:val="20"/>
        </w:rPr>
        <w:t>Average monthly revenues per ATM</w:t>
      </w:r>
      <w:r>
        <w:rPr/>
        <w:t> </w:t>
      </w:r>
      <w:r>
        <w:rPr>
          <w:sz w:val="20"/>
        </w:rPr>
        <w:t>increased to $</w:t>
      </w:r>
      <w:r>
        <w:rPr>
          <w:rFonts w:ascii="Times New Roman" w:hAnsi="Times New Roman"/>
          <w:sz w:val="20"/>
        </w:rPr>
        <w:t>1,986</w:t>
      </w:r>
      <w:r>
        <w:rPr/>
        <w:t xml:space="preserve"> </w:t>
      </w:r>
      <w:r>
        <w:rPr>
          <w:sz w:val="20"/>
        </w:rPr>
        <w:t>for the year ended</w:t>
      </w:r>
      <w:r>
        <w:rPr/>
        <w:t> </w:t>
      </w:r>
      <w:r>
        <w:rPr>
          <w:rFonts w:ascii="Times New Roman" w:hAnsi="Times New Roman"/>
          <w:sz w:val="20"/>
        </w:rPr>
        <w:t>December 31, 2025</w:t>
      </w:r>
      <w:r>
        <w:rPr/>
        <w:t xml:space="preserve"> </w:t>
      </w:r>
      <w:r>
        <w:rPr>
          <w:sz w:val="20"/>
        </w:rPr>
        <w:t>compared to $</w:t>
      </w:r>
      <w:r>
        <w:rPr>
          <w:rFonts w:ascii="Times New Roman" w:hAnsi="Times New Roman"/>
          <w:sz w:val="20"/>
        </w:rPr>
        <w:t>1,881</w:t>
      </w:r>
      <w:r>
        <w:rPr/>
        <w:t xml:space="preserve"> </w:t>
      </w:r>
      <w:r>
        <w:rPr>
          <w:sz w:val="20"/>
        </w:rPr>
        <w:t xml:space="preserve">for the same period in </w:t>
      </w:r>
      <w:r>
        <w:rPr>
          <w:rFonts w:ascii="Times New Roman" w:hAnsi="Times New Roman"/>
          <w:sz w:val="20"/>
        </w:rPr>
        <w:t>2024</w:t>
      </w:r>
      <w:r>
        <w:rPr>
          <w:sz w:val="20"/>
        </w:rPr>
        <w:t>.</w:t>
      </w:r>
    </w:p>
    <w:p>
      <w:pPr>
        <w:pStyle w:val="TextBody"/>
        <w:bidi w:val="0"/>
        <w:spacing w:lineRule="atLeast" w:line="240" w:before="0" w:after="200"/>
        <w:jc w:val="both"/>
        <w:rPr>
          <w:i/>
          <w:sz w:val="20"/>
        </w:rPr>
      </w:pPr>
      <w:r>
        <w:rPr>
          <w:i/>
          <w:sz w:val="20"/>
        </w:rPr>
        <w:t>Direct operating costs</w:t>
      </w:r>
    </w:p>
    <w:p>
      <w:pPr>
        <w:pStyle w:val="TextBody"/>
        <w:bidi w:val="0"/>
        <w:spacing w:lineRule="atLeast" w:line="240" w:before="0" w:after="200"/>
        <w:jc w:val="both"/>
        <w:rPr/>
      </w:pPr>
      <w:r>
        <w:rPr>
          <w:sz w:val="20"/>
        </w:rPr>
        <w:t>EFT Processing Segment direct operating costs were $</w:t>
      </w:r>
      <w:r>
        <w:rPr>
          <w:rFonts w:ascii="Times New Roman" w:hAnsi="Times New Roman"/>
          <w:sz w:val="20"/>
        </w:rPr>
        <w:t>673.4</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68.0</w:t>
      </w:r>
      <w:r>
        <w:rPr/>
        <w:t xml:space="preserve"> </w:t>
      </w:r>
      <w:r>
        <w:rPr>
          <w:sz w:val="20"/>
        </w:rPr>
        <w:t xml:space="preserve">million or </w:t>
      </w:r>
      <w:r>
        <w:rPr>
          <w:rFonts w:ascii="Times New Roman" w:hAnsi="Times New Roman"/>
          <w:sz w:val="20"/>
        </w:rPr>
        <w:t>11.2</w:t>
      </w:r>
      <w:r>
        <w:rPr>
          <w:sz w:val="20"/>
        </w:rPr>
        <w:t xml:space="preserve">% compared to the same period in </w:t>
      </w:r>
      <w:r>
        <w:rPr>
          <w:rFonts w:ascii="Times New Roman" w:hAnsi="Times New Roman"/>
          <w:sz w:val="20"/>
        </w:rPr>
        <w:t>2024</w:t>
      </w:r>
      <w:r>
        <w:rPr>
          <w:sz w:val="20"/>
        </w:rPr>
        <w:t xml:space="preserve">.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year ended </w:t>
      </w:r>
      <w:r>
        <w:rPr>
          <w:rFonts w:ascii="Times New Roman" w:hAnsi="Times New Roman"/>
          <w:sz w:val="20"/>
        </w:rPr>
        <w:t>December 31, 2025</w:t>
      </w:r>
      <w:r>
        <w:rPr>
          <w:sz w:val="20"/>
        </w:rPr>
        <w:t>, the increase in direct operating costs was primarily due to the increase in transaction volumes, and costs associated with modifying our estate of ATMs. Foreign currency movements increased direct operating costs by approximately $</w:t>
      </w:r>
      <w:r>
        <w:rPr>
          <w:rFonts w:ascii="Times New Roman" w:hAnsi="Times New Roman"/>
          <w:sz w:val="20"/>
        </w:rPr>
        <w:t>23.2</w:t>
      </w:r>
      <w:r>
        <w:rPr/>
        <w:t xml:space="preserve"> </w:t>
      </w:r>
      <w:r>
        <w:rPr>
          <w:sz w:val="20"/>
        </w:rPr>
        <w:t>million for the year</w:t>
      </w:r>
      <w:r>
        <w:rPr/>
        <w:t> </w:t>
      </w:r>
      <w:r>
        <w:rPr>
          <w:sz w:val="20"/>
        </w:rPr>
        <w:t xml:space="preserve">ended </w:t>
      </w:r>
      <w:r>
        <w:rPr>
          <w:rFonts w:ascii="Times New Roman" w:hAnsi="Times New Roman"/>
          <w:sz w:val="20"/>
        </w:rPr>
        <w:t>December 31, 2025</w:t>
      </w:r>
      <w:r>
        <w:rPr/>
        <w:t xml:space="preserve"> </w:t>
      </w:r>
      <w:r>
        <w:rPr>
          <w:sz w:val="20"/>
        </w:rPr>
        <w:t xml:space="preserve">compared to the same period in </w:t>
      </w:r>
      <w:r>
        <w:rPr>
          <w:rFonts w:ascii="Times New Roman" w:hAnsi="Times New Roman"/>
          <w:sz w:val="20"/>
        </w:rPr>
        <w:t>2024</w:t>
      </w:r>
      <w:r>
        <w:rPr>
          <w:sz w:val="20"/>
        </w:rPr>
        <w:t>.</w:t>
      </w:r>
    </w:p>
    <w:p>
      <w:pPr>
        <w:pStyle w:val="TextBody"/>
        <w:bidi w:val="0"/>
        <w:spacing w:lineRule="atLeast" w:line="240" w:before="0" w:after="200"/>
        <w:jc w:val="both"/>
        <w:rPr>
          <w:i/>
          <w:sz w:val="20"/>
        </w:rPr>
      </w:pPr>
      <w:r>
        <w:rPr>
          <w:i/>
          <w:sz w:val="20"/>
        </w:rPr>
        <w:t>Gross profit</w:t>
      </w:r>
    </w:p>
    <w:p>
      <w:pPr>
        <w:pStyle w:val="TextBody"/>
        <w:bidi w:val="0"/>
        <w:spacing w:lineRule="atLeast" w:line="240" w:before="0" w:after="0"/>
        <w:jc w:val="both"/>
        <w:rPr/>
      </w:pPr>
      <w:r>
        <w:rPr>
          <w:sz w:val="20"/>
        </w:rPr>
        <w:t>Gross profit, which is calculated as revenues less direct operating costs, was $</w:t>
      </w:r>
      <w:r>
        <w:rPr>
          <w:rFonts w:ascii="Times New Roman" w:hAnsi="Times New Roman"/>
          <w:sz w:val="20"/>
        </w:rPr>
        <w:t>610.3</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54.5</w:t>
      </w:r>
      <w:r>
        <w:rPr/>
        <w:t xml:space="preserve"> </w:t>
      </w:r>
      <w:r>
        <w:rPr>
          <w:sz w:val="20"/>
        </w:rPr>
        <w:t xml:space="preserve">million or </w:t>
      </w:r>
      <w:r>
        <w:rPr>
          <w:rFonts w:ascii="Times New Roman" w:hAnsi="Times New Roman"/>
          <w:sz w:val="20"/>
        </w:rPr>
        <w:t>9.8</w:t>
      </w:r>
      <w:r>
        <w:rPr>
          <w:sz w:val="20"/>
        </w:rPr>
        <w:t>% compared to $</w:t>
      </w:r>
      <w:r>
        <w:rPr>
          <w:rFonts w:ascii="Times New Roman" w:hAnsi="Times New Roman"/>
          <w:sz w:val="20"/>
        </w:rPr>
        <w:t>555.8</w:t>
      </w:r>
      <w:r>
        <w:rPr/>
        <w:t xml:space="preserve"> </w:t>
      </w:r>
      <w:r>
        <w:rPr>
          <w:sz w:val="20"/>
        </w:rPr>
        <w:t xml:space="preserve">million for the same period in </w:t>
      </w:r>
      <w:r>
        <w:rPr>
          <w:rFonts w:ascii="Times New Roman" w:hAnsi="Times New Roman"/>
          <w:sz w:val="20"/>
        </w:rPr>
        <w:t>2024</w:t>
      </w:r>
      <w:r>
        <w:rPr>
          <w:sz w:val="20"/>
        </w:rPr>
        <w:t xml:space="preserve">. Gross profit as a percentage of revenues (“gross margin”) </w:t>
      </w:r>
      <w:r>
        <w:rPr>
          <w:rFonts w:ascii="Times New Roman" w:hAnsi="Times New Roman"/>
          <w:sz w:val="20"/>
        </w:rPr>
        <w:t>decreased</w:t>
      </w:r>
      <w:r>
        <w:rPr/>
        <w:t xml:space="preserve"> </w:t>
      </w:r>
      <w:r>
        <w:rPr>
          <w:sz w:val="20"/>
        </w:rPr>
        <w:t xml:space="preserve">to </w:t>
      </w:r>
      <w:r>
        <w:rPr>
          <w:rFonts w:ascii="Times New Roman" w:hAnsi="Times New Roman"/>
          <w:sz w:val="20"/>
        </w:rPr>
        <w:t>47.5</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47.9</w:t>
      </w:r>
      <w:r>
        <w:rPr>
          <w:sz w:val="20"/>
        </w:rPr>
        <w:t xml:space="preserve">% for the same period in </w:t>
      </w:r>
      <w:r>
        <w:rPr>
          <w:rFonts w:ascii="Times New Roman" w:hAnsi="Times New Roman"/>
          <w:sz w:val="20"/>
        </w:rPr>
        <w:t>2024</w:t>
      </w:r>
      <w:r>
        <w:rPr>
          <w:sz w:val="20"/>
        </w:rPr>
        <w:t xml:space="preserve">. For the year ended </w:t>
      </w:r>
      <w:r>
        <w:rPr>
          <w:rFonts w:ascii="Times New Roman" w:hAnsi="Times New Roman"/>
          <w:sz w:val="20"/>
        </w:rPr>
        <w:t>December 31, 2025</w:t>
      </w:r>
      <w:r>
        <w:rPr>
          <w:sz w:val="20"/>
        </w:rPr>
        <w:t>, the decrease in gross profit was primarily driven by the increase of low-margin digital transactions.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i/>
          <w:sz w:val="20"/>
        </w:rPr>
      </w:pPr>
      <w:r>
        <w:rPr>
          <w:i/>
          <w:sz w:val="20"/>
        </w:rPr>
        <w:t>Salaries and benefits</w:t>
      </w:r>
    </w:p>
    <w:p>
      <w:pPr>
        <w:pStyle w:val="TextBody"/>
        <w:bidi w:val="0"/>
        <w:spacing w:lineRule="atLeast" w:line="240" w:before="0" w:after="200"/>
        <w:jc w:val="both"/>
        <w:rPr/>
      </w:pPr>
      <w:r>
        <w:rPr>
          <w:sz w:val="20"/>
        </w:rPr>
        <w:t>Salaries and benefits expenses were $</w:t>
      </w:r>
      <w:r>
        <w:rPr>
          <w:rFonts w:ascii="Times New Roman" w:hAnsi="Times New Roman"/>
          <w:sz w:val="20"/>
        </w:rPr>
        <w:t>165.6</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18.8</w:t>
      </w:r>
      <w:r>
        <w:rPr/>
        <w:t xml:space="preserve"> </w:t>
      </w:r>
      <w:r>
        <w:rPr>
          <w:sz w:val="20"/>
        </w:rPr>
        <w:t xml:space="preserve">million or </w:t>
      </w:r>
      <w:r>
        <w:rPr>
          <w:rFonts w:ascii="Times New Roman" w:hAnsi="Times New Roman"/>
          <w:sz w:val="20"/>
        </w:rPr>
        <w:t>12.8</w:t>
      </w:r>
      <w:r>
        <w:rPr>
          <w:sz w:val="20"/>
        </w:rPr>
        <w:t xml:space="preserve">% compared to the same period in </w:t>
      </w:r>
      <w:r>
        <w:rPr>
          <w:rFonts w:ascii="Times New Roman" w:hAnsi="Times New Roman"/>
          <w:sz w:val="20"/>
        </w:rPr>
        <w:t>2024</w:t>
      </w:r>
      <w:r>
        <w:rPr>
          <w:sz w:val="20"/>
        </w:rPr>
        <w:t xml:space="preserve">. The increase in salaries and benefits for the year ended </w:t>
      </w:r>
      <w:r>
        <w:rPr>
          <w:rFonts w:ascii="Times New Roman" w:hAnsi="Times New Roman"/>
          <w:sz w:val="20"/>
        </w:rPr>
        <w:t>December 31, 2025</w:t>
      </w:r>
      <w:r>
        <w:rPr/>
        <w:t xml:space="preserve"> </w:t>
      </w:r>
      <w:r>
        <w:rPr>
          <w:sz w:val="20"/>
        </w:rPr>
        <w:t xml:space="preserve">compared to the same period in </w:t>
      </w:r>
      <w:r>
        <w:rPr>
          <w:rFonts w:ascii="Times New Roman" w:hAnsi="Times New Roman"/>
          <w:sz w:val="20"/>
        </w:rPr>
        <w:t>2024</w:t>
      </w:r>
      <w:r>
        <w:rPr/>
        <w:t xml:space="preserve"> </w:t>
      </w:r>
      <w:r>
        <w:rPr>
          <w:sz w:val="20"/>
        </w:rPr>
        <w:t>was primarily driven by an increase in headcount and wage increases.</w:t>
      </w:r>
      <w:r>
        <w:rPr/>
        <w:t> </w:t>
      </w:r>
      <w:r>
        <w:rPr>
          <w:sz w:val="20"/>
        </w:rPr>
        <w:t xml:space="preserve">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12.9</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12.6</w:t>
      </w:r>
      <w:r>
        <w:rPr>
          <w:sz w:val="20"/>
        </w:rPr>
        <w:t xml:space="preserve">% for the same period in </w:t>
      </w:r>
      <w:r>
        <w:rPr>
          <w:rFonts w:ascii="Times New Roman" w:hAnsi="Times New Roman"/>
          <w:sz w:val="20"/>
        </w:rPr>
        <w:t>2024</w:t>
      </w:r>
      <w:r>
        <w:rPr>
          <w:sz w:val="20"/>
        </w:rPr>
        <w:t>.</w:t>
      </w:r>
    </w:p>
    <w:p>
      <w:pPr>
        <w:pStyle w:val="TextBody"/>
        <w:bidi w:val="0"/>
        <w:spacing w:lineRule="atLeast" w:line="240" w:before="0" w:after="200"/>
        <w:jc w:val="both"/>
        <w:rPr>
          <w:i/>
          <w:sz w:val="20"/>
        </w:rPr>
      </w:pPr>
      <w:r>
        <w:rPr>
          <w:i/>
          <w:sz w:val="20"/>
        </w:rPr>
        <w:t>Selling, general and administrative</w:t>
      </w:r>
    </w:p>
    <w:p>
      <w:pPr>
        <w:pStyle w:val="TextBody"/>
        <w:bidi w:val="0"/>
        <w:spacing w:lineRule="atLeast" w:line="240" w:before="0" w:after="200"/>
        <w:jc w:val="both"/>
        <w:rPr/>
      </w:pPr>
      <w:r>
        <w:rPr>
          <w:sz w:val="20"/>
        </w:rPr>
        <w:t>Selling, general and administrative expenses were $</w:t>
      </w:r>
      <w:r>
        <w:rPr>
          <w:rFonts w:ascii="Times New Roman" w:hAnsi="Times New Roman"/>
          <w:sz w:val="20"/>
        </w:rPr>
        <w:t>59.0</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3.9</w:t>
      </w:r>
      <w:r>
        <w:rPr/>
        <w:t xml:space="preserve"> </w:t>
      </w:r>
      <w:r>
        <w:rPr>
          <w:sz w:val="20"/>
        </w:rPr>
        <w:t xml:space="preserve">million or </w:t>
      </w:r>
      <w:r>
        <w:rPr>
          <w:rFonts w:ascii="Times New Roman" w:hAnsi="Times New Roman"/>
          <w:sz w:val="20"/>
        </w:rPr>
        <w:t>7.1</w:t>
      </w:r>
      <w:r>
        <w:rPr>
          <w:sz w:val="20"/>
        </w:rPr>
        <w:t xml:space="preserve">% compared to the same period in </w:t>
      </w:r>
      <w:r>
        <w:rPr>
          <w:rFonts w:ascii="Times New Roman" w:hAnsi="Times New Roman"/>
          <w:sz w:val="20"/>
        </w:rPr>
        <w:t>2024</w:t>
      </w:r>
      <w:r>
        <w:rPr>
          <w:sz w:val="20"/>
        </w:rPr>
        <w:t xml:space="preserve">. As a percentage of revenues, these expenses </w:t>
      </w:r>
      <w:r>
        <w:rPr>
          <w:rFonts w:ascii="Times New Roman" w:hAnsi="Times New Roman"/>
          <w:sz w:val="20"/>
        </w:rPr>
        <w:t>decreased</w:t>
      </w:r>
      <w:r>
        <w:rPr/>
        <w:t xml:space="preserve"> </w:t>
      </w:r>
      <w:r>
        <w:rPr>
          <w:sz w:val="20"/>
        </w:rPr>
        <w:t xml:space="preserve">to </w:t>
      </w:r>
      <w:r>
        <w:rPr>
          <w:rFonts w:ascii="Times New Roman" w:hAnsi="Times New Roman"/>
          <w:sz w:val="20"/>
        </w:rPr>
        <w:t>4.6</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4.7</w:t>
      </w:r>
      <w:r>
        <w:rPr>
          <w:sz w:val="20"/>
        </w:rPr>
        <w:t xml:space="preserve">% for the same period in </w:t>
      </w:r>
      <w:r>
        <w:rPr>
          <w:rFonts w:ascii="Times New Roman" w:hAnsi="Times New Roman"/>
          <w:sz w:val="20"/>
        </w:rPr>
        <w:t>2024</w:t>
      </w:r>
      <w:r>
        <w:rPr>
          <w:sz w:val="20"/>
        </w:rPr>
        <w:t>.</w:t>
      </w:r>
    </w:p>
    <w:p>
      <w:pPr>
        <w:pStyle w:val="TextBody"/>
        <w:bidi w:val="0"/>
        <w:spacing w:lineRule="atLeast" w:line="240" w:before="0" w:after="200"/>
        <w:jc w:val="both"/>
        <w:rPr>
          <w:i/>
          <w:sz w:val="20"/>
        </w:rPr>
      </w:pPr>
      <w:r>
        <w:rPr>
          <w:i/>
          <w:sz w:val="20"/>
        </w:rPr>
        <w:t>Depreciation and amortization</w:t>
      </w:r>
    </w:p>
    <w:p>
      <w:pPr>
        <w:pStyle w:val="TextBody"/>
        <w:bidi w:val="0"/>
        <w:spacing w:lineRule="atLeast" w:line="240" w:before="0" w:after="200"/>
        <w:jc w:val="both"/>
        <w:rPr/>
      </w:pPr>
      <w:r>
        <w:rPr>
          <w:sz w:val="20"/>
        </w:rPr>
        <w:t>Depreciation and amortization expenses were $</w:t>
      </w:r>
      <w:r>
        <w:rPr>
          <w:rFonts w:ascii="Times New Roman" w:hAnsi="Times New Roman"/>
          <w:sz w:val="20"/>
        </w:rPr>
        <w:t>106.7</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8.8</w:t>
      </w:r>
      <w:r>
        <w:rPr/>
        <w:t xml:space="preserve"> </w:t>
      </w:r>
      <w:r>
        <w:rPr>
          <w:sz w:val="20"/>
        </w:rPr>
        <w:t xml:space="preserve">million or </w:t>
      </w:r>
      <w:r>
        <w:rPr>
          <w:rFonts w:ascii="Times New Roman" w:hAnsi="Times New Roman"/>
          <w:sz w:val="20"/>
        </w:rPr>
        <w:t>9.0</w:t>
      </w:r>
      <w:r>
        <w:rPr>
          <w:sz w:val="20"/>
        </w:rPr>
        <w:t>%</w:t>
      </w:r>
      <w:r>
        <w:rPr/>
        <w:t> </w:t>
      </w:r>
      <w:r>
        <w:rPr>
          <w:sz w:val="20"/>
        </w:rPr>
        <w:t xml:space="preserve">compared to the same period in </w:t>
      </w:r>
      <w:r>
        <w:rPr>
          <w:rFonts w:ascii="Times New Roman" w:hAnsi="Times New Roman"/>
          <w:sz w:val="20"/>
        </w:rPr>
        <w:t>2024</w:t>
      </w:r>
      <w:r>
        <w:rPr>
          <w:sz w:val="20"/>
        </w:rPr>
        <w:t>.</w:t>
      </w:r>
      <w:r>
        <w:rPr/>
        <w:t> </w:t>
      </w:r>
      <w:r>
        <w:rPr>
          <w:sz w:val="20"/>
        </w:rPr>
        <w:t xml:space="preserve">As a percentage of revenues, these expenses </w:t>
      </w:r>
      <w:r>
        <w:rPr>
          <w:rFonts w:ascii="Times New Roman" w:hAnsi="Times New Roman"/>
          <w:sz w:val="20"/>
        </w:rPr>
        <w:t>decreased</w:t>
      </w:r>
      <w:r>
        <w:rPr/>
        <w:t xml:space="preserve"> </w:t>
      </w:r>
      <w:r>
        <w:rPr>
          <w:sz w:val="20"/>
        </w:rPr>
        <w:t xml:space="preserve">to </w:t>
      </w:r>
      <w:r>
        <w:rPr>
          <w:rFonts w:ascii="Times New Roman" w:hAnsi="Times New Roman"/>
          <w:sz w:val="20"/>
        </w:rPr>
        <w:t>8.3</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8.4</w:t>
      </w:r>
      <w:r>
        <w:rPr>
          <w:sz w:val="20"/>
        </w:rPr>
        <w:t xml:space="preserve">% for the same period in </w:t>
      </w:r>
      <w:r>
        <w:rPr>
          <w:rFonts w:ascii="Times New Roman" w:hAnsi="Times New Roman"/>
          <w:sz w:val="20"/>
        </w:rPr>
        <w:t>2024</w:t>
      </w:r>
      <w:r>
        <w:rPr>
          <w:sz w:val="20"/>
        </w:rPr>
        <w:t>.</w:t>
      </w:r>
    </w:p>
    <w:p>
      <w:pPr>
        <w:pStyle w:val="TextBody"/>
        <w:bidi w:val="0"/>
        <w:spacing w:lineRule="atLeast" w:line="240" w:before="0" w:after="200"/>
        <w:jc w:val="both"/>
        <w:rPr>
          <w:i/>
          <w:sz w:val="20"/>
        </w:rPr>
      </w:pPr>
      <w:r>
        <w:rPr>
          <w:i/>
          <w:sz w:val="20"/>
        </w:rPr>
        <w:t>Operating income</w:t>
      </w:r>
    </w:p>
    <w:p>
      <w:pPr>
        <w:pStyle w:val="TextBody"/>
        <w:bidi w:val="0"/>
        <w:spacing w:lineRule="atLeast" w:line="240" w:before="0" w:after="200"/>
        <w:jc w:val="both"/>
        <w:rPr/>
      </w:pPr>
      <w:r>
        <w:rPr>
          <w:sz w:val="20"/>
        </w:rPr>
        <w:t>EFT Processing Segment had operating income of $</w:t>
      </w:r>
      <w:r>
        <w:rPr>
          <w:rFonts w:ascii="Times New Roman" w:hAnsi="Times New Roman"/>
          <w:sz w:val="20"/>
        </w:rPr>
        <w:t>278.8</w:t>
      </w:r>
      <w:r>
        <w:rPr/>
        <w:t xml:space="preserve"> </w:t>
      </w:r>
      <w:r>
        <w:rPr>
          <w:sz w:val="20"/>
        </w:rPr>
        <w:t xml:space="preserve">million for the year ended </w:t>
      </w:r>
      <w:r>
        <w:rPr>
          <w:rFonts w:ascii="Times New Roman" w:hAnsi="Times New Roman"/>
          <w:sz w:val="20"/>
        </w:rPr>
        <w:t>December 31, 2025</w:t>
      </w:r>
      <w:r>
        <w:rPr>
          <w:sz w:val="20"/>
        </w:rPr>
        <w:t>, compared to operating income of $</w:t>
      </w:r>
      <w:r>
        <w:rPr>
          <w:rFonts w:ascii="Times New Roman" w:hAnsi="Times New Roman"/>
          <w:sz w:val="20"/>
        </w:rPr>
        <w:t>256.0</w:t>
      </w:r>
      <w:r>
        <w:rPr/>
        <w:t xml:space="preserve"> </w:t>
      </w:r>
      <w:r>
        <w:rPr>
          <w:sz w:val="20"/>
        </w:rPr>
        <w:t xml:space="preserve">million in </w:t>
      </w:r>
      <w:r>
        <w:rPr>
          <w:rFonts w:ascii="Times New Roman" w:hAnsi="Times New Roman"/>
          <w:sz w:val="20"/>
        </w:rPr>
        <w:t>2024</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22.8</w:t>
      </w:r>
      <w:r>
        <w:rPr/>
        <w:t xml:space="preserve"> </w:t>
      </w:r>
      <w:r>
        <w:rPr>
          <w:sz w:val="20"/>
        </w:rPr>
        <w:t xml:space="preserve">million compared to the same period in </w:t>
      </w:r>
      <w:r>
        <w:rPr>
          <w:rFonts w:ascii="Times New Roman" w:hAnsi="Times New Roman"/>
          <w:sz w:val="20"/>
        </w:rPr>
        <w:t>2024</w:t>
      </w:r>
      <w:r>
        <w:rPr>
          <w:sz w:val="20"/>
        </w:rPr>
        <w:t xml:space="preserve">. Operating income as a percentage of revenues (“operating margin”) decreased to </w:t>
      </w:r>
      <w:r>
        <w:rPr>
          <w:rFonts w:ascii="Times New Roman" w:hAnsi="Times New Roman"/>
          <w:sz w:val="20"/>
        </w:rPr>
        <w:t>21.7</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22.0</w:t>
      </w:r>
      <w:r>
        <w:rPr>
          <w:sz w:val="20"/>
        </w:rPr>
        <w:t xml:space="preserve">% for the same period in </w:t>
      </w:r>
      <w:r>
        <w:rPr>
          <w:rFonts w:ascii="Times New Roman" w:hAnsi="Times New Roman"/>
          <w:sz w:val="20"/>
        </w:rPr>
        <w:t>2024</w:t>
      </w:r>
      <w:r>
        <w:rPr>
          <w:sz w:val="20"/>
        </w:rPr>
        <w:t>. Operating income per transaction was $</w:t>
      </w:r>
      <w:r>
        <w:rPr>
          <w:rFonts w:ascii="Times New Roman" w:hAnsi="Times New Roman"/>
          <w:sz w:val="20"/>
        </w:rPr>
        <w:t>0.02</w:t>
      </w:r>
      <w:r>
        <w:rPr/>
        <w:t xml:space="preserve"> </w:t>
      </w:r>
      <w:r>
        <w:rPr>
          <w:sz w:val="20"/>
        </w:rPr>
        <w:t>in both periods.</w:t>
      </w:r>
      <w:r>
        <w:rPr/>
        <w:t>  </w:t>
      </w:r>
      <w:r>
        <w:rPr>
          <w:sz w:val="20"/>
        </w:rPr>
        <w:t>The increase in operating income</w:t>
      </w:r>
      <w:r>
        <w:rPr/>
        <w:t> </w:t>
      </w:r>
      <w:r>
        <w:rPr>
          <w:sz w:val="20"/>
        </w:rPr>
        <w:t>was primarily driven by the increase in transactions.</w:t>
      </w:r>
    </w:p>
    <w:p>
      <w:pPr>
        <w:pStyle w:val="TextBody"/>
        <w:bidi w:val="0"/>
        <w:spacing w:lineRule="atLeast" w:line="240" w:before="0" w:after="0"/>
        <w:jc w:val="both"/>
        <w:rPr/>
      </w:pPr>
      <w:r>
        <w:rPr>
          <w:b/>
          <w:sz w:val="20"/>
        </w:rPr>
        <w:t>epay Segment</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following table summarizes the results of operations for our epay Segment for the years ended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w:t>
      </w:r>
    </w:p>
    <w:p>
      <w:pPr>
        <w:pStyle w:val="TextBody"/>
        <w:bidi w:val="0"/>
        <w:spacing w:lineRule="atLeast" w:line="240" w:before="0" w:after="0"/>
        <w:jc w:val="both"/>
        <w:rPr/>
      </w:pPr>
      <w:r>
        <w:rPr/>
        <w:t> </w:t>
      </w:r>
    </w:p>
    <w:tbl>
      <w:tblPr>
        <w:tblW w:w="9212" w:type="dxa"/>
        <w:jc w:val="left"/>
        <w:tblInd w:w="0" w:type="dxa"/>
        <w:tblLayout w:type="fixed"/>
        <w:tblCellMar>
          <w:top w:w="0" w:type="dxa"/>
          <w:left w:w="0" w:type="dxa"/>
          <w:bottom w:w="0" w:type="dxa"/>
          <w:right w:w="0" w:type="dxa"/>
        </w:tblCellMar>
      </w:tblPr>
      <w:tblGrid>
        <w:gridCol w:w="2870"/>
        <w:gridCol w:w="60"/>
        <w:gridCol w:w="125"/>
        <w:gridCol w:w="833"/>
        <w:gridCol w:w="78"/>
        <w:gridCol w:w="164"/>
        <w:gridCol w:w="833"/>
        <w:gridCol w:w="60"/>
        <w:gridCol w:w="509"/>
        <w:gridCol w:w="1550"/>
        <w:gridCol w:w="86"/>
        <w:gridCol w:w="1460"/>
        <w:gridCol w:w="584"/>
      </w:tblGrid>
      <w:tr>
        <w:trPr/>
        <w:tc>
          <w:tcPr>
            <w:tcW w:w="287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25" w:type="dxa"/>
            <w:tcBorders>
              <w:bottom w:val="single" w:sz="8" w:space="0" w:color="000000"/>
            </w:tcBorders>
            <w:tcMar>
              <w:bottom w:w="28" w:type="dxa"/>
            </w:tcMar>
            <w:vAlign w:val="center"/>
          </w:tcPr>
          <w:p>
            <w:pPr>
              <w:pStyle w:val="TableContents"/>
              <w:bidi w:val="0"/>
              <w:spacing w:lineRule="atLeast" w:line="240" w:before="0" w:after="0"/>
              <w:jc w:val="left"/>
              <w:rPr/>
            </w:pPr>
            <w:r>
              <w:rPr/>
              <w:t> </w:t>
            </w:r>
          </w:p>
        </w:tc>
        <w:tc>
          <w:tcPr>
            <w:tcW w:w="1908" w:type="dxa"/>
            <w:gridSpan w:val="4"/>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60" w:type="dxa"/>
            <w:tcBorders/>
            <w:vAlign w:val="center"/>
          </w:tcPr>
          <w:p>
            <w:pPr>
              <w:pStyle w:val="TableContents"/>
              <w:bidi w:val="0"/>
              <w:spacing w:lineRule="atLeast" w:line="240" w:before="0" w:after="0"/>
              <w:jc w:val="left"/>
              <w:rPr/>
            </w:pPr>
            <w:r>
              <w:rPr/>
              <w:t> </w:t>
            </w:r>
          </w:p>
        </w:tc>
        <w:tc>
          <w:tcPr>
            <w:tcW w:w="4189"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-over-Year Change</w:t>
            </w:r>
          </w:p>
        </w:tc>
      </w:tr>
      <w:tr>
        <w:trPr/>
        <w:tc>
          <w:tcPr>
            <w:tcW w:w="287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95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78"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99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lineRule="atLeast" w:line="240" w:before="0" w:after="0"/>
              <w:jc w:val="left"/>
              <w:rPr/>
            </w:pPr>
            <w:r>
              <w:rPr/>
              <w:t> </w:t>
            </w:r>
          </w:p>
        </w:tc>
        <w:tc>
          <w:tcPr>
            <w:tcW w:w="20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Amount</w:t>
            </w:r>
          </w:p>
        </w:tc>
        <w:tc>
          <w:tcPr>
            <w:tcW w:w="86"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20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Percent</w:t>
            </w:r>
          </w:p>
        </w:tc>
      </w:tr>
      <w:tr>
        <w:trPr/>
        <w:tc>
          <w:tcPr>
            <w:tcW w:w="287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1,187.6</w:t>
            </w:r>
          </w:p>
        </w:tc>
        <w:tc>
          <w:tcPr>
            <w:tcW w:w="78" w:type="dxa"/>
            <w:tcBorders/>
            <w:shd w:fill="CCEEFF" w:val="clear"/>
            <w:vAlign w:val="center"/>
          </w:tcPr>
          <w:p>
            <w:pPr>
              <w:pStyle w:val="TableContents"/>
              <w:bidi w:val="0"/>
              <w:spacing w:lineRule="atLeast" w:line="240" w:before="0" w:after="0"/>
              <w:jc w:val="left"/>
              <w:rPr/>
            </w:pPr>
            <w:r>
              <w:rPr/>
              <w:t> </w:t>
            </w:r>
          </w:p>
        </w:tc>
        <w:tc>
          <w:tcPr>
            <w:tcW w:w="1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1,150.5</w:t>
            </w:r>
          </w:p>
        </w:tc>
        <w:tc>
          <w:tcPr>
            <w:tcW w:w="60" w:type="dxa"/>
            <w:tcBorders/>
            <w:shd w:fill="CCEEFF" w:val="clear"/>
            <w:vAlign w:val="center"/>
          </w:tcPr>
          <w:p>
            <w:pPr>
              <w:pStyle w:val="TableContents"/>
              <w:bidi w:val="0"/>
              <w:spacing w:lineRule="atLeast" w:line="240" w:before="0" w:after="0"/>
              <w:jc w:val="left"/>
              <w:rPr/>
            </w:pPr>
            <w:r>
              <w:rPr/>
              <w:t> </w:t>
            </w:r>
          </w:p>
        </w:tc>
        <w:tc>
          <w:tcPr>
            <w:tcW w:w="5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5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37.1</w:t>
            </w:r>
          </w:p>
        </w:tc>
        <w:tc>
          <w:tcPr>
            <w:tcW w:w="86" w:type="dxa"/>
            <w:tcBorders/>
            <w:shd w:fill="CCEEFF" w:val="clear"/>
            <w:vAlign w:val="center"/>
          </w:tcPr>
          <w:p>
            <w:pPr>
              <w:pStyle w:val="TableContents"/>
              <w:bidi w:val="0"/>
              <w:spacing w:lineRule="atLeast" w:line="240" w:before="0" w:after="0"/>
              <w:jc w:val="left"/>
              <w:rPr/>
            </w:pPr>
            <w:r>
              <w:rPr/>
              <w:t> </w:t>
            </w:r>
          </w:p>
        </w:tc>
        <w:tc>
          <w:tcPr>
            <w:tcW w:w="146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3.2</w:t>
            </w:r>
          </w:p>
        </w:tc>
        <w:tc>
          <w:tcPr>
            <w:tcW w:w="584"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833"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78" w:type="dxa"/>
            <w:tcBorders/>
            <w:shd w:fill="FFFFFF" w:val="clear"/>
            <w:vAlign w:val="center"/>
          </w:tcPr>
          <w:p>
            <w:pPr>
              <w:pStyle w:val="TableContents"/>
              <w:bidi w:val="0"/>
              <w:spacing w:lineRule="atLeast" w:line="240" w:before="0" w:after="0"/>
              <w:jc w:val="left"/>
              <w:rPr/>
            </w:pPr>
            <w:r>
              <w:rPr/>
              <w:t> </w:t>
            </w:r>
          </w:p>
        </w:tc>
        <w:tc>
          <w:tcPr>
            <w:tcW w:w="164"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833"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0" w:type="dxa"/>
            <w:tcBorders/>
            <w:shd w:fill="FFFFFF" w:val="clear"/>
            <w:vAlign w:val="center"/>
          </w:tcPr>
          <w:p>
            <w:pPr>
              <w:pStyle w:val="TableContents"/>
              <w:bidi w:val="0"/>
              <w:spacing w:lineRule="atLeast" w:line="240" w:before="0" w:after="0"/>
              <w:jc w:val="left"/>
              <w:rPr/>
            </w:pPr>
            <w:r>
              <w:rPr/>
              <w:t> </w:t>
            </w:r>
          </w:p>
        </w:tc>
        <w:tc>
          <w:tcPr>
            <w:tcW w:w="509"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1550"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86" w:type="dxa"/>
            <w:tcBorders/>
            <w:shd w:fill="FFFFFF" w:val="clear"/>
            <w:vAlign w:val="center"/>
          </w:tcPr>
          <w:p>
            <w:pPr>
              <w:pStyle w:val="TableContents"/>
              <w:bidi w:val="0"/>
              <w:spacing w:lineRule="atLeast" w:line="240" w:before="0" w:after="0"/>
              <w:jc w:val="left"/>
              <w:rPr/>
            </w:pPr>
            <w:r>
              <w:rPr/>
              <w:t> </w:t>
            </w:r>
          </w:p>
        </w:tc>
        <w:tc>
          <w:tcPr>
            <w:tcW w:w="1460" w:type="dxa"/>
            <w:tcBorders/>
            <w:shd w:fill="FFFFFF" w:val="clear"/>
            <w:vAlign w:val="center"/>
          </w:tcPr>
          <w:p>
            <w:pPr>
              <w:pStyle w:val="TableContents"/>
              <w:bidi w:val="0"/>
              <w:spacing w:lineRule="atLeast" w:line="240" w:before="0" w:after="0"/>
              <w:jc w:val="right"/>
              <w:rPr/>
            </w:pPr>
            <w:r>
              <w:rPr/>
              <w:t> </w:t>
            </w:r>
          </w:p>
        </w:tc>
        <w:tc>
          <w:tcPr>
            <w:tcW w:w="584" w:type="dxa"/>
            <w:tcBorders/>
            <w:shd w:fill="FFFFFF" w:val="clear"/>
            <w:vAlign w:val="center"/>
          </w:tcPr>
          <w:p>
            <w:pPr>
              <w:pStyle w:val="TableContents"/>
              <w:bidi w:val="0"/>
              <w:spacing w:lineRule="atLeast" w:line="240" w:before="0" w:after="0"/>
              <w:jc w:val="left"/>
              <w:rPr/>
            </w:pPr>
            <w:r>
              <w:rPr/>
              <w:t> </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833"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891.8</w:t>
            </w:r>
          </w:p>
        </w:tc>
        <w:tc>
          <w:tcPr>
            <w:tcW w:w="78" w:type="dxa"/>
            <w:tcBorders/>
            <w:shd w:fill="CCEEFF" w:val="clear"/>
            <w:vAlign w:val="center"/>
          </w:tcPr>
          <w:p>
            <w:pPr>
              <w:pStyle w:val="TableContents"/>
              <w:bidi w:val="0"/>
              <w:spacing w:lineRule="atLeast" w:line="240" w:before="0" w:after="0"/>
              <w:jc w:val="left"/>
              <w:rPr/>
            </w:pPr>
            <w:r>
              <w:rPr/>
              <w:t> </w:t>
            </w:r>
          </w:p>
        </w:tc>
        <w:tc>
          <w:tcPr>
            <w:tcW w:w="164" w:type="dxa"/>
            <w:tcBorders/>
            <w:shd w:fill="CCEEFF" w:val="clear"/>
            <w:vAlign w:val="center"/>
          </w:tcPr>
          <w:p>
            <w:pPr>
              <w:pStyle w:val="TableContents"/>
              <w:bidi w:val="0"/>
              <w:spacing w:lineRule="atLeast" w:line="240" w:before="0" w:after="0"/>
              <w:jc w:val="left"/>
              <w:rPr/>
            </w:pPr>
            <w:r>
              <w:rPr/>
              <w:t> </w:t>
            </w:r>
          </w:p>
        </w:tc>
        <w:tc>
          <w:tcPr>
            <w:tcW w:w="833"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872.7</w:t>
            </w:r>
          </w:p>
        </w:tc>
        <w:tc>
          <w:tcPr>
            <w:tcW w:w="60" w:type="dxa"/>
            <w:tcBorders/>
            <w:shd w:fill="CCEEFF" w:val="clear"/>
            <w:vAlign w:val="center"/>
          </w:tcPr>
          <w:p>
            <w:pPr>
              <w:pStyle w:val="TableContents"/>
              <w:bidi w:val="0"/>
              <w:spacing w:lineRule="atLeast" w:line="240" w:before="0" w:after="0"/>
              <w:jc w:val="left"/>
              <w:rPr/>
            </w:pPr>
            <w:r>
              <w:rPr/>
              <w:t> </w:t>
            </w:r>
          </w:p>
        </w:tc>
        <w:tc>
          <w:tcPr>
            <w:tcW w:w="509" w:type="dxa"/>
            <w:tcBorders/>
            <w:shd w:fill="CCEEFF" w:val="clear"/>
            <w:vAlign w:val="center"/>
          </w:tcPr>
          <w:p>
            <w:pPr>
              <w:pStyle w:val="TableContents"/>
              <w:bidi w:val="0"/>
              <w:spacing w:lineRule="atLeast" w:line="240" w:before="0" w:after="0"/>
              <w:jc w:val="left"/>
              <w:rPr/>
            </w:pPr>
            <w:r>
              <w:rPr/>
              <w:t> </w:t>
            </w:r>
          </w:p>
        </w:tc>
        <w:tc>
          <w:tcPr>
            <w:tcW w:w="15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19.1</w:t>
            </w:r>
          </w:p>
        </w:tc>
        <w:tc>
          <w:tcPr>
            <w:tcW w:w="86" w:type="dxa"/>
            <w:tcBorders/>
            <w:shd w:fill="CCEEFF" w:val="clear"/>
            <w:vAlign w:val="center"/>
          </w:tcPr>
          <w:p>
            <w:pPr>
              <w:pStyle w:val="TableContents"/>
              <w:bidi w:val="0"/>
              <w:spacing w:lineRule="atLeast" w:line="240" w:before="0" w:after="0"/>
              <w:jc w:val="left"/>
              <w:rPr/>
            </w:pPr>
            <w:r>
              <w:rPr/>
              <w:t> </w:t>
            </w:r>
          </w:p>
        </w:tc>
        <w:tc>
          <w:tcPr>
            <w:tcW w:w="146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2.2</w:t>
            </w:r>
          </w:p>
        </w:tc>
        <w:tc>
          <w:tcPr>
            <w:tcW w:w="584"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833"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108.6</w:t>
            </w:r>
          </w:p>
        </w:tc>
        <w:tc>
          <w:tcPr>
            <w:tcW w:w="78" w:type="dxa"/>
            <w:tcBorders/>
            <w:shd w:fill="FFFFFF" w:val="clear"/>
            <w:vAlign w:val="center"/>
          </w:tcPr>
          <w:p>
            <w:pPr>
              <w:pStyle w:val="TableContents"/>
              <w:bidi w:val="0"/>
              <w:spacing w:lineRule="atLeast" w:line="240" w:before="0" w:after="0"/>
              <w:jc w:val="left"/>
              <w:rPr/>
            </w:pPr>
            <w:r>
              <w:rPr/>
              <w:t> </w:t>
            </w:r>
          </w:p>
        </w:tc>
        <w:tc>
          <w:tcPr>
            <w:tcW w:w="164" w:type="dxa"/>
            <w:tcBorders/>
            <w:shd w:fill="FFFFFF" w:val="clear"/>
            <w:vAlign w:val="center"/>
          </w:tcPr>
          <w:p>
            <w:pPr>
              <w:pStyle w:val="TableContents"/>
              <w:bidi w:val="0"/>
              <w:spacing w:lineRule="atLeast" w:line="240" w:before="0" w:after="0"/>
              <w:jc w:val="left"/>
              <w:rPr/>
            </w:pPr>
            <w:r>
              <w:rPr/>
              <w:t> </w:t>
            </w:r>
          </w:p>
        </w:tc>
        <w:tc>
          <w:tcPr>
            <w:tcW w:w="833"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102.0</w:t>
            </w:r>
          </w:p>
        </w:tc>
        <w:tc>
          <w:tcPr>
            <w:tcW w:w="60" w:type="dxa"/>
            <w:tcBorders/>
            <w:shd w:fill="FFFFFF" w:val="clear"/>
            <w:vAlign w:val="center"/>
          </w:tcPr>
          <w:p>
            <w:pPr>
              <w:pStyle w:val="TableContents"/>
              <w:bidi w:val="0"/>
              <w:spacing w:lineRule="atLeast" w:line="240" w:before="0" w:after="0"/>
              <w:jc w:val="left"/>
              <w:rPr/>
            </w:pPr>
            <w:r>
              <w:rPr/>
              <w:t> </w:t>
            </w:r>
          </w:p>
        </w:tc>
        <w:tc>
          <w:tcPr>
            <w:tcW w:w="509" w:type="dxa"/>
            <w:tcBorders/>
            <w:shd w:fill="FFFFFF" w:val="clear"/>
            <w:vAlign w:val="center"/>
          </w:tcPr>
          <w:p>
            <w:pPr>
              <w:pStyle w:val="TableContents"/>
              <w:bidi w:val="0"/>
              <w:spacing w:lineRule="atLeast" w:line="240" w:before="0" w:after="0"/>
              <w:jc w:val="left"/>
              <w:rPr/>
            </w:pPr>
            <w:r>
              <w:rPr/>
              <w:t> </w:t>
            </w:r>
          </w:p>
        </w:tc>
        <w:tc>
          <w:tcPr>
            <w:tcW w:w="15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6.6</w:t>
            </w:r>
          </w:p>
        </w:tc>
        <w:tc>
          <w:tcPr>
            <w:tcW w:w="86" w:type="dxa"/>
            <w:tcBorders/>
            <w:shd w:fill="FFFFFF" w:val="clear"/>
            <w:vAlign w:val="center"/>
          </w:tcPr>
          <w:p>
            <w:pPr>
              <w:pStyle w:val="TableContents"/>
              <w:bidi w:val="0"/>
              <w:spacing w:lineRule="atLeast" w:line="240" w:before="0" w:after="0"/>
              <w:jc w:val="left"/>
              <w:rPr/>
            </w:pPr>
            <w:r>
              <w:rPr/>
              <w:t> </w:t>
            </w:r>
          </w:p>
        </w:tc>
        <w:tc>
          <w:tcPr>
            <w:tcW w:w="146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6.5</w:t>
            </w:r>
          </w:p>
        </w:tc>
        <w:tc>
          <w:tcPr>
            <w:tcW w:w="584"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833"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44.7</w:t>
            </w:r>
          </w:p>
        </w:tc>
        <w:tc>
          <w:tcPr>
            <w:tcW w:w="78" w:type="dxa"/>
            <w:tcBorders/>
            <w:shd w:fill="CCEEFF" w:val="clear"/>
            <w:vAlign w:val="center"/>
          </w:tcPr>
          <w:p>
            <w:pPr>
              <w:pStyle w:val="TableContents"/>
              <w:bidi w:val="0"/>
              <w:spacing w:lineRule="atLeast" w:line="240" w:before="0" w:after="0"/>
              <w:jc w:val="left"/>
              <w:rPr/>
            </w:pPr>
            <w:r>
              <w:rPr/>
              <w:t> </w:t>
            </w:r>
          </w:p>
        </w:tc>
        <w:tc>
          <w:tcPr>
            <w:tcW w:w="164" w:type="dxa"/>
            <w:tcBorders/>
            <w:shd w:fill="CCEEFF" w:val="clear"/>
            <w:vAlign w:val="center"/>
          </w:tcPr>
          <w:p>
            <w:pPr>
              <w:pStyle w:val="TableContents"/>
              <w:bidi w:val="0"/>
              <w:spacing w:lineRule="atLeast" w:line="240" w:before="0" w:after="0"/>
              <w:jc w:val="left"/>
              <w:rPr/>
            </w:pPr>
            <w:r>
              <w:rPr/>
              <w:t> </w:t>
            </w:r>
          </w:p>
        </w:tc>
        <w:tc>
          <w:tcPr>
            <w:tcW w:w="833"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38.6</w:t>
            </w:r>
          </w:p>
        </w:tc>
        <w:tc>
          <w:tcPr>
            <w:tcW w:w="60" w:type="dxa"/>
            <w:tcBorders/>
            <w:shd w:fill="CCEEFF" w:val="clear"/>
            <w:vAlign w:val="center"/>
          </w:tcPr>
          <w:p>
            <w:pPr>
              <w:pStyle w:val="TableContents"/>
              <w:bidi w:val="0"/>
              <w:spacing w:lineRule="atLeast" w:line="240" w:before="0" w:after="0"/>
              <w:jc w:val="left"/>
              <w:rPr/>
            </w:pPr>
            <w:r>
              <w:rPr/>
              <w:t> </w:t>
            </w:r>
          </w:p>
        </w:tc>
        <w:tc>
          <w:tcPr>
            <w:tcW w:w="509" w:type="dxa"/>
            <w:tcBorders/>
            <w:shd w:fill="CCEEFF" w:val="clear"/>
            <w:vAlign w:val="center"/>
          </w:tcPr>
          <w:p>
            <w:pPr>
              <w:pStyle w:val="TableContents"/>
              <w:bidi w:val="0"/>
              <w:spacing w:lineRule="atLeast" w:line="240" w:before="0" w:after="0"/>
              <w:jc w:val="left"/>
              <w:rPr/>
            </w:pPr>
            <w:r>
              <w:rPr/>
              <w:t> </w:t>
            </w:r>
          </w:p>
        </w:tc>
        <w:tc>
          <w:tcPr>
            <w:tcW w:w="15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6.1</w:t>
            </w:r>
          </w:p>
        </w:tc>
        <w:tc>
          <w:tcPr>
            <w:tcW w:w="86" w:type="dxa"/>
            <w:tcBorders/>
            <w:shd w:fill="CCEEFF" w:val="clear"/>
            <w:vAlign w:val="center"/>
          </w:tcPr>
          <w:p>
            <w:pPr>
              <w:pStyle w:val="TableContents"/>
              <w:bidi w:val="0"/>
              <w:spacing w:lineRule="atLeast" w:line="240" w:before="0" w:after="0"/>
              <w:jc w:val="left"/>
              <w:rPr/>
            </w:pPr>
            <w:r>
              <w:rPr/>
              <w:t> </w:t>
            </w:r>
          </w:p>
        </w:tc>
        <w:tc>
          <w:tcPr>
            <w:tcW w:w="146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15.8</w:t>
            </w:r>
          </w:p>
        </w:tc>
        <w:tc>
          <w:tcPr>
            <w:tcW w:w="584"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6.3</w:t>
            </w:r>
          </w:p>
        </w:tc>
        <w:tc>
          <w:tcPr>
            <w:tcW w:w="78" w:type="dxa"/>
            <w:tcBorders/>
            <w:shd w:fill="FFFFFF" w:val="clear"/>
            <w:vAlign w:val="center"/>
          </w:tcPr>
          <w:p>
            <w:pPr>
              <w:pStyle w:val="TableContents"/>
              <w:bidi w:val="0"/>
              <w:spacing w:lineRule="atLeast" w:line="240" w:before="0" w:after="0"/>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833"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lineRule="atLeast" w:line="240" w:before="0" w:after="0"/>
              <w:jc w:val="left"/>
              <w:rPr/>
            </w:pPr>
            <w:r>
              <w:rPr/>
              <w:t> </w:t>
            </w:r>
          </w:p>
        </w:tc>
        <w:tc>
          <w:tcPr>
            <w:tcW w:w="509" w:type="dxa"/>
            <w:tcBorders/>
            <w:shd w:fill="FFFFFF" w:val="clear"/>
            <w:vAlign w:val="center"/>
          </w:tcPr>
          <w:p>
            <w:pPr>
              <w:pStyle w:val="TableContents"/>
              <w:bidi w:val="0"/>
              <w:spacing w:lineRule="atLeast" w:line="240" w:before="0" w:after="0"/>
              <w:jc w:val="left"/>
              <w:rPr/>
            </w:pPr>
            <w:r>
              <w:rPr/>
              <w:t> </w:t>
            </w:r>
          </w:p>
        </w:tc>
        <w:tc>
          <w:tcPr>
            <w:tcW w:w="1550"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w:t>
            </w:r>
          </w:p>
        </w:tc>
        <w:tc>
          <w:tcPr>
            <w:tcW w:w="86" w:type="dxa"/>
            <w:tcBorders/>
            <w:shd w:fill="FFFFFF" w:val="clear"/>
            <w:vAlign w:val="center"/>
          </w:tcPr>
          <w:p>
            <w:pPr>
              <w:pStyle w:val="TableContents"/>
              <w:bidi w:val="0"/>
              <w:spacing w:lineRule="atLeast" w:line="240" w:before="0" w:after="0"/>
              <w:jc w:val="left"/>
              <w:rPr/>
            </w:pPr>
            <w:r>
              <w:rPr/>
              <w:t> </w:t>
            </w:r>
          </w:p>
        </w:tc>
        <w:tc>
          <w:tcPr>
            <w:tcW w:w="146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(13.7)</w:t>
            </w:r>
          </w:p>
        </w:tc>
        <w:tc>
          <w:tcPr>
            <w:tcW w:w="584"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8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1,051.4</w:t>
            </w:r>
          </w:p>
        </w:tc>
        <w:tc>
          <w:tcPr>
            <w:tcW w:w="78" w:type="dxa"/>
            <w:tcBorders/>
            <w:shd w:fill="CCEEFF" w:val="clear"/>
            <w:vAlign w:val="center"/>
          </w:tcPr>
          <w:p>
            <w:pPr>
              <w:pStyle w:val="TableContents"/>
              <w:bidi w:val="0"/>
              <w:spacing w:lineRule="atLeast" w:line="240" w:before="0" w:after="0"/>
              <w:jc w:val="left"/>
              <w:rPr/>
            </w:pPr>
            <w:r>
              <w:rPr/>
              <w:t> </w:t>
            </w:r>
          </w:p>
        </w:tc>
        <w:tc>
          <w:tcPr>
            <w:tcW w:w="1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83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1,020.6</w:t>
            </w:r>
          </w:p>
        </w:tc>
        <w:tc>
          <w:tcPr>
            <w:tcW w:w="60" w:type="dxa"/>
            <w:tcBorders/>
            <w:shd w:fill="CCEEFF" w:val="clear"/>
            <w:vAlign w:val="center"/>
          </w:tcPr>
          <w:p>
            <w:pPr>
              <w:pStyle w:val="TableContents"/>
              <w:bidi w:val="0"/>
              <w:spacing w:lineRule="atLeast" w:line="240" w:before="0" w:after="0"/>
              <w:jc w:val="left"/>
              <w:rPr/>
            </w:pPr>
            <w:r>
              <w:rPr/>
              <w:t> </w:t>
            </w:r>
          </w:p>
        </w:tc>
        <w:tc>
          <w:tcPr>
            <w:tcW w:w="509" w:type="dxa"/>
            <w:tcBorders/>
            <w:shd w:fill="CCEEFF" w:val="clear"/>
            <w:vAlign w:val="center"/>
          </w:tcPr>
          <w:p>
            <w:pPr>
              <w:pStyle w:val="TableContents"/>
              <w:bidi w:val="0"/>
              <w:spacing w:lineRule="atLeast" w:line="240" w:before="0" w:after="0"/>
              <w:jc w:val="left"/>
              <w:rPr/>
            </w:pPr>
            <w:r>
              <w:rPr/>
              <w:t> </w:t>
            </w:r>
          </w:p>
        </w:tc>
        <w:tc>
          <w:tcPr>
            <w:tcW w:w="15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30.8</w:t>
            </w:r>
          </w:p>
        </w:tc>
        <w:tc>
          <w:tcPr>
            <w:tcW w:w="86" w:type="dxa"/>
            <w:tcBorders/>
            <w:shd w:fill="CCEEFF" w:val="clear"/>
            <w:vAlign w:val="center"/>
          </w:tcPr>
          <w:p>
            <w:pPr>
              <w:pStyle w:val="TableContents"/>
              <w:bidi w:val="0"/>
              <w:spacing w:lineRule="atLeast" w:line="240" w:before="0" w:after="0"/>
              <w:jc w:val="left"/>
              <w:rPr/>
            </w:pPr>
            <w:r>
              <w:rPr/>
              <w:t> </w:t>
            </w:r>
          </w:p>
        </w:tc>
        <w:tc>
          <w:tcPr>
            <w:tcW w:w="146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3.0</w:t>
            </w:r>
          </w:p>
        </w:tc>
        <w:tc>
          <w:tcPr>
            <w:tcW w:w="584"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576"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3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136.2</w:t>
            </w:r>
          </w:p>
        </w:tc>
        <w:tc>
          <w:tcPr>
            <w:tcW w:w="78" w:type="dxa"/>
            <w:tcBorders/>
            <w:shd w:fill="FFFFFF" w:val="clear"/>
            <w:vAlign w:val="center"/>
          </w:tcPr>
          <w:p>
            <w:pPr>
              <w:pStyle w:val="TableContents"/>
              <w:bidi w:val="0"/>
              <w:spacing w:lineRule="atLeast" w:line="240" w:before="0" w:after="0"/>
              <w:jc w:val="left"/>
              <w:rPr/>
            </w:pPr>
            <w:r>
              <w:rPr/>
              <w:t> </w:t>
            </w:r>
          </w:p>
        </w:tc>
        <w:tc>
          <w:tcPr>
            <w:tcW w:w="16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83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129.9</w:t>
            </w:r>
          </w:p>
        </w:tc>
        <w:tc>
          <w:tcPr>
            <w:tcW w:w="60" w:type="dxa"/>
            <w:tcBorders/>
            <w:shd w:fill="FFFFFF" w:val="clear"/>
            <w:vAlign w:val="center"/>
          </w:tcPr>
          <w:p>
            <w:pPr>
              <w:pStyle w:val="TableContents"/>
              <w:bidi w:val="0"/>
              <w:spacing w:lineRule="atLeast" w:line="240" w:before="0" w:after="0"/>
              <w:jc w:val="left"/>
              <w:rPr/>
            </w:pPr>
            <w:r>
              <w:rPr/>
              <w:t> </w:t>
            </w:r>
          </w:p>
        </w:tc>
        <w:tc>
          <w:tcPr>
            <w:tcW w:w="509" w:type="dxa"/>
            <w:tcBorders/>
            <w:shd w:fill="FFFFFF" w:val="clear"/>
            <w:vAlign w:val="center"/>
          </w:tcPr>
          <w:p>
            <w:pPr>
              <w:pStyle w:val="TableContents"/>
              <w:bidi w:val="0"/>
              <w:spacing w:lineRule="atLeast" w:line="240" w:before="0" w:after="0"/>
              <w:jc w:val="left"/>
              <w:rPr/>
            </w:pPr>
            <w:r>
              <w:rPr/>
              <w:t> </w:t>
            </w:r>
          </w:p>
        </w:tc>
        <w:tc>
          <w:tcPr>
            <w:tcW w:w="15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6.3</w:t>
            </w:r>
          </w:p>
        </w:tc>
        <w:tc>
          <w:tcPr>
            <w:tcW w:w="86" w:type="dxa"/>
            <w:tcBorders/>
            <w:shd w:fill="FFFFFF" w:val="clear"/>
            <w:vAlign w:val="center"/>
          </w:tcPr>
          <w:p>
            <w:pPr>
              <w:pStyle w:val="TableContents"/>
              <w:bidi w:val="0"/>
              <w:spacing w:lineRule="atLeast" w:line="240" w:before="0" w:after="0"/>
              <w:jc w:val="left"/>
              <w:rPr/>
            </w:pPr>
            <w:r>
              <w:rPr/>
              <w:t> </w:t>
            </w:r>
          </w:p>
        </w:tc>
        <w:tc>
          <w:tcPr>
            <w:tcW w:w="146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4.8</w:t>
            </w:r>
          </w:p>
        </w:tc>
        <w:tc>
          <w:tcPr>
            <w:tcW w:w="584"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Transactions processed (billions)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833"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4.58</w:t>
            </w:r>
          </w:p>
        </w:tc>
        <w:tc>
          <w:tcPr>
            <w:tcW w:w="78" w:type="dxa"/>
            <w:tcBorders/>
            <w:shd w:fill="CCEEFF" w:val="clear"/>
            <w:vAlign w:val="center"/>
          </w:tcPr>
          <w:p>
            <w:pPr>
              <w:pStyle w:val="TableContents"/>
              <w:bidi w:val="0"/>
              <w:spacing w:lineRule="atLeast" w:line="240" w:before="0" w:after="0"/>
              <w:jc w:val="left"/>
              <w:rPr/>
            </w:pPr>
            <w:r>
              <w:rPr/>
              <w:t> </w:t>
            </w:r>
          </w:p>
        </w:tc>
        <w:tc>
          <w:tcPr>
            <w:tcW w:w="164"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833"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4.37</w:t>
            </w:r>
          </w:p>
        </w:tc>
        <w:tc>
          <w:tcPr>
            <w:tcW w:w="60" w:type="dxa"/>
            <w:tcBorders/>
            <w:shd w:fill="CCEEFF" w:val="clear"/>
            <w:vAlign w:val="center"/>
          </w:tcPr>
          <w:p>
            <w:pPr>
              <w:pStyle w:val="TableContents"/>
              <w:bidi w:val="0"/>
              <w:spacing w:lineRule="atLeast" w:line="240" w:before="0" w:after="0"/>
              <w:jc w:val="left"/>
              <w:rPr/>
            </w:pPr>
            <w:r>
              <w:rPr/>
              <w:t> </w:t>
            </w:r>
          </w:p>
        </w:tc>
        <w:tc>
          <w:tcPr>
            <w:tcW w:w="509" w:type="dxa"/>
            <w:tcBorders/>
            <w:shd w:fill="CCEEFF" w:val="clear"/>
            <w:vAlign w:val="center"/>
          </w:tcPr>
          <w:p>
            <w:pPr>
              <w:pStyle w:val="TableContents"/>
              <w:bidi w:val="0"/>
              <w:spacing w:lineRule="atLeast" w:line="240" w:before="0" w:after="0"/>
              <w:jc w:val="left"/>
              <w:rPr/>
            </w:pPr>
            <w:r>
              <w:rPr/>
              <w:t> </w:t>
            </w:r>
          </w:p>
        </w:tc>
        <w:tc>
          <w:tcPr>
            <w:tcW w:w="1550"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0.2</w:t>
            </w:r>
          </w:p>
        </w:tc>
        <w:tc>
          <w:tcPr>
            <w:tcW w:w="86" w:type="dxa"/>
            <w:tcBorders/>
            <w:shd w:fill="CCEEFF" w:val="clear"/>
            <w:vAlign w:val="center"/>
          </w:tcPr>
          <w:p>
            <w:pPr>
              <w:pStyle w:val="TableContents"/>
              <w:bidi w:val="0"/>
              <w:spacing w:lineRule="atLeast" w:line="240" w:before="0" w:after="0"/>
              <w:jc w:val="left"/>
              <w:rPr/>
            </w:pPr>
            <w:r>
              <w:rPr/>
              <w:t> </w:t>
            </w:r>
          </w:p>
        </w:tc>
        <w:tc>
          <w:tcPr>
            <w:tcW w:w="146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4.8</w:t>
            </w:r>
          </w:p>
        </w:tc>
        <w:tc>
          <w:tcPr>
            <w:tcW w:w="584"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bl>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Revenues</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epay Segment total revenues</w:t>
      </w:r>
      <w:r>
        <w:rPr/>
        <w:t> </w:t>
      </w:r>
      <w:r>
        <w:rPr>
          <w:sz w:val="20"/>
        </w:rPr>
        <w:t>were $</w:t>
      </w:r>
      <w:r>
        <w:rPr>
          <w:rFonts w:ascii="Times New Roman" w:hAnsi="Times New Roman"/>
          <w:sz w:val="20"/>
        </w:rPr>
        <w:t>1,187.6</w:t>
      </w:r>
      <w:r>
        <w:rPr/>
        <w:t xml:space="preserve"> </w:t>
      </w:r>
      <w:r>
        <w:rPr>
          <w:sz w:val="20"/>
        </w:rPr>
        <w:t>million</w:t>
      </w:r>
      <w:r>
        <w:rPr/>
        <w:t> </w:t>
      </w:r>
      <w:r>
        <w:rPr>
          <w:sz w:val="20"/>
        </w:rPr>
        <w:t xml:space="preserve">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 xml:space="preserve">37.1 </w:t>
      </w:r>
      <w:r>
        <w:rPr>
          <w:sz w:val="20"/>
        </w:rPr>
        <w:t>million</w:t>
      </w:r>
      <w:r>
        <w:rPr/>
        <w:t> </w:t>
      </w:r>
      <w:r>
        <w:rPr>
          <w:sz w:val="20"/>
        </w:rPr>
        <w:t xml:space="preserve">or </w:t>
      </w:r>
      <w:r>
        <w:rPr>
          <w:rFonts w:ascii="Times New Roman" w:hAnsi="Times New Roman"/>
          <w:sz w:val="20"/>
        </w:rPr>
        <w:t>3.2</w:t>
      </w:r>
      <w:r>
        <w:rPr>
          <w:sz w:val="20"/>
        </w:rPr>
        <w:t xml:space="preserve">% compared to the same period in </w:t>
      </w:r>
      <w:r>
        <w:rPr>
          <w:rFonts w:ascii="Times New Roman" w:hAnsi="Times New Roman"/>
          <w:sz w:val="20"/>
        </w:rPr>
        <w:t>2024</w:t>
      </w:r>
      <w:r>
        <w:rPr>
          <w:sz w:val="20"/>
        </w:rPr>
        <w:t>. Foreign currency movements increased revenues by approximately $</w:t>
      </w:r>
      <w:r>
        <w:rPr>
          <w:rFonts w:ascii="Times New Roman" w:hAnsi="Times New Roman"/>
          <w:sz w:val="20"/>
        </w:rPr>
        <w:t>26.0</w:t>
      </w:r>
      <w:r>
        <w:rPr/>
        <w:t xml:space="preserve"> </w:t>
      </w:r>
      <w:r>
        <w:rPr>
          <w:sz w:val="20"/>
        </w:rPr>
        <w:t xml:space="preserve">million for the year ended </w:t>
      </w:r>
      <w:r>
        <w:rPr>
          <w:rFonts w:ascii="Times New Roman" w:hAnsi="Times New Roman"/>
          <w:sz w:val="20"/>
        </w:rPr>
        <w:t>December 31, 2025</w:t>
      </w:r>
      <w:r>
        <w:rPr>
          <w:sz w:val="20"/>
        </w:rPr>
        <w:t>,</w:t>
      </w:r>
      <w:r>
        <w:rPr/>
        <w:t> </w:t>
      </w:r>
      <w:r>
        <w:rPr>
          <w:sz w:val="20"/>
        </w:rPr>
        <w:t xml:space="preserve">compared to the same period in </w:t>
      </w:r>
      <w:r>
        <w:rPr>
          <w:rFonts w:ascii="Times New Roman" w:hAnsi="Times New Roman"/>
          <w:sz w:val="20"/>
        </w:rPr>
        <w:t>2024</w:t>
      </w:r>
      <w:r>
        <w:rPr>
          <w:sz w:val="20"/>
        </w:rPr>
        <w:t>. The increase in revenues was driven by continued expansion of digital media and mobile sales.</w:t>
      </w:r>
      <w:r>
        <w:rPr/>
        <w:t> </w:t>
      </w:r>
      <w:r>
        <w:rPr>
          <w:sz w:val="20"/>
        </w:rPr>
        <w:t>Revenue per transaction was $</w:t>
      </w:r>
      <w:r>
        <w:rPr>
          <w:rFonts w:ascii="Times New Roman" w:hAnsi="Times New Roman"/>
          <w:sz w:val="20"/>
        </w:rPr>
        <w:t>0.26</w:t>
      </w:r>
      <w:r>
        <w:rPr/>
        <w:t xml:space="preserve"> </w:t>
      </w:r>
      <w:r>
        <w:rPr>
          <w:sz w:val="20"/>
        </w:rPr>
        <w:t xml:space="preserve">in both periods. </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i/>
          <w:sz w:val="20"/>
        </w:rPr>
      </w:pPr>
      <w:r>
        <w:rPr>
          <w:i/>
          <w:sz w:val="20"/>
        </w:rPr>
        <w:t>Direct operating costs</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epay Segment direct operating costs were $</w:t>
      </w:r>
      <w:r>
        <w:rPr>
          <w:rFonts w:ascii="Times New Roman" w:hAnsi="Times New Roman"/>
          <w:sz w:val="20"/>
        </w:rPr>
        <w:t>891.8</w:t>
      </w:r>
      <w:r>
        <w:rPr/>
        <w:t xml:space="preserve"> </w:t>
      </w:r>
      <w:r>
        <w:rPr>
          <w:sz w:val="20"/>
        </w:rPr>
        <w:t>million</w:t>
      </w:r>
      <w:r>
        <w:rPr/>
        <w:t> </w:t>
      </w:r>
      <w:r>
        <w:rPr>
          <w:sz w:val="20"/>
        </w:rPr>
        <w:t>for the year</w:t>
      </w:r>
      <w:r>
        <w:rPr/>
        <w:t> </w:t>
      </w:r>
      <w:r>
        <w:rPr>
          <w:sz w:val="20"/>
        </w:rPr>
        <w:t xml:space="preserve">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19.1</w:t>
      </w:r>
      <w:r>
        <w:rPr/>
        <w:t xml:space="preserve"> </w:t>
      </w:r>
      <w:r>
        <w:rPr>
          <w:sz w:val="20"/>
        </w:rPr>
        <w:t>million</w:t>
      </w:r>
      <w:r>
        <w:rPr/>
        <w:t> </w:t>
      </w:r>
      <w:r>
        <w:rPr>
          <w:sz w:val="20"/>
        </w:rPr>
        <w:t xml:space="preserve">or </w:t>
      </w:r>
      <w:r>
        <w:rPr>
          <w:rFonts w:ascii="Times New Roman" w:hAnsi="Times New Roman"/>
          <w:sz w:val="20"/>
        </w:rPr>
        <w:t>2.2</w:t>
      </w:r>
      <w:r>
        <w:rPr>
          <w:sz w:val="20"/>
        </w:rPr>
        <w:t>%</w:t>
      </w:r>
      <w:r>
        <w:rPr/>
        <w:t> </w:t>
      </w:r>
      <w:r>
        <w:rPr>
          <w:sz w:val="20"/>
        </w:rPr>
        <w:t xml:space="preserve">compared to the same period in </w:t>
      </w:r>
      <w:r>
        <w:rPr>
          <w:rFonts w:ascii="Times New Roman" w:hAnsi="Times New Roman"/>
          <w:sz w:val="20"/>
        </w:rPr>
        <w:t>2024</w:t>
      </w:r>
      <w:r>
        <w:rPr>
          <w:sz w:val="20"/>
        </w:rPr>
        <w:t>.</w:t>
      </w:r>
      <w:r>
        <w:rPr/>
        <w:t> </w:t>
      </w:r>
      <w:r>
        <w:rPr>
          <w:sz w:val="20"/>
        </w:rPr>
        <w:t>Direct operating costs primarily consist of the commissions paid to retail merchants for the distribution and sale of prepaid mobile airtime and other prepaid products, expenses incurred to operate POS terminals and the cost of vouchers sold and physical gifts fulfilled. Foreign currency movements increased</w:t>
      </w:r>
      <w:r>
        <w:rPr/>
        <w:t> </w:t>
      </w:r>
      <w:r>
        <w:rPr>
          <w:sz w:val="20"/>
        </w:rPr>
        <w:t>these expenses by $</w:t>
      </w:r>
      <w:r>
        <w:rPr>
          <w:rFonts w:ascii="Times New Roman" w:hAnsi="Times New Roman"/>
          <w:sz w:val="20"/>
        </w:rPr>
        <w:t>19.9</w:t>
      </w:r>
      <w:r>
        <w:rPr/>
        <w:t> </w:t>
      </w:r>
      <w:r>
        <w:rPr>
          <w:sz w:val="20"/>
        </w:rPr>
        <w:t>million</w:t>
      </w:r>
      <w:r>
        <w:rPr/>
        <w:t> </w:t>
      </w:r>
      <w:r>
        <w:rPr>
          <w:sz w:val="20"/>
        </w:rPr>
        <w:t xml:space="preserve">for the year ended </w:t>
      </w:r>
      <w:r>
        <w:rPr>
          <w:rFonts w:ascii="Times New Roman" w:hAnsi="Times New Roman"/>
          <w:sz w:val="20"/>
        </w:rPr>
        <w:t>December 31, 2025</w:t>
      </w:r>
      <w:r>
        <w:rPr>
          <w:sz w:val="20"/>
        </w:rPr>
        <w:t xml:space="preserve">, compared to the same period in </w:t>
      </w:r>
      <w:r>
        <w:rPr>
          <w:rFonts w:ascii="Times New Roman" w:hAnsi="Times New Roman"/>
          <w:sz w:val="20"/>
        </w:rPr>
        <w:t>2024</w:t>
      </w:r>
      <w:r>
        <w:rPr>
          <w:sz w:val="20"/>
        </w:rPr>
        <w:t>.</w:t>
      </w:r>
    </w:p>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Gross profit</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Gross profit was</w:t>
      </w:r>
      <w:r>
        <w:rPr/>
        <w:t> </w:t>
      </w:r>
      <w:r>
        <w:rPr>
          <w:sz w:val="20"/>
        </w:rPr>
        <w:t>$</w:t>
      </w:r>
      <w:r>
        <w:rPr>
          <w:rFonts w:ascii="Times New Roman" w:hAnsi="Times New Roman"/>
          <w:sz w:val="20"/>
        </w:rPr>
        <w:t>295.8</w:t>
      </w:r>
      <w:r>
        <w:rPr/>
        <w:t xml:space="preserve"> </w:t>
      </w:r>
      <w:r>
        <w:rPr>
          <w:sz w:val="20"/>
        </w:rPr>
        <w:t>million</w:t>
      </w:r>
      <w:r>
        <w:rPr/>
        <w:t> </w:t>
      </w:r>
      <w:r>
        <w:rPr>
          <w:sz w:val="20"/>
        </w:rPr>
        <w:t>for the year</w:t>
      </w:r>
      <w:r>
        <w:rPr/>
        <w:t> </w:t>
      </w:r>
      <w:r>
        <w:rPr>
          <w:sz w:val="20"/>
        </w:rPr>
        <w:t xml:space="preserve">ended </w:t>
      </w:r>
      <w:r>
        <w:rPr>
          <w:rFonts w:ascii="Times New Roman" w:hAnsi="Times New Roman"/>
          <w:sz w:val="20"/>
        </w:rPr>
        <w:t>December 31, 2025</w:t>
      </w:r>
      <w:r>
        <w:rPr>
          <w:sz w:val="20"/>
        </w:rPr>
        <w:t>,</w:t>
      </w:r>
      <w:r>
        <w:rPr/>
        <w:t> </w:t>
      </w:r>
      <w:r>
        <w:rPr>
          <w:rFonts w:ascii="Times New Roman" w:hAnsi="Times New Roman"/>
          <w:sz w:val="20"/>
        </w:rPr>
        <w:t>an increase</w:t>
      </w:r>
      <w:r>
        <w:rPr/>
        <w:t> </w:t>
      </w:r>
      <w:r>
        <w:rPr>
          <w:sz w:val="20"/>
        </w:rPr>
        <w:t>of $</w:t>
      </w:r>
      <w:r>
        <w:rPr>
          <w:rFonts w:ascii="Times New Roman" w:hAnsi="Times New Roman"/>
          <w:sz w:val="20"/>
        </w:rPr>
        <w:t>18.0</w:t>
      </w:r>
      <w:r>
        <w:rPr/>
        <w:t> </w:t>
      </w:r>
      <w:r>
        <w:rPr>
          <w:sz w:val="20"/>
        </w:rPr>
        <w:t>million</w:t>
      </w:r>
      <w:r>
        <w:rPr/>
        <w:t> </w:t>
      </w:r>
      <w:r>
        <w:rPr>
          <w:sz w:val="20"/>
        </w:rPr>
        <w:t xml:space="preserve">or </w:t>
      </w:r>
      <w:r>
        <w:rPr>
          <w:rFonts w:ascii="Times New Roman" w:hAnsi="Times New Roman"/>
          <w:sz w:val="20"/>
        </w:rPr>
        <w:t>6.5</w:t>
      </w:r>
      <w:r>
        <w:rPr>
          <w:sz w:val="20"/>
        </w:rPr>
        <w:t>% compared to</w:t>
      </w:r>
      <w:r>
        <w:rPr/>
        <w:t> </w:t>
      </w:r>
      <w:r>
        <w:rPr>
          <w:sz w:val="20"/>
        </w:rPr>
        <w:t>$</w:t>
      </w:r>
      <w:r>
        <w:rPr>
          <w:rFonts w:ascii="Times New Roman" w:hAnsi="Times New Roman"/>
          <w:sz w:val="20"/>
        </w:rPr>
        <w:t>277.8</w:t>
      </w:r>
      <w:r>
        <w:rPr/>
        <w:t xml:space="preserve"> </w:t>
      </w:r>
      <w:r>
        <w:rPr>
          <w:sz w:val="20"/>
        </w:rPr>
        <w:t>million</w:t>
      </w:r>
      <w:r>
        <w:rPr/>
        <w:t> </w:t>
      </w:r>
      <w:r>
        <w:rPr>
          <w:sz w:val="20"/>
        </w:rPr>
        <w:t xml:space="preserve">for the same period in </w:t>
      </w:r>
      <w:r>
        <w:rPr>
          <w:rFonts w:ascii="Times New Roman" w:hAnsi="Times New Roman"/>
          <w:sz w:val="20"/>
        </w:rPr>
        <w:t>2024</w:t>
      </w:r>
      <w:r>
        <w:rPr>
          <w:sz w:val="20"/>
        </w:rPr>
        <w:t>.</w:t>
      </w:r>
      <w:r>
        <w:rPr/>
        <w:t> </w:t>
      </w:r>
      <w:r>
        <w:rPr>
          <w:sz w:val="20"/>
        </w:rPr>
        <w:t xml:space="preserve">Gross margin </w:t>
      </w:r>
      <w:r>
        <w:rPr>
          <w:rFonts w:ascii="Times New Roman" w:hAnsi="Times New Roman"/>
          <w:sz w:val="20"/>
        </w:rPr>
        <w:t>increased</w:t>
      </w:r>
      <w:r>
        <w:rPr/>
        <w:t xml:space="preserve"> </w:t>
      </w:r>
      <w:r>
        <w:rPr>
          <w:sz w:val="20"/>
        </w:rPr>
        <w:t xml:space="preserve">to </w:t>
      </w:r>
      <w:r>
        <w:rPr>
          <w:rFonts w:ascii="Times New Roman" w:hAnsi="Times New Roman"/>
          <w:sz w:val="20"/>
        </w:rPr>
        <w:t>24.9</w:t>
      </w:r>
      <w:r>
        <w:rPr>
          <w:sz w:val="20"/>
        </w:rPr>
        <w:t>%</w:t>
      </w:r>
      <w:r>
        <w:rPr/>
        <w:t> </w:t>
      </w:r>
      <w:r>
        <w:rPr>
          <w:sz w:val="20"/>
        </w:rPr>
        <w:t>for the year</w:t>
      </w:r>
      <w:r>
        <w:rPr/>
        <w:t> </w:t>
      </w:r>
      <w:r>
        <w:rPr>
          <w:sz w:val="20"/>
        </w:rPr>
        <w:t xml:space="preserve">ended </w:t>
      </w:r>
      <w:r>
        <w:rPr>
          <w:rFonts w:ascii="Times New Roman" w:hAnsi="Times New Roman"/>
          <w:sz w:val="20"/>
        </w:rPr>
        <w:t>December 31, 2025</w:t>
      </w:r>
      <w:r>
        <w:rPr>
          <w:sz w:val="20"/>
        </w:rPr>
        <w:t>,</w:t>
      </w:r>
      <w:r>
        <w:rPr/>
        <w:t> </w:t>
      </w:r>
      <w:r>
        <w:rPr>
          <w:sz w:val="20"/>
        </w:rPr>
        <w:t xml:space="preserve">compared to </w:t>
      </w:r>
      <w:r>
        <w:rPr>
          <w:rFonts w:ascii="Times New Roman" w:hAnsi="Times New Roman"/>
          <w:sz w:val="20"/>
        </w:rPr>
        <w:t>24.1</w:t>
      </w:r>
      <w:r>
        <w:rPr>
          <w:sz w:val="20"/>
        </w:rPr>
        <w:t>%</w:t>
      </w:r>
      <w:r>
        <w:rPr/>
        <w:t> </w:t>
      </w:r>
      <w:r>
        <w:rPr>
          <w:sz w:val="20"/>
        </w:rPr>
        <w:t xml:space="preserve">for the same period in </w:t>
      </w:r>
      <w:r>
        <w:rPr>
          <w:rFonts w:ascii="Times New Roman" w:hAnsi="Times New Roman"/>
          <w:sz w:val="20"/>
        </w:rPr>
        <w:t>2024</w:t>
      </w:r>
      <w:r>
        <w:rPr>
          <w:sz w:val="20"/>
        </w:rPr>
        <w:t>.</w:t>
      </w:r>
      <w:r>
        <w:rPr/>
        <w:t> </w:t>
      </w:r>
    </w:p>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Salaries and benefits</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Salaries and benefits expenses were $</w:t>
      </w:r>
      <w:r>
        <w:rPr>
          <w:rFonts w:ascii="Times New Roman" w:hAnsi="Times New Roman"/>
          <w:sz w:val="20"/>
        </w:rPr>
        <w:t>108.6</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6.6</w:t>
      </w:r>
      <w:r>
        <w:rPr/>
        <w:t xml:space="preserve"> </w:t>
      </w:r>
      <w:r>
        <w:rPr>
          <w:sz w:val="20"/>
        </w:rPr>
        <w:t xml:space="preserve">million or </w:t>
      </w:r>
      <w:r>
        <w:rPr>
          <w:rFonts w:ascii="Times New Roman" w:hAnsi="Times New Roman"/>
          <w:sz w:val="20"/>
        </w:rPr>
        <w:t>6.5</w:t>
      </w:r>
      <w:r>
        <w:rPr>
          <w:sz w:val="20"/>
        </w:rPr>
        <w:t xml:space="preserve">% compared to the same period in </w:t>
      </w:r>
      <w:r>
        <w:rPr>
          <w:rFonts w:ascii="Times New Roman" w:hAnsi="Times New Roman"/>
          <w:sz w:val="20"/>
        </w:rPr>
        <w:t>2024</w:t>
      </w:r>
      <w:r>
        <w:rPr>
          <w:sz w:val="20"/>
        </w:rPr>
        <w:t>. The increase in salaries and benefits was primarily driven by an increase in headcount and wage increases in 2025.</w:t>
      </w:r>
      <w:r>
        <w:rPr/>
        <w:t> </w:t>
      </w:r>
      <w:r>
        <w:rPr>
          <w:sz w:val="20"/>
        </w:rPr>
        <w:t xml:space="preserve">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9.1</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8.9</w:t>
      </w:r>
      <w:r>
        <w:rPr>
          <w:sz w:val="20"/>
        </w:rPr>
        <w:t>% for the year ended</w:t>
      </w:r>
      <w:r>
        <w:rPr/>
        <w:t> </w:t>
      </w:r>
      <w:r>
        <w:rPr>
          <w:rFonts w:ascii="Times New Roman" w:hAnsi="Times New Roman"/>
          <w:sz w:val="20"/>
        </w:rPr>
        <w:t>December 31, 2024</w:t>
      </w:r>
      <w:r>
        <w:rPr>
          <w:sz w:val="20"/>
        </w:rPr>
        <w:t>.</w:t>
      </w:r>
    </w:p>
    <w:p>
      <w:pPr>
        <w:pStyle w:val="TextBody"/>
        <w:bidi w:val="0"/>
        <w:spacing w:lineRule="atLeast" w:line="240" w:before="0" w:after="0"/>
        <w:jc w:val="left"/>
        <w:rPr/>
      </w:pPr>
      <w:r>
        <w:rPr/>
        <w:br/>
      </w:r>
      <w:r>
        <w:rPr>
          <w:i/>
          <w:sz w:val="20"/>
        </w:rPr>
        <w:t>Selling, general and administrative</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Selling, general and administrative expenses were $</w:t>
      </w:r>
      <w:r>
        <w:rPr>
          <w:rFonts w:ascii="Times New Roman" w:hAnsi="Times New Roman"/>
          <w:sz w:val="20"/>
        </w:rPr>
        <w:t>44.7</w:t>
      </w:r>
      <w:r>
        <w:rPr/>
        <w:t xml:space="preserve"> </w:t>
      </w:r>
      <w:r>
        <w:rPr>
          <w:sz w:val="20"/>
        </w:rPr>
        <w:t>million</w:t>
      </w:r>
      <w:r>
        <w:rPr/>
        <w:t> </w:t>
      </w:r>
      <w:r>
        <w:rPr>
          <w:sz w:val="20"/>
        </w:rPr>
        <w:t xml:space="preserve">for the year ended </w:t>
      </w:r>
      <w:r>
        <w:rPr>
          <w:rFonts w:ascii="Times New Roman" w:hAnsi="Times New Roman"/>
          <w:sz w:val="20"/>
        </w:rPr>
        <w:t>December 31, 2025</w:t>
      </w:r>
      <w:r>
        <w:rPr>
          <w:sz w:val="20"/>
        </w:rPr>
        <w:t>,</w:t>
      </w:r>
      <w:r>
        <w:rPr/>
        <w:t> </w:t>
      </w:r>
      <w:r>
        <w:rPr>
          <w:rFonts w:ascii="Times New Roman" w:hAnsi="Times New Roman"/>
          <w:sz w:val="20"/>
        </w:rPr>
        <w:t>an increase</w:t>
      </w:r>
      <w:r>
        <w:rPr/>
        <w:t xml:space="preserve"> </w:t>
      </w:r>
      <w:r>
        <w:rPr>
          <w:sz w:val="20"/>
        </w:rPr>
        <w:t>of $</w:t>
      </w:r>
      <w:r>
        <w:rPr>
          <w:rFonts w:ascii="Times New Roman" w:hAnsi="Times New Roman"/>
          <w:sz w:val="20"/>
        </w:rPr>
        <w:t>6.1</w:t>
      </w:r>
      <w:r>
        <w:rPr/>
        <w:t xml:space="preserve"> </w:t>
      </w:r>
      <w:r>
        <w:rPr>
          <w:sz w:val="20"/>
        </w:rPr>
        <w:t>million</w:t>
      </w:r>
      <w:r>
        <w:rPr/>
        <w:t> </w:t>
      </w:r>
      <w:r>
        <w:rPr>
          <w:sz w:val="20"/>
        </w:rPr>
        <w:t xml:space="preserve">or </w:t>
      </w:r>
      <w:r>
        <w:rPr>
          <w:rFonts w:ascii="Times New Roman" w:hAnsi="Times New Roman"/>
          <w:sz w:val="20"/>
        </w:rPr>
        <w:t>15.8</w:t>
      </w:r>
      <w:r>
        <w:rPr>
          <w:sz w:val="20"/>
        </w:rPr>
        <w:t xml:space="preserve">% compared to the same period in </w:t>
      </w:r>
      <w:r>
        <w:rPr>
          <w:rFonts w:ascii="Times New Roman" w:hAnsi="Times New Roman"/>
          <w:sz w:val="20"/>
        </w:rPr>
        <w:t>2024</w:t>
      </w:r>
      <w:r>
        <w:rPr>
          <w:sz w:val="20"/>
        </w:rPr>
        <w:t>.</w:t>
      </w:r>
      <w:r>
        <w:rPr/>
        <w:t> </w:t>
      </w:r>
      <w:r>
        <w:rPr>
          <w:sz w:val="20"/>
        </w:rPr>
        <w:t xml:space="preserve">As a percentage of revenues, these expenses </w:t>
      </w:r>
      <w:r>
        <w:rPr>
          <w:rFonts w:ascii="Times New Roman" w:hAnsi="Times New Roman"/>
          <w:sz w:val="20"/>
        </w:rPr>
        <w:t>increased</w:t>
      </w:r>
      <w:r>
        <w:rPr/>
        <w:t xml:space="preserve"> </w:t>
      </w:r>
      <w:r>
        <w:rPr>
          <w:sz w:val="20"/>
        </w:rPr>
        <w:t>to</w:t>
      </w:r>
      <w:r>
        <w:rPr/>
        <w:t> </w:t>
      </w:r>
      <w:r>
        <w:rPr>
          <w:rFonts w:ascii="Times New Roman" w:hAnsi="Times New Roman"/>
          <w:sz w:val="20"/>
        </w:rPr>
        <w:t>3.8</w:t>
      </w:r>
      <w:r>
        <w:rPr>
          <w:sz w:val="20"/>
        </w:rPr>
        <w:t>%</w:t>
      </w:r>
      <w:r>
        <w:rPr/>
        <w:t> </w:t>
      </w:r>
      <w:r>
        <w:rPr>
          <w:sz w:val="20"/>
        </w:rPr>
        <w:t>for the year</w:t>
      </w:r>
      <w:r>
        <w:rPr/>
        <w:t> </w:t>
      </w:r>
      <w:r>
        <w:rPr>
          <w:sz w:val="20"/>
        </w:rPr>
        <w:t xml:space="preserve">ended </w:t>
      </w:r>
      <w:r>
        <w:rPr>
          <w:rFonts w:ascii="Times New Roman" w:hAnsi="Times New Roman"/>
          <w:sz w:val="20"/>
        </w:rPr>
        <w:t>December 31, 2025</w:t>
      </w:r>
      <w:r>
        <w:rPr>
          <w:sz w:val="20"/>
        </w:rPr>
        <w:t>,</w:t>
      </w:r>
      <w:r>
        <w:rPr/>
        <w:t> </w:t>
      </w:r>
      <w:r>
        <w:rPr>
          <w:sz w:val="20"/>
        </w:rPr>
        <w:t>compared to</w:t>
      </w:r>
      <w:r>
        <w:rPr/>
        <w:t> </w:t>
      </w:r>
      <w:r>
        <w:rPr>
          <w:rFonts w:ascii="Times New Roman" w:hAnsi="Times New Roman"/>
          <w:sz w:val="20"/>
        </w:rPr>
        <w:t>3.4</w:t>
      </w:r>
      <w:r>
        <w:rPr>
          <w:sz w:val="20"/>
        </w:rPr>
        <w:t>% for the year ended</w:t>
      </w:r>
      <w:r>
        <w:rPr/>
        <w:t> </w:t>
      </w:r>
      <w:r>
        <w:rPr>
          <w:rFonts w:ascii="Times New Roman" w:hAnsi="Times New Roman"/>
          <w:sz w:val="20"/>
        </w:rPr>
        <w:t>December 31, 2024</w:t>
      </w:r>
      <w:r>
        <w:rPr>
          <w:sz w:val="20"/>
        </w:rPr>
        <w:t>.</w:t>
      </w:r>
    </w:p>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Depreciation and amortization</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Depreciation and amortization expenses were $</w:t>
      </w:r>
      <w:r>
        <w:rPr>
          <w:rFonts w:ascii="Times New Roman" w:hAnsi="Times New Roman"/>
          <w:sz w:val="20"/>
        </w:rPr>
        <w:t>6.3</w:t>
      </w:r>
      <w:r>
        <w:rPr/>
        <w:t> </w:t>
      </w:r>
      <w:r>
        <w:rPr>
          <w:sz w:val="20"/>
        </w:rPr>
        <w:t>million</w:t>
      </w:r>
      <w:r>
        <w:rPr/>
        <w:t> </w:t>
      </w:r>
      <w:r>
        <w:rPr>
          <w:sz w:val="20"/>
        </w:rPr>
        <w:t xml:space="preserve">for the year ended </w:t>
      </w:r>
      <w:r>
        <w:rPr>
          <w:rFonts w:ascii="Times New Roman" w:hAnsi="Times New Roman"/>
          <w:sz w:val="20"/>
        </w:rPr>
        <w:t>December 31, 2025</w:t>
      </w:r>
      <w:r>
        <w:rPr>
          <w:sz w:val="20"/>
        </w:rPr>
        <w:t xml:space="preserve">, </w:t>
      </w:r>
      <w:r>
        <w:rPr>
          <w:rFonts w:ascii="Times New Roman" w:hAnsi="Times New Roman"/>
          <w:sz w:val="20"/>
        </w:rPr>
        <w:t>a decrease</w:t>
      </w:r>
      <w:r>
        <w:rPr/>
        <w:t xml:space="preserve"> </w:t>
      </w:r>
      <w:r>
        <w:rPr>
          <w:sz w:val="20"/>
        </w:rPr>
        <w:t>of $</w:t>
      </w:r>
      <w:r>
        <w:rPr>
          <w:rFonts w:ascii="Times New Roman" w:hAnsi="Times New Roman"/>
          <w:sz w:val="20"/>
        </w:rPr>
        <w:t>1.0</w:t>
      </w:r>
      <w:r>
        <w:rPr/>
        <w:t xml:space="preserve"> </w:t>
      </w:r>
      <w:r>
        <w:rPr>
          <w:sz w:val="20"/>
        </w:rPr>
        <w:t>million</w:t>
      </w:r>
      <w:r>
        <w:rPr/>
        <w:t> </w:t>
      </w:r>
      <w:r>
        <w:rPr>
          <w:sz w:val="20"/>
        </w:rPr>
        <w:t xml:space="preserve">or </w:t>
      </w:r>
      <w:r>
        <w:rPr>
          <w:rFonts w:ascii="Times New Roman" w:hAnsi="Times New Roman"/>
          <w:sz w:val="20"/>
        </w:rPr>
        <w:t>13.7</w:t>
      </w:r>
      <w:r>
        <w:rPr>
          <w:sz w:val="20"/>
        </w:rPr>
        <w:t>%</w:t>
      </w:r>
      <w:r>
        <w:rPr/>
        <w:t> </w:t>
      </w:r>
      <w:r>
        <w:rPr>
          <w:sz w:val="20"/>
        </w:rPr>
        <w:t xml:space="preserve">compared to the same period in </w:t>
      </w:r>
      <w:r>
        <w:rPr>
          <w:rFonts w:ascii="Times New Roman" w:hAnsi="Times New Roman"/>
          <w:sz w:val="20"/>
        </w:rPr>
        <w:t>2024</w:t>
      </w:r>
      <w:r>
        <w:rPr>
          <w:sz w:val="20"/>
        </w:rPr>
        <w:t>.</w:t>
      </w:r>
      <w:r>
        <w:rPr/>
        <w:t> </w:t>
      </w:r>
      <w:r>
        <w:rPr>
          <w:sz w:val="20"/>
        </w:rPr>
        <w:t>Depreciation and amortization expense primarily represents depreciation of POS terminals we install in retail stores and amortization of acquired intangible assets.</w:t>
      </w:r>
    </w:p>
    <w:p>
      <w:pPr>
        <w:pStyle w:val="TextBody"/>
        <w:bidi w:val="0"/>
        <w:spacing w:lineRule="atLeast" w:line="240" w:before="0" w:after="0"/>
        <w:jc w:val="left"/>
        <w:rPr/>
      </w:pPr>
      <w:r>
        <w:rPr/>
        <w:t> </w:t>
      </w:r>
    </w:p>
    <w:p>
      <w:pPr>
        <w:pStyle w:val="TextBody"/>
        <w:bidi w:val="0"/>
        <w:spacing w:lineRule="atLeast" w:line="240" w:before="0" w:after="0"/>
        <w:jc w:val="left"/>
        <w:rPr>
          <w:i/>
          <w:sz w:val="20"/>
        </w:rPr>
      </w:pPr>
      <w:r>
        <w:rPr>
          <w:i/>
          <w:sz w:val="20"/>
        </w:rPr>
        <w:t>Operating income</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epay Segment operating income was $</w:t>
      </w:r>
      <w:r>
        <w:rPr>
          <w:rFonts w:ascii="Times New Roman" w:hAnsi="Times New Roman"/>
          <w:sz w:val="20"/>
        </w:rPr>
        <w:t>136.2</w:t>
      </w:r>
      <w:r>
        <w:rPr/>
        <w:t xml:space="preserve"> </w:t>
      </w:r>
      <w:r>
        <w:rPr>
          <w:sz w:val="20"/>
        </w:rPr>
        <w:t>million for the year</w:t>
      </w:r>
      <w:r>
        <w:rPr/>
        <w:t> </w:t>
      </w:r>
      <w:r>
        <w:rPr>
          <w:sz w:val="20"/>
        </w:rPr>
        <w:t xml:space="preserve">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6.3</w:t>
      </w:r>
      <w:r>
        <w:rPr/>
        <w:t> </w:t>
      </w:r>
      <w:r>
        <w:rPr>
          <w:sz w:val="20"/>
        </w:rPr>
        <w:t>million</w:t>
      </w:r>
      <w:r>
        <w:rPr/>
        <w:t> </w:t>
      </w:r>
      <w:r>
        <w:rPr>
          <w:sz w:val="20"/>
        </w:rPr>
        <w:t xml:space="preserve">or </w:t>
      </w:r>
      <w:r>
        <w:rPr>
          <w:rFonts w:ascii="Times New Roman" w:hAnsi="Times New Roman"/>
          <w:sz w:val="20"/>
        </w:rPr>
        <w:t>4.8</w:t>
      </w:r>
      <w:r>
        <w:rPr>
          <w:sz w:val="20"/>
        </w:rPr>
        <w:t xml:space="preserve">% compared to the same period in </w:t>
      </w:r>
      <w:r>
        <w:rPr>
          <w:rFonts w:ascii="Times New Roman" w:hAnsi="Times New Roman"/>
          <w:sz w:val="20"/>
        </w:rPr>
        <w:t>2024</w:t>
      </w:r>
      <w:r>
        <w:rPr>
          <w:sz w:val="20"/>
        </w:rPr>
        <w:t>.</w:t>
      </w:r>
      <w:r>
        <w:rPr/>
        <w:t> </w:t>
      </w:r>
      <w:r>
        <w:rPr>
          <w:sz w:val="20"/>
        </w:rPr>
        <w:t xml:space="preserve">Operating margin </w:t>
      </w:r>
      <w:r>
        <w:rPr>
          <w:rFonts w:ascii="Times New Roman" w:hAnsi="Times New Roman"/>
          <w:sz w:val="20"/>
        </w:rPr>
        <w:t>increased</w:t>
      </w:r>
      <w:r>
        <w:rPr/>
        <w:t xml:space="preserve"> </w:t>
      </w:r>
      <w:r>
        <w:rPr>
          <w:sz w:val="20"/>
        </w:rPr>
        <w:t xml:space="preserve">to </w:t>
      </w:r>
      <w:r>
        <w:rPr>
          <w:rFonts w:ascii="Times New Roman" w:hAnsi="Times New Roman"/>
          <w:sz w:val="20"/>
        </w:rPr>
        <w:t>11.5</w:t>
      </w:r>
      <w:r>
        <w:rPr>
          <w:sz w:val="20"/>
        </w:rPr>
        <w:t>%</w:t>
      </w:r>
      <w:r>
        <w:rPr/>
        <w:t> </w:t>
      </w:r>
      <w:r>
        <w:rPr>
          <w:sz w:val="20"/>
        </w:rPr>
        <w:t>for the year</w:t>
      </w:r>
      <w:r>
        <w:rPr/>
        <w:t> </w:t>
      </w:r>
      <w:r>
        <w:rPr>
          <w:sz w:val="20"/>
        </w:rPr>
        <w:t xml:space="preserve">ended </w:t>
      </w:r>
      <w:r>
        <w:rPr>
          <w:rFonts w:ascii="Times New Roman" w:hAnsi="Times New Roman"/>
          <w:sz w:val="20"/>
        </w:rPr>
        <w:t>December 31, 2025</w:t>
      </w:r>
      <w:r>
        <w:rPr>
          <w:sz w:val="20"/>
        </w:rPr>
        <w:t>,</w:t>
      </w:r>
      <w:r>
        <w:rPr/>
        <w:t> </w:t>
      </w:r>
      <w:r>
        <w:rPr>
          <w:sz w:val="20"/>
        </w:rPr>
        <w:t xml:space="preserve">compared to </w:t>
      </w:r>
      <w:r>
        <w:rPr>
          <w:rFonts w:ascii="Times New Roman" w:hAnsi="Times New Roman"/>
          <w:sz w:val="20"/>
        </w:rPr>
        <w:t>11.3</w:t>
      </w:r>
      <w:r>
        <w:rPr>
          <w:sz w:val="20"/>
        </w:rPr>
        <w:t>% for</w:t>
      </w:r>
      <w:r>
        <w:rPr/>
        <w:t> </w:t>
      </w:r>
      <w:r>
        <w:rPr>
          <w:sz w:val="20"/>
        </w:rPr>
        <w:t xml:space="preserve">the same period in </w:t>
      </w:r>
      <w:r>
        <w:rPr>
          <w:rFonts w:ascii="Times New Roman" w:hAnsi="Times New Roman"/>
          <w:sz w:val="20"/>
        </w:rPr>
        <w:t>2024</w:t>
      </w:r>
      <w:r>
        <w:rPr>
          <w:sz w:val="20"/>
        </w:rPr>
        <w:t>.</w:t>
      </w:r>
      <w:r>
        <w:rPr/>
        <w:t> </w:t>
      </w:r>
      <w:r>
        <w:rPr>
          <w:sz w:val="20"/>
        </w:rPr>
        <w:t>Operating income per transaction was $</w:t>
      </w:r>
      <w:r>
        <w:rPr>
          <w:rFonts w:ascii="Times New Roman" w:hAnsi="Times New Roman"/>
          <w:sz w:val="20"/>
        </w:rPr>
        <w:t>0.03</w:t>
      </w:r>
      <w:r>
        <w:rPr/>
        <w:t xml:space="preserve"> </w:t>
      </w:r>
      <w:r>
        <w:rPr>
          <w:sz w:val="20"/>
        </w:rPr>
        <w:t>in both periods.</w:t>
      </w:r>
      <w:r>
        <w:rPr/>
        <w:t> </w:t>
      </w:r>
      <w:r>
        <w:rPr>
          <w:sz w:val="20"/>
        </w:rPr>
        <w:t>The increase in operating income was primarily driven by the increase in transactions.</w:t>
      </w:r>
    </w:p>
    <w:p>
      <w:pPr>
        <w:pStyle w:val="TextBody"/>
        <w:bidi w:val="0"/>
        <w:spacing w:lineRule="atLeast" w:line="240" w:before="0" w:after="0"/>
        <w:jc w:val="left"/>
        <w:rPr/>
      </w:pPr>
      <w:r>
        <w:rPr/>
        <w:t> </w:t>
      </w:r>
    </w:p>
    <w:p>
      <w:pPr>
        <w:pStyle w:val="TextBody"/>
        <w:bidi w:val="0"/>
        <w:spacing w:lineRule="atLeast" w:line="240" w:before="0" w:after="0"/>
        <w:jc w:val="left"/>
        <w:rPr>
          <w:b/>
          <w:sz w:val="20"/>
        </w:rPr>
      </w:pPr>
      <w:r>
        <w:rPr>
          <w:b/>
          <w:sz w:val="20"/>
        </w:rPr>
        <w:t>Money Transfer Segment</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 xml:space="preserve">The following table summarizes the results of operations for our Money Transfer Segment for the years ended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w:t>
      </w:r>
    </w:p>
    <w:p>
      <w:pPr>
        <w:pStyle w:val="TextBody"/>
        <w:bidi w:val="0"/>
        <w:spacing w:lineRule="atLeast" w:line="240" w:before="0" w:after="0"/>
        <w:jc w:val="left"/>
        <w:rPr/>
      </w:pPr>
      <w:r>
        <w:rPr/>
        <w:t> </w:t>
      </w:r>
    </w:p>
    <w:tbl>
      <w:tblPr>
        <w:tblW w:w="9095" w:type="dxa"/>
        <w:jc w:val="left"/>
        <w:tblInd w:w="0" w:type="dxa"/>
        <w:tblLayout w:type="fixed"/>
        <w:tblCellMar>
          <w:top w:w="0" w:type="dxa"/>
          <w:left w:w="0" w:type="dxa"/>
          <w:bottom w:w="0" w:type="dxa"/>
          <w:right w:w="0" w:type="dxa"/>
        </w:tblCellMar>
      </w:tblPr>
      <w:tblGrid>
        <w:gridCol w:w="2870"/>
        <w:gridCol w:w="60"/>
        <w:gridCol w:w="151"/>
        <w:gridCol w:w="767"/>
        <w:gridCol w:w="72"/>
        <w:gridCol w:w="151"/>
        <w:gridCol w:w="767"/>
        <w:gridCol w:w="60"/>
        <w:gridCol w:w="494"/>
        <w:gridCol w:w="1565"/>
        <w:gridCol w:w="94"/>
        <w:gridCol w:w="1358"/>
        <w:gridCol w:w="686"/>
      </w:tblGrid>
      <w:tr>
        <w:trPr/>
        <w:tc>
          <w:tcPr>
            <w:tcW w:w="287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08"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60" w:type="dxa"/>
            <w:tcBorders/>
            <w:vAlign w:val="center"/>
          </w:tcPr>
          <w:p>
            <w:pPr>
              <w:pStyle w:val="TableContents"/>
              <w:bidi w:val="0"/>
              <w:spacing w:lineRule="atLeast" w:line="240" w:before="0" w:after="0"/>
              <w:jc w:val="left"/>
              <w:rPr/>
            </w:pPr>
            <w:r>
              <w:rPr/>
              <w:t> </w:t>
            </w:r>
          </w:p>
        </w:tc>
        <w:tc>
          <w:tcPr>
            <w:tcW w:w="4197"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-over-Year Change</w:t>
            </w:r>
          </w:p>
        </w:tc>
      </w:tr>
      <w:tr>
        <w:trPr/>
        <w:tc>
          <w:tcPr>
            <w:tcW w:w="287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91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72"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91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lineRule="atLeast" w:line="240" w:before="0" w:after="0"/>
              <w:jc w:val="left"/>
              <w:rPr/>
            </w:pPr>
            <w:r>
              <w:rPr/>
              <w:t> </w:t>
            </w:r>
          </w:p>
        </w:tc>
        <w:tc>
          <w:tcPr>
            <w:tcW w:w="20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Amount</w:t>
            </w:r>
          </w:p>
        </w:tc>
        <w:tc>
          <w:tcPr>
            <w:tcW w:w="94"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20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Percent</w:t>
            </w:r>
          </w:p>
        </w:tc>
      </w:tr>
      <w:tr>
        <w:trPr/>
        <w:tc>
          <w:tcPr>
            <w:tcW w:w="287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1,782.4</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1,686.5</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5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95.9</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5.7</w:t>
            </w:r>
          </w:p>
        </w:tc>
        <w:tc>
          <w:tcPr>
            <w:tcW w:w="686"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767"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767"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0" w:type="dxa"/>
            <w:tcBorders/>
            <w:shd w:fill="FFFFFF" w:val="clear"/>
            <w:vAlign w:val="center"/>
          </w:tcPr>
          <w:p>
            <w:pPr>
              <w:pStyle w:val="TableContents"/>
              <w:bidi w:val="0"/>
              <w:spacing w:lineRule="atLeast" w:line="240" w:before="0" w:after="0"/>
              <w:jc w:val="left"/>
              <w:rPr/>
            </w:pPr>
            <w:r>
              <w:rPr/>
              <w:t> </w:t>
            </w:r>
          </w:p>
        </w:tc>
        <w:tc>
          <w:tcPr>
            <w:tcW w:w="494"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1565"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94" w:type="dxa"/>
            <w:tcBorders/>
            <w:shd w:fill="FFFFFF" w:val="clear"/>
            <w:vAlign w:val="center"/>
          </w:tcPr>
          <w:p>
            <w:pPr>
              <w:pStyle w:val="TableContents"/>
              <w:bidi w:val="0"/>
              <w:spacing w:lineRule="atLeast" w:line="240" w:before="0" w:after="0"/>
              <w:jc w:val="left"/>
              <w:rPr/>
            </w:pPr>
            <w:r>
              <w:rPr/>
              <w:t> </w:t>
            </w:r>
          </w:p>
        </w:tc>
        <w:tc>
          <w:tcPr>
            <w:tcW w:w="1358" w:type="dxa"/>
            <w:tcBorders/>
            <w:shd w:fill="FFFFFF" w:val="clear"/>
            <w:vAlign w:val="center"/>
          </w:tcPr>
          <w:p>
            <w:pPr>
              <w:pStyle w:val="TableContents"/>
              <w:bidi w:val="0"/>
              <w:spacing w:lineRule="atLeast" w:line="240" w:before="0" w:after="0"/>
              <w:jc w:val="right"/>
              <w:rPr/>
            </w:pPr>
            <w:r>
              <w:rPr/>
              <w:t> </w:t>
            </w:r>
          </w:p>
        </w:tc>
        <w:tc>
          <w:tcPr>
            <w:tcW w:w="686" w:type="dxa"/>
            <w:tcBorders/>
            <w:shd w:fill="FFFFFF" w:val="clear"/>
            <w:vAlign w:val="center"/>
          </w:tcPr>
          <w:p>
            <w:pPr>
              <w:pStyle w:val="TableContents"/>
              <w:bidi w:val="0"/>
              <w:spacing w:lineRule="atLeast" w:line="240" w:before="0" w:after="0"/>
              <w:jc w:val="left"/>
              <w:rPr/>
            </w:pPr>
            <w:r>
              <w:rPr/>
              <w:t> </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934.9</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919.7</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shd w:fill="CCEEFF" w:val="clear"/>
            <w:vAlign w:val="center"/>
          </w:tcPr>
          <w:p>
            <w:pPr>
              <w:pStyle w:val="TableContents"/>
              <w:bidi w:val="0"/>
              <w:spacing w:lineRule="atLeast" w:line="240" w:before="0" w:after="0"/>
              <w:jc w:val="left"/>
              <w:rPr/>
            </w:pPr>
            <w:r>
              <w:rPr/>
              <w:t> </w:t>
            </w:r>
          </w:p>
        </w:tc>
        <w:tc>
          <w:tcPr>
            <w:tcW w:w="156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15.2</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1.7</w:t>
            </w:r>
          </w:p>
        </w:tc>
        <w:tc>
          <w:tcPr>
            <w:tcW w:w="686"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361.1</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shd w:fill="FFFFFF" w:val="clear"/>
            <w:vAlign w:val="center"/>
          </w:tcPr>
          <w:p>
            <w:pPr>
              <w:pStyle w:val="TableContents"/>
              <w:bidi w:val="0"/>
              <w:spacing w:lineRule="atLeast" w:line="240" w:before="0" w:after="0"/>
              <w:jc w:val="left"/>
              <w:rPr/>
            </w:pPr>
            <w:r>
              <w:rPr/>
              <w:t> </w:t>
            </w:r>
          </w:p>
        </w:tc>
        <w:tc>
          <w:tcPr>
            <w:tcW w:w="76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333.4</w:t>
            </w:r>
          </w:p>
        </w:tc>
        <w:tc>
          <w:tcPr>
            <w:tcW w:w="60" w:type="dxa"/>
            <w:tcBorders/>
            <w:shd w:fill="FFFFFF" w:val="clear"/>
            <w:vAlign w:val="center"/>
          </w:tcPr>
          <w:p>
            <w:pPr>
              <w:pStyle w:val="TableContents"/>
              <w:bidi w:val="0"/>
              <w:spacing w:lineRule="atLeast" w:line="240" w:before="0" w:after="0"/>
              <w:jc w:val="left"/>
              <w:rPr/>
            </w:pPr>
            <w:r>
              <w:rPr/>
              <w:t> </w:t>
            </w:r>
          </w:p>
        </w:tc>
        <w:tc>
          <w:tcPr>
            <w:tcW w:w="494" w:type="dxa"/>
            <w:tcBorders/>
            <w:shd w:fill="FFFFFF" w:val="clear"/>
            <w:vAlign w:val="center"/>
          </w:tcPr>
          <w:p>
            <w:pPr>
              <w:pStyle w:val="TableContents"/>
              <w:bidi w:val="0"/>
              <w:spacing w:lineRule="atLeast" w:line="240" w:before="0" w:after="0"/>
              <w:jc w:val="left"/>
              <w:rPr/>
            </w:pPr>
            <w:r>
              <w:rPr/>
              <w:t> </w:t>
            </w:r>
          </w:p>
        </w:tc>
        <w:tc>
          <w:tcPr>
            <w:tcW w:w="156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27.7</w:t>
            </w:r>
          </w:p>
        </w:tc>
        <w:tc>
          <w:tcPr>
            <w:tcW w:w="94" w:type="dxa"/>
            <w:tcBorders/>
            <w:shd w:fill="FFFFFF" w:val="clear"/>
            <w:vAlign w:val="center"/>
          </w:tcPr>
          <w:p>
            <w:pPr>
              <w:pStyle w:val="TableContents"/>
              <w:bidi w:val="0"/>
              <w:spacing w:lineRule="atLeast" w:line="240" w:before="0" w:after="0"/>
              <w:jc w:val="left"/>
              <w:rPr/>
            </w:pPr>
            <w:r>
              <w:rPr/>
              <w:t> </w:t>
            </w:r>
          </w:p>
        </w:tc>
        <w:tc>
          <w:tcPr>
            <w:tcW w:w="1358"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8.3</w:t>
            </w:r>
          </w:p>
        </w:tc>
        <w:tc>
          <w:tcPr>
            <w:tcW w:w="686"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254.3</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shd w:fill="CCEEFF" w:val="clear"/>
            <w:vAlign w:val="center"/>
          </w:tcPr>
          <w:p>
            <w:pPr>
              <w:pStyle w:val="TableContents"/>
              <w:bidi w:val="0"/>
              <w:spacing w:lineRule="atLeast" w:line="240" w:before="0" w:after="0"/>
              <w:jc w:val="left"/>
              <w:rPr/>
            </w:pPr>
            <w:r>
              <w:rPr/>
              <w:t> </w:t>
            </w:r>
          </w:p>
        </w:tc>
        <w:tc>
          <w:tcPr>
            <w:tcW w:w="767"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206.4</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shd w:fill="CCEEFF" w:val="clear"/>
            <w:vAlign w:val="center"/>
          </w:tcPr>
          <w:p>
            <w:pPr>
              <w:pStyle w:val="TableContents"/>
              <w:bidi w:val="0"/>
              <w:spacing w:lineRule="atLeast" w:line="240" w:before="0" w:after="0"/>
              <w:jc w:val="left"/>
              <w:rPr/>
            </w:pPr>
            <w:r>
              <w:rPr/>
              <w:t> </w:t>
            </w:r>
          </w:p>
        </w:tc>
        <w:tc>
          <w:tcPr>
            <w:tcW w:w="156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47.9</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23.2</w:t>
            </w:r>
          </w:p>
        </w:tc>
        <w:tc>
          <w:tcPr>
            <w:tcW w:w="686"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24.9</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26.0</w:t>
            </w:r>
          </w:p>
        </w:tc>
        <w:tc>
          <w:tcPr>
            <w:tcW w:w="60" w:type="dxa"/>
            <w:tcBorders/>
            <w:shd w:fill="FFFFFF" w:val="clear"/>
            <w:vAlign w:val="center"/>
          </w:tcPr>
          <w:p>
            <w:pPr>
              <w:pStyle w:val="TableContents"/>
              <w:bidi w:val="0"/>
              <w:spacing w:lineRule="atLeast" w:line="240" w:before="0" w:after="0"/>
              <w:jc w:val="left"/>
              <w:rPr/>
            </w:pPr>
            <w:r>
              <w:rPr/>
              <w:t> </w:t>
            </w:r>
          </w:p>
        </w:tc>
        <w:tc>
          <w:tcPr>
            <w:tcW w:w="494"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w:t>
            </w:r>
          </w:p>
        </w:tc>
        <w:tc>
          <w:tcPr>
            <w:tcW w:w="94" w:type="dxa"/>
            <w:tcBorders/>
            <w:shd w:fill="FFFFFF" w:val="clear"/>
            <w:vAlign w:val="center"/>
          </w:tcPr>
          <w:p>
            <w:pPr>
              <w:pStyle w:val="TableContents"/>
              <w:bidi w:val="0"/>
              <w:spacing w:lineRule="atLeast" w:line="240" w:before="0" w:after="0"/>
              <w:jc w:val="left"/>
              <w:rPr/>
            </w:pPr>
            <w:r>
              <w:rPr/>
              <w:t> </w:t>
            </w:r>
          </w:p>
        </w:tc>
        <w:tc>
          <w:tcPr>
            <w:tcW w:w="1358"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(4.2)</w:t>
            </w:r>
          </w:p>
        </w:tc>
        <w:tc>
          <w:tcPr>
            <w:tcW w:w="686"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7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1,575.2</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7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1,485.5</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15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89.7</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6.0</w:t>
            </w:r>
          </w:p>
        </w:tc>
        <w:tc>
          <w:tcPr>
            <w:tcW w:w="686"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576"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76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207.2</w:t>
            </w:r>
          </w:p>
        </w:tc>
        <w:tc>
          <w:tcPr>
            <w:tcW w:w="72" w:type="dxa"/>
            <w:tcBorders/>
            <w:shd w:fill="FFFFFF" w:val="clear"/>
            <w:vAlign w:val="center"/>
          </w:tcPr>
          <w:p>
            <w:pPr>
              <w:pStyle w:val="TableContents"/>
              <w:bidi w:val="0"/>
              <w:spacing w:lineRule="atLeast" w:line="240" w:before="0" w:after="0"/>
              <w:jc w:val="left"/>
              <w:rPr/>
            </w:pPr>
            <w:r>
              <w:rPr/>
              <w:t> </w:t>
            </w:r>
          </w:p>
        </w:tc>
        <w:tc>
          <w:tcPr>
            <w:tcW w:w="15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76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201.0</w:t>
            </w:r>
          </w:p>
        </w:tc>
        <w:tc>
          <w:tcPr>
            <w:tcW w:w="60" w:type="dxa"/>
            <w:tcBorders/>
            <w:shd w:fill="FFFFFF" w:val="clear"/>
            <w:vAlign w:val="center"/>
          </w:tcPr>
          <w:p>
            <w:pPr>
              <w:pStyle w:val="TableContents"/>
              <w:bidi w:val="0"/>
              <w:spacing w:lineRule="atLeast" w:line="240" w:before="0" w:after="0"/>
              <w:jc w:val="left"/>
              <w:rPr/>
            </w:pPr>
            <w:r>
              <w:rPr/>
              <w:t> </w:t>
            </w:r>
          </w:p>
        </w:tc>
        <w:tc>
          <w:tcPr>
            <w:tcW w:w="49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156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6.2</w:t>
            </w:r>
          </w:p>
        </w:tc>
        <w:tc>
          <w:tcPr>
            <w:tcW w:w="94" w:type="dxa"/>
            <w:tcBorders/>
            <w:shd w:fill="FFFFFF" w:val="clear"/>
            <w:vAlign w:val="center"/>
          </w:tcPr>
          <w:p>
            <w:pPr>
              <w:pStyle w:val="TableContents"/>
              <w:bidi w:val="0"/>
              <w:spacing w:lineRule="atLeast" w:line="240" w:before="0" w:after="0"/>
              <w:jc w:val="left"/>
              <w:rPr/>
            </w:pPr>
            <w:r>
              <w:rPr/>
              <w:t> </w:t>
            </w:r>
          </w:p>
        </w:tc>
        <w:tc>
          <w:tcPr>
            <w:tcW w:w="1358"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3.1</w:t>
            </w:r>
          </w:p>
        </w:tc>
        <w:tc>
          <w:tcPr>
            <w:tcW w:w="686"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lineRule="atLeast" w:line="240" w:before="0" w:after="0"/>
              <w:jc w:val="left"/>
              <w:rPr/>
            </w:pPr>
            <w:r>
              <w:rPr/>
              <w:t> </w:t>
            </w:r>
          </w:p>
        </w:tc>
        <w:tc>
          <w:tcPr>
            <w:tcW w:w="151"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767"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183.4</w:t>
            </w:r>
          </w:p>
        </w:tc>
        <w:tc>
          <w:tcPr>
            <w:tcW w:w="72" w:type="dxa"/>
            <w:tcBorders/>
            <w:shd w:fill="CCEEFF" w:val="clear"/>
            <w:vAlign w:val="center"/>
          </w:tcPr>
          <w:p>
            <w:pPr>
              <w:pStyle w:val="TableContents"/>
              <w:bidi w:val="0"/>
              <w:spacing w:lineRule="atLeast" w:line="240" w:before="0" w:after="0"/>
              <w:jc w:val="left"/>
              <w:rPr/>
            </w:pPr>
            <w:r>
              <w:rPr/>
              <w:t> </w:t>
            </w:r>
          </w:p>
        </w:tc>
        <w:tc>
          <w:tcPr>
            <w:tcW w:w="151"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767"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176.9</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1565"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6.5</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3.7</w:t>
            </w:r>
          </w:p>
        </w:tc>
        <w:tc>
          <w:tcPr>
            <w:tcW w:w="686"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bl>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i/>
          <w:sz w:val="20"/>
        </w:rPr>
        <w:t>Revenues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Money Transfer Segment total revenues were $</w:t>
      </w:r>
      <w:r>
        <w:rPr>
          <w:rFonts w:ascii="Times New Roman" w:hAnsi="Times New Roman"/>
          <w:sz w:val="20"/>
        </w:rPr>
        <w:t>1,782.4</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95.9</w:t>
      </w:r>
      <w:r>
        <w:rPr/>
        <w:t xml:space="preserve"> </w:t>
      </w:r>
      <w:r>
        <w:rPr>
          <w:sz w:val="20"/>
        </w:rPr>
        <w:t xml:space="preserve">million or </w:t>
      </w:r>
      <w:r>
        <w:rPr>
          <w:rFonts w:ascii="Times New Roman" w:hAnsi="Times New Roman"/>
          <w:sz w:val="20"/>
        </w:rPr>
        <w:t>5.7</w:t>
      </w:r>
      <w:r>
        <w:rPr>
          <w:sz w:val="20"/>
        </w:rPr>
        <w:t xml:space="preserve">% compared to the same period in </w:t>
      </w:r>
      <w:r>
        <w:rPr>
          <w:rFonts w:ascii="Times New Roman" w:hAnsi="Times New Roman"/>
          <w:sz w:val="20"/>
        </w:rPr>
        <w:t>2024</w:t>
      </w:r>
      <w:r>
        <w:rPr>
          <w:sz w:val="20"/>
        </w:rPr>
        <w:t>. The increase in revenues was the result of</w:t>
      </w:r>
      <w:r>
        <w:rPr/>
        <w:t> </w:t>
      </w:r>
      <w:r>
        <w:rPr>
          <w:sz w:val="20"/>
        </w:rPr>
        <w:t>3.3%</w:t>
      </w:r>
      <w:r>
        <w:rPr/>
        <w:t> </w:t>
      </w:r>
      <w:r>
        <w:rPr>
          <w:sz w:val="20"/>
        </w:rPr>
        <w:t>growth in U.S.-originated transactions and 5.2%</w:t>
      </w:r>
      <w:r>
        <w:rPr/>
        <w:t> </w:t>
      </w:r>
      <w:r>
        <w:rPr>
          <w:sz w:val="20"/>
        </w:rPr>
        <w:t>growth in international-originated money transfers. These transaction growth rates include</w:t>
      </w:r>
      <w:r>
        <w:rPr/>
        <w:t> </w:t>
      </w:r>
      <w:r>
        <w:rPr>
          <w:sz w:val="20"/>
        </w:rPr>
        <w:t>30.8%</w:t>
      </w:r>
      <w:r>
        <w:rPr/>
        <w:t> </w:t>
      </w:r>
      <w:r>
        <w:rPr>
          <w:sz w:val="20"/>
        </w:rPr>
        <w:t>growth in direct-to-consumer digital transactions.</w:t>
      </w:r>
      <w:r>
        <w:rPr/>
        <w:t> </w:t>
      </w:r>
      <w:r>
        <w:rPr>
          <w:sz w:val="20"/>
        </w:rPr>
        <w:t xml:space="preserve">Revenues per transaction </w:t>
      </w:r>
      <w:r>
        <w:rPr>
          <w:rFonts w:ascii="Times New Roman" w:hAnsi="Times New Roman"/>
          <w:sz w:val="20"/>
        </w:rPr>
        <w:t>increased</w:t>
      </w:r>
      <w:r>
        <w:rPr/>
        <w:t xml:space="preserve"> </w:t>
      </w:r>
      <w:r>
        <w:rPr>
          <w:sz w:val="20"/>
        </w:rPr>
        <w:t>to $</w:t>
      </w:r>
      <w:r>
        <w:rPr>
          <w:rFonts w:ascii="Times New Roman" w:hAnsi="Times New Roman"/>
          <w:sz w:val="20"/>
        </w:rPr>
        <w:t>9.72</w:t>
      </w:r>
      <w:r>
        <w:rPr/>
        <w:t xml:space="preserve"> </w:t>
      </w:r>
      <w:r>
        <w:rPr>
          <w:sz w:val="20"/>
        </w:rPr>
        <w:t xml:space="preserve">for the year ended </w:t>
      </w:r>
      <w:r>
        <w:rPr>
          <w:rFonts w:ascii="Times New Roman" w:hAnsi="Times New Roman"/>
          <w:sz w:val="20"/>
        </w:rPr>
        <w:t>December 31, 2025</w:t>
      </w:r>
      <w:r>
        <w:rPr>
          <w:sz w:val="20"/>
        </w:rPr>
        <w:t>, compared to $</w:t>
      </w:r>
      <w:r>
        <w:rPr>
          <w:rFonts w:ascii="Times New Roman" w:hAnsi="Times New Roman"/>
          <w:sz w:val="20"/>
        </w:rPr>
        <w:t>9.53</w:t>
      </w:r>
      <w:r>
        <w:rPr/>
        <w:t xml:space="preserve"> </w:t>
      </w:r>
      <w:r>
        <w:rPr>
          <w:sz w:val="20"/>
        </w:rPr>
        <w:t xml:space="preserve">for the same period in </w:t>
      </w:r>
      <w:r>
        <w:rPr>
          <w:rFonts w:ascii="Times New Roman" w:hAnsi="Times New Roman"/>
          <w:sz w:val="20"/>
        </w:rPr>
        <w:t>2024</w:t>
      </w:r>
      <w:r>
        <w:rPr>
          <w:sz w:val="20"/>
        </w:rPr>
        <w:t>. Foreign currency movements increased revenues by approximately $</w:t>
      </w:r>
      <w:r>
        <w:rPr>
          <w:rFonts w:ascii="Times New Roman" w:hAnsi="Times New Roman"/>
          <w:sz w:val="20"/>
        </w:rPr>
        <w:t>34.5</w:t>
      </w:r>
      <w:r>
        <w:rPr/>
        <w:t xml:space="preserve"> </w:t>
      </w:r>
      <w:r>
        <w:rPr>
          <w:sz w:val="20"/>
        </w:rPr>
        <w:t>million for the year ended December 31, 2025,</w:t>
      </w:r>
      <w:r>
        <w:rPr/>
        <w:t> </w:t>
      </w:r>
      <w:r>
        <w:rPr>
          <w:sz w:val="20"/>
        </w:rPr>
        <w:t>compared to the same period in 2024.</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Direct operating costs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Money Transfer Segment direct operating costs were $</w:t>
      </w:r>
      <w:r>
        <w:rPr>
          <w:rFonts w:ascii="Times New Roman" w:hAnsi="Times New Roman"/>
          <w:sz w:val="20"/>
        </w:rPr>
        <w:t>934.9</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15.2</w:t>
      </w:r>
      <w:r>
        <w:rPr/>
        <w:t xml:space="preserve"> </w:t>
      </w:r>
      <w:r>
        <w:rPr>
          <w:sz w:val="20"/>
        </w:rPr>
        <w:t xml:space="preserve">million compared to the same period in </w:t>
      </w:r>
      <w:r>
        <w:rPr>
          <w:rFonts w:ascii="Times New Roman" w:hAnsi="Times New Roman"/>
          <w:sz w:val="20"/>
        </w:rPr>
        <w:t>2024</w:t>
      </w:r>
      <w:r>
        <w:rPr>
          <w:sz w:val="20"/>
        </w:rPr>
        <w:t>.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and international-originated money transfer transactions and corresponding increase in agent commissions.</w:t>
      </w:r>
      <w:r>
        <w:rPr/>
        <w:t> </w:t>
      </w:r>
      <w:r>
        <w:rPr>
          <w:sz w:val="20"/>
        </w:rPr>
        <w:t>Foreign currency movements increased revenues by approximately $</w:t>
      </w:r>
      <w:r>
        <w:rPr>
          <w:rFonts w:ascii="Times New Roman" w:hAnsi="Times New Roman"/>
          <w:sz w:val="20"/>
        </w:rPr>
        <w:t>17.7</w:t>
      </w:r>
      <w:r>
        <w:rPr/>
        <w:t xml:space="preserve"> </w:t>
      </w:r>
      <w:r>
        <w:rPr>
          <w:sz w:val="20"/>
        </w:rPr>
        <w:t>million for the year ended December 31, 2025,</w:t>
      </w:r>
      <w:r>
        <w:rPr/>
        <w:t> </w:t>
      </w:r>
      <w:r>
        <w:rPr>
          <w:sz w:val="20"/>
        </w:rPr>
        <w:t>compared to the same period in 2024.</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Gross profit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Gross profit was $</w:t>
      </w:r>
      <w:r>
        <w:rPr>
          <w:rFonts w:ascii="Times New Roman" w:hAnsi="Times New Roman"/>
          <w:sz w:val="20"/>
        </w:rPr>
        <w:t>847.5</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80.7</w:t>
      </w:r>
      <w:r>
        <w:rPr/>
        <w:t xml:space="preserve"> </w:t>
      </w:r>
      <w:r>
        <w:rPr>
          <w:sz w:val="20"/>
        </w:rPr>
        <w:t xml:space="preserve">million or </w:t>
      </w:r>
      <w:r>
        <w:rPr>
          <w:rFonts w:ascii="Times New Roman" w:hAnsi="Times New Roman"/>
          <w:sz w:val="20"/>
        </w:rPr>
        <w:t>10.5</w:t>
      </w:r>
      <w:r>
        <w:rPr>
          <w:sz w:val="20"/>
        </w:rPr>
        <w:t>% compared to $</w:t>
      </w:r>
      <w:r>
        <w:rPr>
          <w:rFonts w:ascii="Times New Roman" w:hAnsi="Times New Roman"/>
          <w:sz w:val="20"/>
        </w:rPr>
        <w:t>766.8</w:t>
      </w:r>
      <w:r>
        <w:rPr/>
        <w:t xml:space="preserve"> </w:t>
      </w:r>
      <w:r>
        <w:rPr>
          <w:sz w:val="20"/>
        </w:rPr>
        <w:t xml:space="preserve">million for the same period in </w:t>
      </w:r>
      <w:r>
        <w:rPr>
          <w:rFonts w:ascii="Times New Roman" w:hAnsi="Times New Roman"/>
          <w:sz w:val="20"/>
        </w:rPr>
        <w:t>2024</w:t>
      </w:r>
      <w:r>
        <w:rPr>
          <w:sz w:val="20"/>
        </w:rPr>
        <w:t xml:space="preserve">. Gross margin </w:t>
      </w:r>
      <w:r>
        <w:rPr>
          <w:rFonts w:ascii="Times New Roman" w:hAnsi="Times New Roman"/>
          <w:sz w:val="20"/>
        </w:rPr>
        <w:t>increased</w:t>
      </w:r>
      <w:r>
        <w:rPr/>
        <w:t xml:space="preserve"> </w:t>
      </w:r>
      <w:r>
        <w:rPr>
          <w:sz w:val="20"/>
        </w:rPr>
        <w:t xml:space="preserve">to </w:t>
      </w:r>
      <w:r>
        <w:rPr>
          <w:rFonts w:ascii="Times New Roman" w:hAnsi="Times New Roman"/>
          <w:sz w:val="20"/>
        </w:rPr>
        <w:t>47.5</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45.5</w:t>
      </w:r>
      <w:r>
        <w:rPr>
          <w:sz w:val="20"/>
        </w:rPr>
        <w:t xml:space="preserve">% for the same period in </w:t>
      </w:r>
      <w:r>
        <w:rPr>
          <w:rFonts w:ascii="Times New Roman" w:hAnsi="Times New Roman"/>
          <w:sz w:val="20"/>
        </w:rPr>
        <w:t>2024</w:t>
      </w:r>
      <w:r>
        <w:rPr>
          <w:sz w:val="20"/>
        </w:rPr>
        <w:t>. The increase in gross profit was primarily attributable to the increase in transaction volume and relative decrease of agent commissions</w:t>
      </w:r>
      <w:r>
        <w:rPr/>
        <w:t> </w:t>
      </w:r>
      <w:r>
        <w:rPr>
          <w:sz w:val="20"/>
        </w:rPr>
        <w:t xml:space="preserve">for the year ended </w:t>
      </w:r>
      <w:r>
        <w:rPr>
          <w:rFonts w:ascii="Times New Roman" w:hAnsi="Times New Roman"/>
          <w:sz w:val="20"/>
        </w:rPr>
        <w:t>December 31, 2025</w:t>
      </w:r>
      <w:r>
        <w:rPr>
          <w:sz w:val="20"/>
        </w:rPr>
        <w:t>.</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Salaries and benefits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Salaries and benefits expenses were $</w:t>
      </w:r>
      <w:r>
        <w:rPr>
          <w:rFonts w:ascii="Times New Roman" w:hAnsi="Times New Roman"/>
          <w:sz w:val="20"/>
        </w:rPr>
        <w:t>361.1</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27.7</w:t>
      </w:r>
      <w:r>
        <w:rPr/>
        <w:t xml:space="preserve"> </w:t>
      </w:r>
      <w:r>
        <w:rPr>
          <w:sz w:val="20"/>
        </w:rPr>
        <w:t xml:space="preserve">million or </w:t>
      </w:r>
      <w:r>
        <w:rPr>
          <w:rFonts w:ascii="Times New Roman" w:hAnsi="Times New Roman"/>
          <w:sz w:val="20"/>
        </w:rPr>
        <w:t>8.3</w:t>
      </w:r>
      <w:r>
        <w:rPr>
          <w:sz w:val="20"/>
        </w:rPr>
        <w:t xml:space="preserve">% compared to the same period in </w:t>
      </w:r>
      <w:r>
        <w:rPr>
          <w:rFonts w:ascii="Times New Roman" w:hAnsi="Times New Roman"/>
          <w:sz w:val="20"/>
        </w:rPr>
        <w:t>2024</w:t>
      </w:r>
      <w:r>
        <w:rPr>
          <w:sz w:val="20"/>
        </w:rPr>
        <w:t>. The increase in salaries and benefits was primarily driven by an increase in headcount to support the growth of the business.</w:t>
      </w:r>
      <w:r>
        <w:rPr/>
        <w:t> </w:t>
      </w:r>
      <w:r>
        <w:rPr>
          <w:sz w:val="20"/>
        </w:rPr>
        <w:t xml:space="preserve">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20.3</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19.8</w:t>
      </w:r>
      <w:r>
        <w:rPr>
          <w:sz w:val="20"/>
        </w:rPr>
        <w:t xml:space="preserve">% for the same period in </w:t>
      </w:r>
      <w:r>
        <w:rPr>
          <w:rFonts w:ascii="Times New Roman" w:hAnsi="Times New Roman"/>
          <w:sz w:val="20"/>
        </w:rPr>
        <w:t>2024</w:t>
      </w:r>
      <w:r>
        <w:rPr>
          <w:sz w:val="20"/>
        </w:rPr>
        <w:t>.</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Selling, general and administrative</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Selling, general and administrative expenses were $</w:t>
      </w:r>
      <w:r>
        <w:rPr>
          <w:rFonts w:ascii="Times New Roman" w:hAnsi="Times New Roman"/>
          <w:sz w:val="20"/>
        </w:rPr>
        <w:t>254.3</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47.9</w:t>
      </w:r>
      <w:r>
        <w:rPr/>
        <w:t xml:space="preserve"> </w:t>
      </w:r>
      <w:r>
        <w:rPr>
          <w:sz w:val="20"/>
        </w:rPr>
        <w:t xml:space="preserve">million or </w:t>
      </w:r>
      <w:r>
        <w:rPr>
          <w:rFonts w:ascii="Times New Roman" w:hAnsi="Times New Roman"/>
          <w:sz w:val="20"/>
        </w:rPr>
        <w:t>23.2</w:t>
      </w:r>
      <w:r>
        <w:rPr>
          <w:sz w:val="20"/>
        </w:rPr>
        <w:t xml:space="preserve">% compared to the same period in </w:t>
      </w:r>
      <w:r>
        <w:rPr>
          <w:rFonts w:ascii="Times New Roman" w:hAnsi="Times New Roman"/>
          <w:sz w:val="20"/>
        </w:rPr>
        <w:t>2024</w:t>
      </w:r>
      <w:r>
        <w:rPr>
          <w:sz w:val="20"/>
        </w:rPr>
        <w:t xml:space="preserve">. The increase in these expenses was primarily driven by an increase in advertising and promotions, bad debt expenses, product hardware, software, rent and utilities and travel-related expenses, partially offset by a decrease in professional fees. As a percentage of revenues, these expenses </w:t>
      </w:r>
      <w:r>
        <w:rPr>
          <w:rFonts w:ascii="Times New Roman" w:hAnsi="Times New Roman"/>
          <w:sz w:val="20"/>
        </w:rPr>
        <w:t>increased</w:t>
      </w:r>
      <w:r>
        <w:rPr/>
        <w:t xml:space="preserve"> </w:t>
      </w:r>
      <w:r>
        <w:rPr>
          <w:sz w:val="20"/>
        </w:rPr>
        <w:t xml:space="preserve">to </w:t>
      </w:r>
      <w:r>
        <w:rPr>
          <w:rFonts w:ascii="Times New Roman" w:hAnsi="Times New Roman"/>
          <w:sz w:val="20"/>
        </w:rPr>
        <w:t>14.3</w:t>
      </w:r>
      <w:r>
        <w:rPr>
          <w:sz w:val="20"/>
        </w:rPr>
        <w:t xml:space="preserve">% for the year ended </w:t>
      </w:r>
      <w:r>
        <w:rPr>
          <w:rFonts w:ascii="Times New Roman" w:hAnsi="Times New Roman"/>
          <w:sz w:val="20"/>
        </w:rPr>
        <w:t>December 31, 2025</w:t>
      </w:r>
      <w:r>
        <w:rPr>
          <w:sz w:val="20"/>
        </w:rPr>
        <w:t xml:space="preserve">, compared to </w:t>
      </w:r>
      <w:r>
        <w:rPr>
          <w:rFonts w:ascii="Times New Roman" w:hAnsi="Times New Roman"/>
          <w:sz w:val="20"/>
        </w:rPr>
        <w:t>12.2</w:t>
      </w:r>
      <w:r>
        <w:rPr>
          <w:sz w:val="20"/>
        </w:rPr>
        <w:t xml:space="preserve">% for the same period in </w:t>
      </w:r>
      <w:r>
        <w:rPr>
          <w:rFonts w:ascii="Times New Roman" w:hAnsi="Times New Roman"/>
          <w:sz w:val="20"/>
        </w:rPr>
        <w:t>2024</w:t>
      </w:r>
      <w:r>
        <w:rPr>
          <w:sz w:val="20"/>
        </w:rPr>
        <w:t>.</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i/>
          <w:sz w:val="20"/>
        </w:rPr>
      </w:pPr>
      <w:r>
        <w:rPr>
          <w:i/>
          <w:sz w:val="20"/>
        </w:rPr>
        <w:t>Depreciation and amortization</w:t>
      </w:r>
    </w:p>
    <w:p>
      <w:pPr>
        <w:pStyle w:val="TextBody"/>
        <w:bidi w:val="0"/>
        <w:spacing w:lineRule="atLeast" w:line="240" w:before="0" w:after="0"/>
        <w:jc w:val="both"/>
        <w:rPr/>
      </w:pPr>
      <w:r>
        <w:rPr/>
        <w:t> </w:t>
      </w:r>
    </w:p>
    <w:p>
      <w:pPr>
        <w:pStyle w:val="TextBody"/>
        <w:shd w:fill="FFFFFF" w:val="clear"/>
        <w:bidi w:val="0"/>
        <w:spacing w:lineRule="atLeast" w:line="240" w:before="0" w:after="0"/>
        <w:jc w:val="both"/>
        <w:rPr/>
      </w:pPr>
      <w:r>
        <w:rPr>
          <w:sz w:val="20"/>
        </w:rPr>
        <w:t>Depreciation and amortization expenses were $</w:t>
      </w:r>
      <w:r>
        <w:rPr>
          <w:rFonts w:ascii="Times New Roman" w:hAnsi="Times New Roman"/>
          <w:sz w:val="20"/>
        </w:rPr>
        <w:t>24.9</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 decrease</w:t>
      </w:r>
      <w:r>
        <w:rPr/>
        <w:t xml:space="preserve"> </w:t>
      </w:r>
      <w:r>
        <w:rPr>
          <w:sz w:val="20"/>
        </w:rPr>
        <w:t>of $</w:t>
      </w:r>
      <w:r>
        <w:rPr>
          <w:rFonts w:ascii="Times New Roman" w:hAnsi="Times New Roman"/>
          <w:sz w:val="20"/>
        </w:rPr>
        <w:t>1.1</w:t>
      </w:r>
      <w:r>
        <w:rPr/>
        <w:t xml:space="preserve"> </w:t>
      </w:r>
      <w:r>
        <w:rPr>
          <w:sz w:val="20"/>
        </w:rPr>
        <w:t xml:space="preserve">million or </w:t>
      </w:r>
      <w:r>
        <w:rPr>
          <w:rFonts w:ascii="Times New Roman" w:hAnsi="Times New Roman"/>
          <w:sz w:val="20"/>
        </w:rPr>
        <w:t>4.2</w:t>
      </w:r>
      <w:r>
        <w:rPr>
          <w:sz w:val="20"/>
        </w:rPr>
        <w:t xml:space="preserve">% compared to the same period in </w:t>
      </w:r>
      <w:r>
        <w:rPr>
          <w:rFonts w:ascii="Times New Roman" w:hAnsi="Times New Roman"/>
          <w:sz w:val="20"/>
        </w:rPr>
        <w:t>2024</w:t>
      </w:r>
      <w:r>
        <w:rPr>
          <w:sz w:val="20"/>
        </w:rPr>
        <w:t xml:space="preserve">. Depreciation and amortization primarily represent amortization of acquired intangible assets and depreciation of money transfer terminals, computers and software, leasehold improvements, and office equipment. As a percentage of revenues, these expenses </w:t>
      </w:r>
      <w:r>
        <w:rPr>
          <w:rFonts w:ascii="Times New Roman" w:hAnsi="Times New Roman"/>
          <w:sz w:val="20"/>
        </w:rPr>
        <w:t>decreased</w:t>
      </w:r>
      <w:r>
        <w:rPr/>
        <w:t xml:space="preserve"> </w:t>
      </w:r>
      <w:r>
        <w:rPr>
          <w:sz w:val="20"/>
        </w:rPr>
        <w:t xml:space="preserve">to </w:t>
      </w:r>
      <w:r>
        <w:rPr>
          <w:rFonts w:ascii="Times New Roman" w:hAnsi="Times New Roman"/>
          <w:sz w:val="20"/>
        </w:rPr>
        <w:t>1.4</w:t>
      </w:r>
      <w:r>
        <w:rPr>
          <w:sz w:val="20"/>
        </w:rPr>
        <w:t>%</w:t>
      </w:r>
      <w:r>
        <w:rPr/>
        <w:t> </w:t>
      </w:r>
      <w:r>
        <w:rPr>
          <w:sz w:val="20"/>
        </w:rPr>
        <w:t xml:space="preserve">for the year ended </w:t>
      </w:r>
      <w:r>
        <w:rPr>
          <w:rFonts w:ascii="Times New Roman" w:hAnsi="Times New Roman"/>
          <w:sz w:val="20"/>
        </w:rPr>
        <w:t>December 31, 2025</w:t>
      </w:r>
      <w:r>
        <w:rPr>
          <w:sz w:val="20"/>
        </w:rPr>
        <w:t xml:space="preserve">, compared to </w:t>
      </w:r>
      <w:r>
        <w:rPr>
          <w:rFonts w:ascii="Times New Roman" w:hAnsi="Times New Roman"/>
          <w:sz w:val="20"/>
        </w:rPr>
        <w:t>1.5</w:t>
      </w:r>
      <w:r>
        <w:rPr>
          <w:sz w:val="20"/>
        </w:rPr>
        <w:t xml:space="preserve">% for the same period in </w:t>
      </w:r>
      <w:r>
        <w:rPr>
          <w:rFonts w:ascii="Times New Roman" w:hAnsi="Times New Roman"/>
          <w:sz w:val="20"/>
        </w:rPr>
        <w:t>2024</w:t>
      </w:r>
      <w:r>
        <w:rPr>
          <w:sz w:val="20"/>
        </w:rPr>
        <w:t>.</w:t>
      </w:r>
    </w:p>
    <w:p>
      <w:pPr>
        <w:pStyle w:val="TextBody"/>
        <w:bidi w:val="0"/>
        <w:spacing w:lineRule="atLeast" w:line="240" w:before="0" w:after="0"/>
        <w:jc w:val="both"/>
        <w:rPr/>
      </w:pPr>
      <w:r>
        <w:rPr/>
        <w:t> </w:t>
      </w:r>
    </w:p>
    <w:p>
      <w:pPr>
        <w:pStyle w:val="TextBody"/>
        <w:shd w:fill="FFFFFF" w:val="clear"/>
        <w:bidi w:val="0"/>
        <w:spacing w:lineRule="atLeast" w:line="240" w:before="0" w:after="0"/>
        <w:jc w:val="both"/>
        <w:rPr>
          <w:i/>
          <w:sz w:val="20"/>
        </w:rPr>
      </w:pPr>
      <w:r>
        <w:rPr>
          <w:i/>
          <w:sz w:val="20"/>
        </w:rPr>
        <w:t>Operating income</w:t>
      </w:r>
    </w:p>
    <w:p>
      <w:pPr>
        <w:pStyle w:val="TextBody"/>
        <w:bidi w:val="0"/>
        <w:spacing w:lineRule="atLeast" w:line="240" w:before="0" w:after="0"/>
        <w:jc w:val="both"/>
        <w:rPr/>
      </w:pPr>
      <w:r>
        <w:rPr/>
        <w:t> </w:t>
      </w:r>
    </w:p>
    <w:p>
      <w:pPr>
        <w:pStyle w:val="TextBody"/>
        <w:shd w:fill="FFFFFF" w:val="clear"/>
        <w:bidi w:val="0"/>
        <w:spacing w:lineRule="atLeast" w:line="240" w:before="0" w:after="0"/>
        <w:jc w:val="both"/>
        <w:rPr/>
      </w:pPr>
      <w:r>
        <w:rPr>
          <w:sz w:val="20"/>
        </w:rPr>
        <w:t>Money Transfer Segment operating income was $</w:t>
      </w:r>
      <w:r>
        <w:rPr>
          <w:rFonts w:ascii="Times New Roman" w:hAnsi="Times New Roman"/>
          <w:sz w:val="20"/>
        </w:rPr>
        <w:t>207.2</w:t>
      </w:r>
      <w:r>
        <w:rPr/>
        <w:t xml:space="preserve"> </w:t>
      </w:r>
      <w:r>
        <w:rPr>
          <w:sz w:val="20"/>
        </w:rPr>
        <w:t>million for the year</w:t>
      </w:r>
      <w:r>
        <w:rPr/>
        <w:t> </w:t>
      </w:r>
      <w:r>
        <w:rPr>
          <w:sz w:val="20"/>
        </w:rPr>
        <w:t xml:space="preserve">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6.2</w:t>
      </w:r>
      <w:r>
        <w:rPr/>
        <w:t xml:space="preserve"> </w:t>
      </w:r>
      <w:r>
        <w:rPr>
          <w:sz w:val="20"/>
        </w:rPr>
        <w:t>million</w:t>
      </w:r>
      <w:r>
        <w:rPr/>
        <w:t> </w:t>
      </w:r>
      <w:r>
        <w:rPr>
          <w:sz w:val="20"/>
        </w:rPr>
        <w:t xml:space="preserve">or </w:t>
      </w:r>
      <w:r>
        <w:rPr>
          <w:rFonts w:ascii="Times New Roman" w:hAnsi="Times New Roman"/>
          <w:sz w:val="20"/>
        </w:rPr>
        <w:t>3.1</w:t>
      </w:r>
      <w:r>
        <w:rPr>
          <w:sz w:val="20"/>
        </w:rPr>
        <w:t>%</w:t>
      </w:r>
      <w:r>
        <w:rPr/>
        <w:t> </w:t>
      </w:r>
      <w:r>
        <w:rPr>
          <w:sz w:val="20"/>
        </w:rPr>
        <w:t xml:space="preserve">compared to the same period in </w:t>
      </w:r>
      <w:r>
        <w:rPr>
          <w:rFonts w:ascii="Times New Roman" w:hAnsi="Times New Roman"/>
          <w:sz w:val="20"/>
        </w:rPr>
        <w:t>2024</w:t>
      </w:r>
      <w:r>
        <w:rPr>
          <w:sz w:val="20"/>
        </w:rPr>
        <w:t>.</w:t>
      </w:r>
      <w:r>
        <w:rPr/>
        <w:t> </w:t>
      </w:r>
      <w:r>
        <w:rPr>
          <w:sz w:val="20"/>
        </w:rPr>
        <w:t>Operating margin was</w:t>
      </w:r>
      <w:r>
        <w:rPr/>
        <w:t> </w:t>
      </w:r>
      <w:r>
        <w:rPr>
          <w:rFonts w:ascii="Times New Roman" w:hAnsi="Times New Roman"/>
          <w:sz w:val="20"/>
        </w:rPr>
        <w:t>11.6</w:t>
      </w:r>
      <w:r>
        <w:rPr>
          <w:sz w:val="20"/>
        </w:rPr>
        <w:t>%</w:t>
      </w:r>
      <w:r>
        <w:rPr/>
        <w:t> </w:t>
      </w:r>
      <w:r>
        <w:rPr>
          <w:sz w:val="20"/>
        </w:rPr>
        <w:t xml:space="preserve">for the year ended </w:t>
      </w:r>
      <w:r>
        <w:rPr>
          <w:rFonts w:ascii="Times New Roman" w:hAnsi="Times New Roman"/>
          <w:sz w:val="20"/>
        </w:rPr>
        <w:t>December 31, 2025</w:t>
      </w:r>
      <w:r>
        <w:rPr>
          <w:sz w:val="20"/>
        </w:rPr>
        <w:t xml:space="preserve">, compared to </w:t>
      </w:r>
      <w:r>
        <w:rPr>
          <w:rFonts w:ascii="Times New Roman" w:hAnsi="Times New Roman"/>
          <w:sz w:val="20"/>
        </w:rPr>
        <w:t>11.9</w:t>
      </w:r>
      <w:r>
        <w:rPr>
          <w:sz w:val="20"/>
        </w:rPr>
        <w:t xml:space="preserve">% </w:t>
      </w:r>
      <w:r>
        <w:rPr/>
        <w:t> </w:t>
      </w:r>
      <w:r>
        <w:rPr>
          <w:sz w:val="20"/>
        </w:rPr>
        <w:t xml:space="preserve">for the same period in </w:t>
      </w:r>
      <w:r>
        <w:rPr>
          <w:rFonts w:ascii="Times New Roman" w:hAnsi="Times New Roman"/>
          <w:sz w:val="20"/>
        </w:rPr>
        <w:t>2024</w:t>
      </w:r>
      <w:r>
        <w:rPr>
          <w:sz w:val="20"/>
        </w:rPr>
        <w:t>, respectively.</w:t>
      </w:r>
      <w:r>
        <w:rPr/>
        <w:t> </w:t>
      </w:r>
      <w:r>
        <w:rPr>
          <w:sz w:val="20"/>
        </w:rPr>
        <w:t xml:space="preserve">Operating income per transaction </w:t>
      </w:r>
      <w:r>
        <w:rPr>
          <w:rFonts w:ascii="Times New Roman" w:hAnsi="Times New Roman"/>
          <w:sz w:val="20"/>
        </w:rPr>
        <w:t>decreased</w:t>
      </w:r>
      <w:r>
        <w:rPr/>
        <w:t xml:space="preserve"> </w:t>
      </w:r>
      <w:r>
        <w:rPr>
          <w:sz w:val="20"/>
        </w:rPr>
        <w:t>to $</w:t>
      </w:r>
      <w:r>
        <w:rPr>
          <w:rFonts w:ascii="Times New Roman" w:hAnsi="Times New Roman"/>
          <w:sz w:val="20"/>
        </w:rPr>
        <w:t>1.13</w:t>
      </w:r>
      <w:r>
        <w:rPr/>
        <w:t xml:space="preserve"> </w:t>
      </w:r>
      <w:r>
        <w:rPr>
          <w:sz w:val="20"/>
        </w:rPr>
        <w:t>for the year</w:t>
      </w:r>
      <w:r>
        <w:rPr/>
        <w:t> </w:t>
      </w:r>
      <w:r>
        <w:rPr>
          <w:sz w:val="20"/>
        </w:rPr>
        <w:t xml:space="preserve">ended </w:t>
      </w:r>
      <w:r>
        <w:rPr>
          <w:rFonts w:ascii="Times New Roman" w:hAnsi="Times New Roman"/>
          <w:sz w:val="20"/>
        </w:rPr>
        <w:t>December 31, 2025</w:t>
      </w:r>
      <w:r>
        <w:rPr>
          <w:sz w:val="20"/>
        </w:rPr>
        <w:t>, compared to</w:t>
      </w:r>
      <w:r>
        <w:rPr/>
        <w:t> </w:t>
      </w:r>
      <w:r>
        <w:rPr>
          <w:sz w:val="20"/>
        </w:rPr>
        <w:t>$</w:t>
      </w:r>
      <w:r>
        <w:rPr>
          <w:rFonts w:ascii="Times New Roman" w:hAnsi="Times New Roman"/>
          <w:sz w:val="20"/>
        </w:rPr>
        <w:t>1.14</w:t>
      </w:r>
      <w:r>
        <w:rPr/>
        <w:t xml:space="preserve"> </w:t>
      </w:r>
      <w:r>
        <w:rPr>
          <w:sz w:val="20"/>
        </w:rPr>
        <w:t xml:space="preserve">for the same period in </w:t>
      </w:r>
      <w:r>
        <w:rPr>
          <w:rFonts w:ascii="Times New Roman" w:hAnsi="Times New Roman"/>
          <w:sz w:val="20"/>
        </w:rPr>
        <w:t>2024</w:t>
      </w:r>
      <w:r>
        <w:rPr>
          <w:sz w:val="20"/>
        </w:rPr>
        <w:t>.</w:t>
      </w:r>
      <w:r>
        <w:rPr/>
        <w:t> </w:t>
      </w:r>
      <w:r>
        <w:rPr>
          <w:sz w:val="20"/>
        </w:rPr>
        <w:t>The increase</w:t>
      </w:r>
      <w:r>
        <w:rPr/>
        <w:t> </w:t>
      </w:r>
      <w:r>
        <w:rPr>
          <w:sz w:val="20"/>
        </w:rPr>
        <w:t xml:space="preserve">in operating income for the year ended </w:t>
      </w:r>
      <w:r>
        <w:rPr>
          <w:rFonts w:ascii="Times New Roman" w:hAnsi="Times New Roman"/>
          <w:sz w:val="20"/>
        </w:rPr>
        <w:t>December 31, 2025</w:t>
      </w:r>
      <w:r>
        <w:rPr/>
        <w:t xml:space="preserve"> </w:t>
      </w:r>
      <w:r>
        <w:rPr>
          <w:sz w:val="20"/>
        </w:rPr>
        <w:t xml:space="preserve">compared to the same period in </w:t>
      </w:r>
      <w:r>
        <w:rPr>
          <w:rFonts w:ascii="Times New Roman" w:hAnsi="Times New Roman"/>
          <w:sz w:val="20"/>
        </w:rPr>
        <w:t>2024</w:t>
      </w:r>
      <w:r>
        <w:rPr/>
        <w:t> </w:t>
      </w:r>
      <w:r>
        <w:rPr>
          <w:sz w:val="20"/>
        </w:rPr>
        <w:t>was primarily driven by</w:t>
      </w:r>
      <w:r>
        <w:rPr/>
        <w:t> </w:t>
      </w:r>
      <w:r>
        <w:rPr>
          <w:sz w:val="20"/>
        </w:rPr>
        <w:t>the increase</w:t>
      </w:r>
      <w:r>
        <w:rPr/>
        <w:t> </w:t>
      </w:r>
      <w:r>
        <w:rPr>
          <w:sz w:val="20"/>
        </w:rPr>
        <w:t>in transaction volume.</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shd w:fill="FFFFFF" w:val="clear"/>
        <w:bidi w:val="0"/>
        <w:spacing w:lineRule="atLeast" w:line="240" w:before="0" w:after="0"/>
        <w:jc w:val="both"/>
        <w:rPr>
          <w:b/>
          <w:sz w:val="20"/>
        </w:rPr>
      </w:pPr>
      <w:r>
        <w:rPr>
          <w:b/>
          <w:sz w:val="20"/>
        </w:rPr>
        <w:t>Corporate Services</w:t>
      </w:r>
    </w:p>
    <w:p>
      <w:pPr>
        <w:pStyle w:val="TextBody"/>
        <w:bidi w:val="0"/>
        <w:spacing w:lineRule="atLeast" w:line="240" w:before="0" w:after="0"/>
        <w:jc w:val="both"/>
        <w:rPr/>
      </w:pPr>
      <w:r>
        <w:rPr/>
        <w:t> </w:t>
      </w:r>
    </w:p>
    <w:p>
      <w:pPr>
        <w:pStyle w:val="TextBody"/>
        <w:shd w:fill="FFFFFF" w:val="clear"/>
        <w:bidi w:val="0"/>
        <w:spacing w:lineRule="atLeast" w:line="240" w:before="0" w:after="0"/>
        <w:jc w:val="both"/>
        <w:rPr/>
      </w:pPr>
      <w:r>
        <w:rPr>
          <w:sz w:val="20"/>
        </w:rPr>
        <w:t>The following table summarizes the results of operations for Corporate Services for the years ended</w:t>
      </w:r>
      <w:r>
        <w:rPr/>
        <w:t> </w:t>
      </w:r>
      <w:r>
        <w:rPr>
          <w:rFonts w:ascii="Times New Roman" w:hAnsi="Times New Roman"/>
          <w:sz w:val="20"/>
        </w:rPr>
        <w:t>December 31, 2025</w:t>
      </w:r>
      <w:r>
        <w:rPr/>
        <w:t xml:space="preserve"> </w:t>
      </w:r>
      <w:r>
        <w:rPr>
          <w:sz w:val="20"/>
        </w:rPr>
        <w:t>and</w:t>
      </w:r>
      <w:r>
        <w:rPr/>
        <w:t> </w:t>
      </w:r>
      <w:r>
        <w:rPr>
          <w:rFonts w:ascii="Times New Roman" w:hAnsi="Times New Roman"/>
          <w:sz w:val="20"/>
        </w:rPr>
        <w:t>2024</w:t>
      </w:r>
      <w:r>
        <w:rPr>
          <w:sz w:val="20"/>
        </w:rPr>
        <w:t>:</w:t>
      </w:r>
    </w:p>
    <w:p>
      <w:pPr>
        <w:pStyle w:val="TextBody"/>
        <w:bidi w:val="0"/>
        <w:spacing w:lineRule="atLeast" w:line="240" w:before="0" w:after="0"/>
        <w:jc w:val="both"/>
        <w:rPr/>
      </w:pPr>
      <w:r>
        <w:rPr/>
        <w:t> </w:t>
      </w:r>
    </w:p>
    <w:tbl>
      <w:tblPr>
        <w:tblW w:w="9096" w:type="dxa"/>
        <w:jc w:val="left"/>
        <w:tblInd w:w="0" w:type="dxa"/>
        <w:tblLayout w:type="fixed"/>
        <w:tblCellMar>
          <w:top w:w="0" w:type="dxa"/>
          <w:left w:w="0" w:type="dxa"/>
          <w:bottom w:w="0" w:type="dxa"/>
          <w:right w:w="0" w:type="dxa"/>
        </w:tblCellMar>
      </w:tblPr>
      <w:tblGrid>
        <w:gridCol w:w="2870"/>
        <w:gridCol w:w="60"/>
        <w:gridCol w:w="223"/>
        <w:gridCol w:w="678"/>
        <w:gridCol w:w="107"/>
        <w:gridCol w:w="223"/>
        <w:gridCol w:w="678"/>
        <w:gridCol w:w="60"/>
        <w:gridCol w:w="494"/>
        <w:gridCol w:w="1565"/>
        <w:gridCol w:w="94"/>
        <w:gridCol w:w="1358"/>
        <w:gridCol w:w="686"/>
      </w:tblGrid>
      <w:tr>
        <w:trPr/>
        <w:tc>
          <w:tcPr>
            <w:tcW w:w="287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09"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60" w:type="dxa"/>
            <w:tcBorders/>
            <w:vAlign w:val="center"/>
          </w:tcPr>
          <w:p>
            <w:pPr>
              <w:pStyle w:val="TableContents"/>
              <w:bidi w:val="0"/>
              <w:spacing w:lineRule="atLeast" w:line="240" w:before="0" w:after="0"/>
              <w:jc w:val="left"/>
              <w:rPr/>
            </w:pPr>
            <w:r>
              <w:rPr/>
              <w:t> </w:t>
            </w:r>
          </w:p>
        </w:tc>
        <w:tc>
          <w:tcPr>
            <w:tcW w:w="4197"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Year-over -Year Change</w:t>
            </w:r>
          </w:p>
        </w:tc>
      </w:tr>
      <w:tr>
        <w:trPr/>
        <w:tc>
          <w:tcPr>
            <w:tcW w:w="287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90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107"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90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lineRule="atLeast" w:line="240" w:before="0" w:after="0"/>
              <w:jc w:val="left"/>
              <w:rPr/>
            </w:pPr>
            <w:r>
              <w:rPr/>
              <w:t> </w:t>
            </w:r>
          </w:p>
        </w:tc>
        <w:tc>
          <w:tcPr>
            <w:tcW w:w="20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Amount</w:t>
            </w:r>
          </w:p>
        </w:tc>
        <w:tc>
          <w:tcPr>
            <w:tcW w:w="94"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2044" w:type="dxa"/>
            <w:gridSpan w:val="2"/>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Percent</w:t>
            </w:r>
          </w:p>
        </w:tc>
      </w:tr>
      <w:tr>
        <w:trPr/>
        <w:tc>
          <w:tcPr>
            <w:tcW w:w="287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Salaries and benefits</w:t>
            </w:r>
          </w:p>
        </w:tc>
        <w:tc>
          <w:tcPr>
            <w:tcW w:w="60" w:type="dxa"/>
            <w:tcBorders/>
            <w:shd w:fill="CCEEFF" w:val="clear"/>
            <w:vAlign w:val="center"/>
          </w:tcPr>
          <w:p>
            <w:pPr>
              <w:pStyle w:val="TableContents"/>
              <w:bidi w:val="0"/>
              <w:spacing w:lineRule="atLeast" w:line="240" w:before="0" w:after="0"/>
              <w:jc w:val="left"/>
              <w:rPr/>
            </w:pPr>
            <w:r>
              <w:rPr/>
              <w:t> </w:t>
            </w:r>
          </w:p>
        </w:tc>
        <w:tc>
          <w:tcPr>
            <w:tcW w:w="223"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77.6</w:t>
            </w:r>
          </w:p>
        </w:tc>
        <w:tc>
          <w:tcPr>
            <w:tcW w:w="107" w:type="dxa"/>
            <w:tcBorders/>
            <w:shd w:fill="CCEEFF" w:val="clear"/>
            <w:vAlign w:val="center"/>
          </w:tcPr>
          <w:p>
            <w:pPr>
              <w:pStyle w:val="TableContents"/>
              <w:bidi w:val="0"/>
              <w:spacing w:lineRule="atLeast" w:line="240" w:before="0" w:after="0"/>
              <w:jc w:val="left"/>
              <w:rPr/>
            </w:pPr>
            <w:r>
              <w:rPr/>
              <w:t> </w:t>
            </w:r>
          </w:p>
        </w:tc>
        <w:tc>
          <w:tcPr>
            <w:tcW w:w="223"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68.0</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56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9.6</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14.1</w:t>
            </w:r>
          </w:p>
        </w:tc>
        <w:tc>
          <w:tcPr>
            <w:tcW w:w="686"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lineRule="atLeast" w:line="240" w:before="0" w:after="0"/>
              <w:jc w:val="left"/>
              <w:rPr/>
            </w:pPr>
            <w:r>
              <w:rPr/>
              <w:t> </w:t>
            </w:r>
          </w:p>
        </w:tc>
        <w:tc>
          <w:tcPr>
            <w:tcW w:w="223" w:type="dxa"/>
            <w:tcBorders/>
            <w:shd w:fill="FFFFFF" w:val="clear"/>
            <w:vAlign w:val="center"/>
          </w:tcPr>
          <w:p>
            <w:pPr>
              <w:pStyle w:val="TableContents"/>
              <w:bidi w:val="0"/>
              <w:spacing w:lineRule="atLeast" w:line="240" w:before="0" w:after="0"/>
              <w:jc w:val="left"/>
              <w:rPr/>
            </w:pPr>
            <w:r>
              <w:rPr/>
              <w:t> </w:t>
            </w:r>
          </w:p>
        </w:tc>
        <w:tc>
          <w:tcPr>
            <w:tcW w:w="678"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14.2</w:t>
            </w:r>
          </w:p>
        </w:tc>
        <w:tc>
          <w:tcPr>
            <w:tcW w:w="107" w:type="dxa"/>
            <w:tcBorders/>
            <w:shd w:fill="FFFFFF" w:val="clear"/>
            <w:vAlign w:val="center"/>
          </w:tcPr>
          <w:p>
            <w:pPr>
              <w:pStyle w:val="TableContents"/>
              <w:bidi w:val="0"/>
              <w:spacing w:lineRule="atLeast" w:line="240" w:before="0" w:after="0"/>
              <w:jc w:val="left"/>
              <w:rPr/>
            </w:pPr>
            <w:r>
              <w:rPr/>
              <w:t> </w:t>
            </w:r>
          </w:p>
        </w:tc>
        <w:tc>
          <w:tcPr>
            <w:tcW w:w="223" w:type="dxa"/>
            <w:tcBorders/>
            <w:shd w:fill="FFFFFF" w:val="clear"/>
            <w:vAlign w:val="center"/>
          </w:tcPr>
          <w:p>
            <w:pPr>
              <w:pStyle w:val="TableContents"/>
              <w:bidi w:val="0"/>
              <w:spacing w:lineRule="atLeast" w:line="240" w:before="0" w:after="0"/>
              <w:jc w:val="left"/>
              <w:rPr/>
            </w:pPr>
            <w:r>
              <w:rPr/>
              <w:t> </w:t>
            </w:r>
          </w:p>
        </w:tc>
        <w:tc>
          <w:tcPr>
            <w:tcW w:w="678"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15.1</w:t>
            </w:r>
          </w:p>
        </w:tc>
        <w:tc>
          <w:tcPr>
            <w:tcW w:w="60" w:type="dxa"/>
            <w:tcBorders/>
            <w:shd w:fill="FFFFFF" w:val="clear"/>
            <w:vAlign w:val="center"/>
          </w:tcPr>
          <w:p>
            <w:pPr>
              <w:pStyle w:val="TableContents"/>
              <w:bidi w:val="0"/>
              <w:spacing w:lineRule="atLeast" w:line="240" w:before="0" w:after="0"/>
              <w:jc w:val="left"/>
              <w:rPr/>
            </w:pPr>
            <w:r>
              <w:rPr/>
              <w:t> </w:t>
            </w:r>
          </w:p>
        </w:tc>
        <w:tc>
          <w:tcPr>
            <w:tcW w:w="494" w:type="dxa"/>
            <w:tcBorders/>
            <w:shd w:fill="FFFFFF" w:val="clear"/>
            <w:vAlign w:val="center"/>
          </w:tcPr>
          <w:p>
            <w:pPr>
              <w:pStyle w:val="TableContents"/>
              <w:bidi w:val="0"/>
              <w:spacing w:lineRule="atLeast" w:line="240" w:before="0" w:after="0"/>
              <w:jc w:val="left"/>
              <w:rPr/>
            </w:pPr>
            <w:r>
              <w:rPr/>
              <w:t> </w:t>
            </w:r>
          </w:p>
        </w:tc>
        <w:tc>
          <w:tcPr>
            <w:tcW w:w="156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(0.9)</w:t>
            </w:r>
          </w:p>
        </w:tc>
        <w:tc>
          <w:tcPr>
            <w:tcW w:w="94" w:type="dxa"/>
            <w:tcBorders/>
            <w:shd w:fill="FFFFFF" w:val="clear"/>
            <w:vAlign w:val="center"/>
          </w:tcPr>
          <w:p>
            <w:pPr>
              <w:pStyle w:val="TableContents"/>
              <w:bidi w:val="0"/>
              <w:spacing w:lineRule="atLeast" w:line="240" w:before="0" w:after="0"/>
              <w:jc w:val="left"/>
              <w:rPr/>
            </w:pPr>
            <w:r>
              <w:rPr/>
              <w:t> </w:t>
            </w:r>
          </w:p>
        </w:tc>
        <w:tc>
          <w:tcPr>
            <w:tcW w:w="1358"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(6.0)</w:t>
            </w:r>
          </w:p>
        </w:tc>
        <w:tc>
          <w:tcPr>
            <w:tcW w:w="686"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lineRule="atLeast" w:line="240" w:before="0" w:after="0"/>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78"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w:t>
            </w:r>
          </w:p>
        </w:tc>
        <w:tc>
          <w:tcPr>
            <w:tcW w:w="107" w:type="dxa"/>
            <w:tcBorders/>
            <w:shd w:fill="CCEEFF" w:val="clear"/>
            <w:vAlign w:val="center"/>
          </w:tcPr>
          <w:p>
            <w:pPr>
              <w:pStyle w:val="TableContents"/>
              <w:bidi w:val="0"/>
              <w:spacing w:lineRule="atLeast" w:line="240" w:before="0" w:after="0"/>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78"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w:t>
            </w:r>
          </w:p>
        </w:tc>
        <w:tc>
          <w:tcPr>
            <w:tcW w:w="60" w:type="dxa"/>
            <w:tcBorders/>
            <w:shd w:fill="CCEEFF" w:val="clear"/>
            <w:vAlign w:val="center"/>
          </w:tcPr>
          <w:p>
            <w:pPr>
              <w:pStyle w:val="TableContents"/>
              <w:bidi w:val="0"/>
              <w:spacing w:lineRule="atLeast" w:line="240" w:before="0" w:after="0"/>
              <w:jc w:val="left"/>
              <w:rPr/>
            </w:pPr>
            <w:r>
              <w:rPr/>
              <w:t> </w:t>
            </w:r>
          </w:p>
        </w:tc>
        <w:tc>
          <w:tcPr>
            <w:tcW w:w="494"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94" w:type="dxa"/>
            <w:tcBorders/>
            <w:shd w:fill="CCEEFF" w:val="clear"/>
            <w:vAlign w:val="center"/>
          </w:tcPr>
          <w:p>
            <w:pPr>
              <w:pStyle w:val="TableContents"/>
              <w:bidi w:val="0"/>
              <w:spacing w:lineRule="atLeast" w:line="240" w:before="0" w:after="0"/>
              <w:jc w:val="left"/>
              <w:rPr/>
            </w:pPr>
            <w:r>
              <w:rPr/>
              <w:t> </w:t>
            </w:r>
          </w:p>
        </w:tc>
        <w:tc>
          <w:tcPr>
            <w:tcW w:w="1358" w:type="dxa"/>
            <w:tcBorders/>
            <w:shd w:fill="CCEEFF" w:val="clear"/>
            <w:vAlign w:val="center"/>
          </w:tcPr>
          <w:p>
            <w:pPr>
              <w:pStyle w:val="TableContents"/>
              <w:bidi w:val="0"/>
              <w:spacing w:lineRule="atLeast" w:line="240" w:before="0" w:after="0"/>
              <w:jc w:val="right"/>
              <w:rPr/>
            </w:pPr>
            <w:r>
              <w:rPr/>
              <w:t>—</w:t>
            </w:r>
          </w:p>
        </w:tc>
        <w:tc>
          <w:tcPr>
            <w:tcW w:w="686" w:type="dxa"/>
            <w:tcBorders/>
            <w:shd w:fill="CCEE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r>
        <w:trPr/>
        <w:tc>
          <w:tcPr>
            <w:tcW w:w="287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lineRule="atLeast" w:line="240" w:before="0" w:after="0"/>
              <w:jc w:val="left"/>
              <w:rPr/>
            </w:pPr>
            <w:r>
              <w:rPr/>
              <w:t> </w:t>
            </w:r>
          </w:p>
        </w:tc>
        <w:tc>
          <w:tcPr>
            <w:tcW w:w="22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92.4</w:t>
            </w:r>
          </w:p>
        </w:tc>
        <w:tc>
          <w:tcPr>
            <w:tcW w:w="107" w:type="dxa"/>
            <w:tcBorders/>
            <w:shd w:fill="FFFFFF" w:val="clear"/>
            <w:vAlign w:val="center"/>
          </w:tcPr>
          <w:p>
            <w:pPr>
              <w:pStyle w:val="TableContents"/>
              <w:bidi w:val="0"/>
              <w:spacing w:lineRule="atLeast" w:line="240" w:before="0" w:after="0"/>
              <w:jc w:val="left"/>
              <w:rPr/>
            </w:pPr>
            <w:r>
              <w:rPr/>
              <w:t> </w:t>
            </w:r>
          </w:p>
        </w:tc>
        <w:tc>
          <w:tcPr>
            <w:tcW w:w="22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83.7</w:t>
            </w:r>
          </w:p>
        </w:tc>
        <w:tc>
          <w:tcPr>
            <w:tcW w:w="60" w:type="dxa"/>
            <w:tcBorders/>
            <w:shd w:fill="FFFFFF" w:val="clear"/>
            <w:vAlign w:val="center"/>
          </w:tcPr>
          <w:p>
            <w:pPr>
              <w:pStyle w:val="TableContents"/>
              <w:bidi w:val="0"/>
              <w:spacing w:lineRule="atLeast" w:line="240" w:before="0" w:after="0"/>
              <w:jc w:val="left"/>
              <w:rPr/>
            </w:pPr>
            <w:r>
              <w:rPr/>
              <w:t> </w:t>
            </w:r>
          </w:p>
        </w:tc>
        <w:tc>
          <w:tcPr>
            <w:tcW w:w="49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56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8.7</w:t>
            </w:r>
          </w:p>
        </w:tc>
        <w:tc>
          <w:tcPr>
            <w:tcW w:w="94" w:type="dxa"/>
            <w:tcBorders/>
            <w:shd w:fill="FFFFFF" w:val="clear"/>
            <w:vAlign w:val="center"/>
          </w:tcPr>
          <w:p>
            <w:pPr>
              <w:pStyle w:val="TableContents"/>
              <w:bidi w:val="0"/>
              <w:spacing w:lineRule="atLeast" w:line="240" w:before="0" w:after="0"/>
              <w:jc w:val="left"/>
              <w:rPr/>
            </w:pPr>
            <w:r>
              <w:rPr/>
              <w:t> </w:t>
            </w:r>
          </w:p>
        </w:tc>
        <w:tc>
          <w:tcPr>
            <w:tcW w:w="1358"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10.4</w:t>
            </w:r>
          </w:p>
        </w:tc>
        <w:tc>
          <w:tcPr>
            <w:tcW w:w="686" w:type="dxa"/>
            <w:tcBorders/>
            <w:shd w:fill="FFFFFF" w:val="clear"/>
            <w:vAlign w:val="center"/>
          </w:tcPr>
          <w:p>
            <w:pPr>
              <w:pStyle w:val="TableContents"/>
              <w:bidi w:val="0"/>
              <w:spacing w:lineRule="atLeast" w:line="240" w:before="0" w:after="0"/>
              <w:jc w:val="left"/>
              <w:rPr>
                <w:rFonts w:ascii="Times New Roman" w:hAnsi="Times New Roman"/>
                <w:color w:val="333333"/>
                <w:sz w:val="20"/>
              </w:rPr>
            </w:pPr>
            <w:r>
              <w:rPr>
                <w:rFonts w:ascii="Times New Roman" w:hAnsi="Times New Roman"/>
                <w:color w:val="333333"/>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Corporate operating expenses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Total Corporate operating expenses were $</w:t>
      </w:r>
      <w:r>
        <w:rPr>
          <w:rFonts w:ascii="Times New Roman" w:hAnsi="Times New Roman"/>
          <w:sz w:val="20"/>
        </w:rPr>
        <w:t>92.4</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xml:space="preserve"> </w:t>
      </w:r>
      <w:r>
        <w:rPr>
          <w:sz w:val="20"/>
        </w:rPr>
        <w:t>of $</w:t>
      </w:r>
      <w:r>
        <w:rPr>
          <w:rFonts w:ascii="Times New Roman" w:hAnsi="Times New Roman"/>
          <w:sz w:val="20"/>
        </w:rPr>
        <w:t>8.7</w:t>
      </w:r>
      <w:r>
        <w:rPr/>
        <w:t xml:space="preserve"> </w:t>
      </w:r>
      <w:r>
        <w:rPr>
          <w:sz w:val="20"/>
        </w:rPr>
        <w:t xml:space="preserve">million or </w:t>
      </w:r>
      <w:r>
        <w:rPr>
          <w:rFonts w:ascii="Times New Roman" w:hAnsi="Times New Roman"/>
          <w:sz w:val="20"/>
        </w:rPr>
        <w:t>10.4</w:t>
      </w:r>
      <w:r>
        <w:rPr>
          <w:sz w:val="20"/>
        </w:rPr>
        <w:t>%,</w:t>
      </w:r>
      <w:r>
        <w:rPr/>
        <w:t> </w:t>
      </w:r>
      <w:r>
        <w:rPr>
          <w:sz w:val="20"/>
        </w:rPr>
        <w:t xml:space="preserve">compared to the same period in </w:t>
      </w:r>
      <w:r>
        <w:rPr>
          <w:rFonts w:ascii="Times New Roman" w:hAnsi="Times New Roman"/>
          <w:sz w:val="20"/>
        </w:rPr>
        <w:t>2024</w:t>
      </w:r>
      <w:r>
        <w:rPr>
          <w:sz w:val="20"/>
        </w:rPr>
        <w:t xml:space="preserve">. The increase was primarily due to an increase in share-based compensation and bonuses for the year ended </w:t>
      </w:r>
      <w:r>
        <w:rPr>
          <w:rFonts w:ascii="Times New Roman" w:hAnsi="Times New Roman"/>
          <w:sz w:val="20"/>
        </w:rPr>
        <w:t>December 31, 2025</w:t>
      </w:r>
      <w:r>
        <w:rPr>
          <w:sz w:val="20"/>
        </w:rPr>
        <w:t xml:space="preserve">, compared to the same period in </w:t>
      </w:r>
      <w:r>
        <w:rPr>
          <w:rFonts w:ascii="Times New Roman" w:hAnsi="Times New Roman"/>
          <w:sz w:val="20"/>
        </w:rPr>
        <w:t>2024</w:t>
      </w:r>
      <w:r>
        <w:rPr>
          <w:sz w:val="20"/>
        </w:rPr>
        <w:t>.</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Other Expense, Net</w:t>
      </w:r>
    </w:p>
    <w:p>
      <w:pPr>
        <w:pStyle w:val="TextBody"/>
        <w:bidi w:val="0"/>
        <w:spacing w:lineRule="atLeast" w:line="240" w:before="0" w:after="0"/>
        <w:jc w:val="both"/>
        <w:rPr/>
      </w:pPr>
      <w:r>
        <w:rPr/>
        <w:t> </w:t>
      </w:r>
    </w:p>
    <w:tbl>
      <w:tblPr>
        <w:tblW w:w="9682" w:type="dxa"/>
        <w:jc w:val="left"/>
        <w:tblInd w:w="0" w:type="dxa"/>
        <w:tblLayout w:type="fixed"/>
        <w:tblCellMar>
          <w:top w:w="0" w:type="dxa"/>
          <w:left w:w="0" w:type="dxa"/>
          <w:bottom w:w="0" w:type="dxa"/>
          <w:right w:w="0" w:type="dxa"/>
        </w:tblCellMar>
      </w:tblPr>
      <w:tblGrid>
        <w:gridCol w:w="3470"/>
        <w:gridCol w:w="60"/>
        <w:gridCol w:w="182"/>
        <w:gridCol w:w="729"/>
        <w:gridCol w:w="87"/>
        <w:gridCol w:w="182"/>
        <w:gridCol w:w="729"/>
        <w:gridCol w:w="60"/>
        <w:gridCol w:w="410"/>
        <w:gridCol w:w="1649"/>
        <w:gridCol w:w="80"/>
        <w:gridCol w:w="1460"/>
        <w:gridCol w:w="584"/>
      </w:tblGrid>
      <w:tr>
        <w:trPr/>
        <w:tc>
          <w:tcPr>
            <w:tcW w:w="347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09"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60" w:type="dxa"/>
            <w:tcBorders/>
            <w:vAlign w:val="center"/>
          </w:tcPr>
          <w:p>
            <w:pPr>
              <w:pStyle w:val="TableContents"/>
              <w:bidi w:val="0"/>
              <w:spacing w:lineRule="atLeast" w:line="240" w:before="0" w:after="0"/>
              <w:jc w:val="left"/>
              <w:rPr/>
            </w:pPr>
            <w:r>
              <w:rPr/>
              <w:t> </w:t>
            </w:r>
          </w:p>
        </w:tc>
        <w:tc>
          <w:tcPr>
            <w:tcW w:w="4183"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-over-Year Change</w:t>
            </w:r>
          </w:p>
        </w:tc>
      </w:tr>
      <w:tr>
        <w:trPr/>
        <w:tc>
          <w:tcPr>
            <w:tcW w:w="347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91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87"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91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lineRule="atLeast" w:line="240" w:before="0" w:after="0"/>
              <w:jc w:val="left"/>
              <w:rPr/>
            </w:pPr>
            <w:r>
              <w:rPr/>
              <w:t> </w:t>
            </w:r>
          </w:p>
        </w:tc>
        <w:tc>
          <w:tcPr>
            <w:tcW w:w="20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Amount</w:t>
            </w:r>
          </w:p>
        </w:tc>
        <w:tc>
          <w:tcPr>
            <w:tcW w:w="8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20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Increase (Decrease) Percent</w:t>
            </w:r>
          </w:p>
        </w:tc>
      </w:tr>
      <w:tr>
        <w:trPr/>
        <w:tc>
          <w:tcPr>
            <w:tcW w:w="347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lineRule="atLeast" w:line="240" w:before="0" w:after="0"/>
              <w:jc w:val="left"/>
              <w:rPr/>
            </w:pPr>
            <w:r>
              <w:rPr/>
              <w:t> </w:t>
            </w:r>
          </w:p>
        </w:tc>
        <w:tc>
          <w:tcPr>
            <w:tcW w:w="182"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2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23.2</w:t>
            </w:r>
          </w:p>
        </w:tc>
        <w:tc>
          <w:tcPr>
            <w:tcW w:w="87" w:type="dxa"/>
            <w:tcBorders/>
            <w:shd w:fill="CCEEFF" w:val="clear"/>
            <w:vAlign w:val="center"/>
          </w:tcPr>
          <w:p>
            <w:pPr>
              <w:pStyle w:val="TableContents"/>
              <w:bidi w:val="0"/>
              <w:spacing w:lineRule="atLeast" w:line="240" w:before="0" w:after="0"/>
              <w:jc w:val="left"/>
              <w:rPr/>
            </w:pPr>
            <w:r>
              <w:rPr/>
              <w:t> </w:t>
            </w:r>
          </w:p>
        </w:tc>
        <w:tc>
          <w:tcPr>
            <w:tcW w:w="182"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2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23.8</w:t>
            </w:r>
          </w:p>
        </w:tc>
        <w:tc>
          <w:tcPr>
            <w:tcW w:w="60" w:type="dxa"/>
            <w:tcBorders/>
            <w:shd w:fill="CCEEFF" w:val="clear"/>
            <w:vAlign w:val="center"/>
          </w:tcPr>
          <w:p>
            <w:pPr>
              <w:pStyle w:val="TableContents"/>
              <w:bidi w:val="0"/>
              <w:spacing w:lineRule="atLeast" w:line="240" w:before="0" w:after="0"/>
              <w:jc w:val="left"/>
              <w:rPr/>
            </w:pPr>
            <w:r>
              <w:rPr/>
              <w:t> </w:t>
            </w:r>
          </w:p>
        </w:tc>
        <w:tc>
          <w:tcPr>
            <w:tcW w:w="41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4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w:t>
            </w:r>
          </w:p>
        </w:tc>
        <w:tc>
          <w:tcPr>
            <w:tcW w:w="80" w:type="dxa"/>
            <w:tcBorders/>
            <w:shd w:fill="CCEEFF" w:val="clear"/>
            <w:vAlign w:val="center"/>
          </w:tcPr>
          <w:p>
            <w:pPr>
              <w:pStyle w:val="TableContents"/>
              <w:bidi w:val="0"/>
              <w:spacing w:lineRule="atLeast" w:line="240" w:before="0" w:after="0"/>
              <w:jc w:val="left"/>
              <w:rPr/>
            </w:pPr>
            <w:r>
              <w:rPr/>
              <w:t> </w:t>
            </w:r>
          </w:p>
        </w:tc>
        <w:tc>
          <w:tcPr>
            <w:tcW w:w="146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(2.5)</w:t>
            </w:r>
          </w:p>
        </w:tc>
        <w:tc>
          <w:tcPr>
            <w:tcW w:w="584"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w:t>
            </w:r>
          </w:p>
        </w:tc>
      </w:tr>
      <w:tr>
        <w:trPr/>
        <w:tc>
          <w:tcPr>
            <w:tcW w:w="347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lineRule="atLeast" w:line="240" w:before="0" w:after="0"/>
              <w:jc w:val="left"/>
              <w:rPr/>
            </w:pPr>
            <w:r>
              <w:rPr/>
              <w:t> </w:t>
            </w:r>
          </w:p>
        </w:tc>
        <w:tc>
          <w:tcPr>
            <w:tcW w:w="182" w:type="dxa"/>
            <w:tcBorders/>
            <w:shd w:fill="FFFFFF" w:val="clear"/>
            <w:vAlign w:val="center"/>
          </w:tcPr>
          <w:p>
            <w:pPr>
              <w:pStyle w:val="TableContents"/>
              <w:bidi w:val="0"/>
              <w:spacing w:lineRule="atLeast" w:line="240" w:before="0" w:after="0"/>
              <w:jc w:val="left"/>
              <w:rPr/>
            </w:pPr>
            <w:r>
              <w:rPr/>
              <w:t> </w:t>
            </w:r>
          </w:p>
        </w:tc>
        <w:tc>
          <w:tcPr>
            <w:tcW w:w="7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(84.5)</w:t>
            </w:r>
          </w:p>
        </w:tc>
        <w:tc>
          <w:tcPr>
            <w:tcW w:w="87" w:type="dxa"/>
            <w:tcBorders/>
            <w:shd w:fill="FFFFFF" w:val="clear"/>
            <w:vAlign w:val="center"/>
          </w:tcPr>
          <w:p>
            <w:pPr>
              <w:pStyle w:val="TableContents"/>
              <w:bidi w:val="0"/>
              <w:spacing w:lineRule="atLeast" w:line="240" w:before="0" w:after="0"/>
              <w:jc w:val="left"/>
              <w:rPr/>
            </w:pPr>
            <w:r>
              <w:rPr/>
              <w:t> </w:t>
            </w:r>
          </w:p>
        </w:tc>
        <w:tc>
          <w:tcPr>
            <w:tcW w:w="182" w:type="dxa"/>
            <w:tcBorders/>
            <w:shd w:fill="FFFFFF" w:val="clear"/>
            <w:vAlign w:val="center"/>
          </w:tcPr>
          <w:p>
            <w:pPr>
              <w:pStyle w:val="TableContents"/>
              <w:bidi w:val="0"/>
              <w:spacing w:lineRule="atLeast" w:line="240" w:before="0" w:after="0"/>
              <w:jc w:val="left"/>
              <w:rPr/>
            </w:pPr>
            <w:r>
              <w:rPr/>
              <w:t> </w:t>
            </w:r>
          </w:p>
        </w:tc>
        <w:tc>
          <w:tcPr>
            <w:tcW w:w="7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(80.5)</w:t>
            </w:r>
          </w:p>
        </w:tc>
        <w:tc>
          <w:tcPr>
            <w:tcW w:w="60" w:type="dxa"/>
            <w:tcBorders/>
            <w:shd w:fill="FFFFFF" w:val="clear"/>
            <w:vAlign w:val="center"/>
          </w:tcPr>
          <w:p>
            <w:pPr>
              <w:pStyle w:val="TableContents"/>
              <w:bidi w:val="0"/>
              <w:spacing w:lineRule="atLeast" w:line="240" w:before="0" w:after="0"/>
              <w:jc w:val="left"/>
              <w:rPr/>
            </w:pPr>
            <w:r>
              <w:rPr/>
              <w:t> </w:t>
            </w:r>
          </w:p>
        </w:tc>
        <w:tc>
          <w:tcPr>
            <w:tcW w:w="410" w:type="dxa"/>
            <w:tcBorders/>
            <w:shd w:fill="FFFFFF" w:val="clear"/>
            <w:vAlign w:val="center"/>
          </w:tcPr>
          <w:p>
            <w:pPr>
              <w:pStyle w:val="TableContents"/>
              <w:bidi w:val="0"/>
              <w:spacing w:lineRule="atLeast" w:line="240" w:before="0" w:after="0"/>
              <w:jc w:val="left"/>
              <w:rPr/>
            </w:pPr>
            <w:r>
              <w:rPr/>
              <w:t> </w:t>
            </w:r>
          </w:p>
        </w:tc>
        <w:tc>
          <w:tcPr>
            <w:tcW w:w="164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(4.0)</w:t>
            </w:r>
          </w:p>
        </w:tc>
        <w:tc>
          <w:tcPr>
            <w:tcW w:w="80" w:type="dxa"/>
            <w:tcBorders/>
            <w:shd w:fill="FFFFFF" w:val="clear"/>
            <w:vAlign w:val="center"/>
          </w:tcPr>
          <w:p>
            <w:pPr>
              <w:pStyle w:val="TableContents"/>
              <w:bidi w:val="0"/>
              <w:spacing w:lineRule="atLeast" w:line="240" w:before="0" w:after="0"/>
              <w:jc w:val="left"/>
              <w:rPr/>
            </w:pPr>
            <w:r>
              <w:rPr/>
              <w:t> </w:t>
            </w:r>
          </w:p>
        </w:tc>
        <w:tc>
          <w:tcPr>
            <w:tcW w:w="146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5.0</w:t>
            </w:r>
          </w:p>
        </w:tc>
        <w:tc>
          <w:tcPr>
            <w:tcW w:w="584"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w:t>
            </w:r>
          </w:p>
        </w:tc>
      </w:tr>
      <w:tr>
        <w:trPr/>
        <w:tc>
          <w:tcPr>
            <w:tcW w:w="347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Foreign currency exchange (loss) gain, net</w:t>
            </w:r>
          </w:p>
        </w:tc>
        <w:tc>
          <w:tcPr>
            <w:tcW w:w="60" w:type="dxa"/>
            <w:tcBorders/>
            <w:shd w:fill="CCEEFF" w:val="clear"/>
            <w:vAlign w:val="center"/>
          </w:tcPr>
          <w:p>
            <w:pPr>
              <w:pStyle w:val="TableContents"/>
              <w:bidi w:val="0"/>
              <w:spacing w:lineRule="atLeast" w:line="240" w:before="0" w:after="0"/>
              <w:jc w:val="left"/>
              <w:rPr/>
            </w:pPr>
            <w:r>
              <w:rPr/>
              <w:t> </w:t>
            </w:r>
          </w:p>
        </w:tc>
        <w:tc>
          <w:tcPr>
            <w:tcW w:w="182" w:type="dxa"/>
            <w:tcBorders/>
            <w:shd w:fill="CCEEFF" w:val="clear"/>
            <w:vAlign w:val="center"/>
          </w:tcPr>
          <w:p>
            <w:pPr>
              <w:pStyle w:val="TableContents"/>
              <w:bidi w:val="0"/>
              <w:spacing w:lineRule="atLeast" w:line="240" w:before="0" w:after="0"/>
              <w:jc w:val="left"/>
              <w:rPr/>
            </w:pPr>
            <w:r>
              <w:rPr/>
              <w:t> </w:t>
            </w:r>
          </w:p>
        </w:tc>
        <w:tc>
          <w:tcPr>
            <w:tcW w:w="7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(25.2)</w:t>
            </w:r>
          </w:p>
        </w:tc>
        <w:tc>
          <w:tcPr>
            <w:tcW w:w="87" w:type="dxa"/>
            <w:tcBorders/>
            <w:shd w:fill="CCEEFF" w:val="clear"/>
            <w:vAlign w:val="center"/>
          </w:tcPr>
          <w:p>
            <w:pPr>
              <w:pStyle w:val="TableContents"/>
              <w:bidi w:val="0"/>
              <w:spacing w:lineRule="atLeast" w:line="240" w:before="0" w:after="0"/>
              <w:jc w:val="left"/>
              <w:rPr/>
            </w:pPr>
            <w:r>
              <w:rPr/>
              <w:t> </w:t>
            </w:r>
          </w:p>
        </w:tc>
        <w:tc>
          <w:tcPr>
            <w:tcW w:w="182" w:type="dxa"/>
            <w:tcBorders/>
            <w:shd w:fill="CCEEFF" w:val="clear"/>
            <w:vAlign w:val="center"/>
          </w:tcPr>
          <w:p>
            <w:pPr>
              <w:pStyle w:val="TableContents"/>
              <w:bidi w:val="0"/>
              <w:spacing w:lineRule="atLeast" w:line="240" w:before="0" w:after="0"/>
              <w:jc w:val="left"/>
              <w:rPr/>
            </w:pPr>
            <w:r>
              <w:rPr/>
              <w:t> </w:t>
            </w:r>
          </w:p>
        </w:tc>
        <w:tc>
          <w:tcPr>
            <w:tcW w:w="7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(19.1)</w:t>
            </w:r>
          </w:p>
        </w:tc>
        <w:tc>
          <w:tcPr>
            <w:tcW w:w="60" w:type="dxa"/>
            <w:tcBorders/>
            <w:shd w:fill="CCEEFF" w:val="clear"/>
            <w:vAlign w:val="center"/>
          </w:tcPr>
          <w:p>
            <w:pPr>
              <w:pStyle w:val="TableContents"/>
              <w:bidi w:val="0"/>
              <w:spacing w:lineRule="atLeast" w:line="240" w:before="0" w:after="0"/>
              <w:jc w:val="left"/>
              <w:rPr/>
            </w:pPr>
            <w:r>
              <w:rPr/>
              <w:t> </w:t>
            </w:r>
          </w:p>
        </w:tc>
        <w:tc>
          <w:tcPr>
            <w:tcW w:w="410" w:type="dxa"/>
            <w:tcBorders/>
            <w:shd w:fill="CCEEFF" w:val="clear"/>
            <w:vAlign w:val="center"/>
          </w:tcPr>
          <w:p>
            <w:pPr>
              <w:pStyle w:val="TableContents"/>
              <w:bidi w:val="0"/>
              <w:spacing w:lineRule="atLeast" w:line="240" w:before="0" w:after="0"/>
              <w:jc w:val="left"/>
              <w:rPr/>
            </w:pPr>
            <w:r>
              <w:rPr/>
              <w:t> </w:t>
            </w:r>
          </w:p>
        </w:tc>
        <w:tc>
          <w:tcPr>
            <w:tcW w:w="164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(6.1)</w:t>
            </w:r>
          </w:p>
        </w:tc>
        <w:tc>
          <w:tcPr>
            <w:tcW w:w="80" w:type="dxa"/>
            <w:tcBorders/>
            <w:shd w:fill="CCEEFF" w:val="clear"/>
            <w:vAlign w:val="center"/>
          </w:tcPr>
          <w:p>
            <w:pPr>
              <w:pStyle w:val="TableContents"/>
              <w:bidi w:val="0"/>
              <w:spacing w:lineRule="atLeast" w:line="240" w:before="0" w:after="0"/>
              <w:jc w:val="left"/>
              <w:rPr/>
            </w:pPr>
            <w:r>
              <w:rPr/>
              <w:t> </w:t>
            </w:r>
          </w:p>
        </w:tc>
        <w:tc>
          <w:tcPr>
            <w:tcW w:w="146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31.9</w:t>
            </w:r>
          </w:p>
        </w:tc>
        <w:tc>
          <w:tcPr>
            <w:tcW w:w="584"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w:t>
            </w:r>
          </w:p>
        </w:tc>
      </w:tr>
      <w:tr>
        <w:trPr/>
        <w:tc>
          <w:tcPr>
            <w:tcW w:w="347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Other gains, net</w:t>
            </w:r>
          </w:p>
        </w:tc>
        <w:tc>
          <w:tcPr>
            <w:tcW w:w="60" w:type="dxa"/>
            <w:tcBorders/>
            <w:shd w:fill="FFFFFF" w:val="clear"/>
            <w:vAlign w:val="center"/>
          </w:tcPr>
          <w:p>
            <w:pPr>
              <w:pStyle w:val="TableContents"/>
              <w:bidi w:val="0"/>
              <w:spacing w:lineRule="atLeast" w:line="240" w:before="0" w:after="0"/>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72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w:t>
            </w:r>
          </w:p>
        </w:tc>
        <w:tc>
          <w:tcPr>
            <w:tcW w:w="87" w:type="dxa"/>
            <w:tcBorders/>
            <w:shd w:fill="FFFFFF" w:val="clear"/>
            <w:vAlign w:val="center"/>
          </w:tcPr>
          <w:p>
            <w:pPr>
              <w:pStyle w:val="TableContents"/>
              <w:bidi w:val="0"/>
              <w:spacing w:lineRule="atLeast" w:line="240" w:before="0" w:after="0"/>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72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21.5</w:t>
            </w:r>
          </w:p>
        </w:tc>
        <w:tc>
          <w:tcPr>
            <w:tcW w:w="60" w:type="dxa"/>
            <w:tcBorders/>
            <w:shd w:fill="FFFFFF" w:val="clear"/>
            <w:vAlign w:val="center"/>
          </w:tcPr>
          <w:p>
            <w:pPr>
              <w:pStyle w:val="TableContents"/>
              <w:bidi w:val="0"/>
              <w:spacing w:lineRule="atLeast" w:line="240" w:before="0" w:after="0"/>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(16.6)</w:t>
            </w:r>
          </w:p>
        </w:tc>
        <w:tc>
          <w:tcPr>
            <w:tcW w:w="80" w:type="dxa"/>
            <w:tcBorders/>
            <w:shd w:fill="FFFFFF" w:val="clear"/>
            <w:vAlign w:val="center"/>
          </w:tcPr>
          <w:p>
            <w:pPr>
              <w:pStyle w:val="TableContents"/>
              <w:bidi w:val="0"/>
              <w:spacing w:lineRule="atLeast" w:line="240" w:before="0" w:after="0"/>
              <w:jc w:val="left"/>
              <w:rPr/>
            </w:pPr>
            <w:r>
              <w:rPr/>
              <w:t> </w:t>
            </w:r>
          </w:p>
        </w:tc>
        <w:tc>
          <w:tcPr>
            <w:tcW w:w="146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(77.2)</w:t>
            </w:r>
          </w:p>
        </w:tc>
        <w:tc>
          <w:tcPr>
            <w:tcW w:w="584"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w:t>
            </w:r>
          </w:p>
        </w:tc>
      </w:tr>
      <w:tr>
        <w:trPr/>
        <w:tc>
          <w:tcPr>
            <w:tcW w:w="347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 expense, net</w:t>
            </w:r>
          </w:p>
        </w:tc>
        <w:tc>
          <w:tcPr>
            <w:tcW w:w="60" w:type="dxa"/>
            <w:tcBorders/>
            <w:shd w:fill="CCEEFF" w:val="clear"/>
            <w:vAlign w:val="center"/>
          </w:tcPr>
          <w:p>
            <w:pPr>
              <w:pStyle w:val="TableContents"/>
              <w:bidi w:val="0"/>
              <w:spacing w:lineRule="atLeast" w:line="240" w:before="0" w:after="0"/>
              <w:jc w:val="left"/>
              <w:rPr/>
            </w:pPr>
            <w:r>
              <w:rPr/>
              <w:t> </w:t>
            </w:r>
          </w:p>
        </w:tc>
        <w:tc>
          <w:tcPr>
            <w:tcW w:w="18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(81.6)</w:t>
            </w:r>
          </w:p>
        </w:tc>
        <w:tc>
          <w:tcPr>
            <w:tcW w:w="87" w:type="dxa"/>
            <w:tcBorders/>
            <w:shd w:fill="CCEEFF" w:val="clear"/>
            <w:vAlign w:val="center"/>
          </w:tcPr>
          <w:p>
            <w:pPr>
              <w:pStyle w:val="TableContents"/>
              <w:bidi w:val="0"/>
              <w:spacing w:lineRule="atLeast" w:line="240" w:before="0" w:after="0"/>
              <w:jc w:val="left"/>
              <w:rPr/>
            </w:pPr>
            <w:r>
              <w:rPr/>
              <w:t> </w:t>
            </w:r>
          </w:p>
        </w:tc>
        <w:tc>
          <w:tcPr>
            <w:tcW w:w="18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7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(54.3)</w:t>
            </w:r>
          </w:p>
        </w:tc>
        <w:tc>
          <w:tcPr>
            <w:tcW w:w="60" w:type="dxa"/>
            <w:tcBorders/>
            <w:shd w:fill="CCEEFF" w:val="clear"/>
            <w:vAlign w:val="center"/>
          </w:tcPr>
          <w:p>
            <w:pPr>
              <w:pStyle w:val="TableContents"/>
              <w:bidi w:val="0"/>
              <w:spacing w:lineRule="atLeast" w:line="240" w:before="0" w:after="0"/>
              <w:jc w:val="left"/>
              <w:rPr/>
            </w:pPr>
            <w:r>
              <w:rPr/>
              <w:t> </w:t>
            </w:r>
          </w:p>
        </w:tc>
        <w:tc>
          <w:tcPr>
            <w:tcW w:w="4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6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(27.3)</w:t>
            </w:r>
          </w:p>
        </w:tc>
        <w:tc>
          <w:tcPr>
            <w:tcW w:w="80" w:type="dxa"/>
            <w:tcBorders/>
            <w:shd w:fill="CCEEFF" w:val="clear"/>
            <w:vAlign w:val="center"/>
          </w:tcPr>
          <w:p>
            <w:pPr>
              <w:pStyle w:val="TableContents"/>
              <w:bidi w:val="0"/>
              <w:spacing w:lineRule="atLeast" w:line="240" w:before="0" w:after="0"/>
              <w:jc w:val="left"/>
              <w:rPr/>
            </w:pPr>
            <w:r>
              <w:rPr/>
              <w:t> </w:t>
            </w:r>
          </w:p>
        </w:tc>
        <w:tc>
          <w:tcPr>
            <w:tcW w:w="146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50.3</w:t>
            </w:r>
          </w:p>
        </w:tc>
        <w:tc>
          <w:tcPr>
            <w:tcW w:w="584"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Foreign currency exchange loss, net</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recorded a net foreign currency exchange loss of</w:t>
      </w:r>
      <w:r>
        <w:rPr/>
        <w:t> </w:t>
      </w:r>
      <w:r>
        <w:rPr>
          <w:sz w:val="20"/>
        </w:rPr>
        <w:t>$</w:t>
      </w:r>
      <w:r>
        <w:rPr>
          <w:rFonts w:ascii="Times New Roman" w:hAnsi="Times New Roman"/>
          <w:sz w:val="20"/>
        </w:rPr>
        <w:t>25.2</w:t>
      </w:r>
      <w:r>
        <w:rPr/>
        <w:t xml:space="preserve"> </w:t>
      </w:r>
      <w:r>
        <w:rPr>
          <w:sz w:val="20"/>
        </w:rPr>
        <w:t>million</w:t>
      </w:r>
      <w:r>
        <w:rPr/>
        <w:t> </w:t>
      </w:r>
      <w:r>
        <w:rPr>
          <w:sz w:val="20"/>
        </w:rPr>
        <w:t>for the year</w:t>
      </w:r>
      <w:r>
        <w:rPr/>
        <w:t> </w:t>
      </w:r>
      <w:r>
        <w:rPr>
          <w:sz w:val="20"/>
        </w:rPr>
        <w:t>ended</w:t>
      </w:r>
      <w:r>
        <w:rPr/>
        <w:t> </w:t>
      </w:r>
      <w:r>
        <w:rPr>
          <w:rFonts w:ascii="Times New Roman" w:hAnsi="Times New Roman"/>
          <w:sz w:val="20"/>
        </w:rPr>
        <w:t>December 31, 2025</w:t>
      </w:r>
      <w:r>
        <w:rPr>
          <w:sz w:val="20"/>
        </w:rPr>
        <w:t>,</w:t>
      </w:r>
      <w:r>
        <w:rPr/>
        <w:t> </w:t>
      </w:r>
      <w:r>
        <w:rPr>
          <w:sz w:val="20"/>
        </w:rPr>
        <w:t>compared to a net foreign currency exchange loss of $</w:t>
      </w:r>
      <w:r>
        <w:rPr>
          <w:rFonts w:ascii="Times New Roman" w:hAnsi="Times New Roman"/>
          <w:sz w:val="20"/>
        </w:rPr>
        <w:t>19.1</w:t>
      </w:r>
      <w:r>
        <w:rPr/>
        <w:t xml:space="preserve"> </w:t>
      </w:r>
      <w:r>
        <w:rPr>
          <w:sz w:val="20"/>
        </w:rPr>
        <w:t xml:space="preserve">million for the same period in </w:t>
      </w:r>
      <w:r>
        <w:rPr>
          <w:rFonts w:ascii="Times New Roman" w:hAnsi="Times New Roman"/>
          <w:sz w:val="20"/>
        </w:rPr>
        <w:t>2024</w:t>
      </w:r>
      <w:r>
        <w:rPr>
          <w:sz w:val="20"/>
        </w:rPr>
        <w:t>. These realized and unrealized foreign currency exchange losses reflect the fluctuation in the value of the U.S. dollar against the currencies of the countries in which we operated during the respective periods.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Income Tax Expense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Our effective income tax rates as reported and as adjusted are calculated below:</w:t>
      </w:r>
    </w:p>
    <w:p>
      <w:pPr>
        <w:pStyle w:val="TextBody"/>
        <w:bidi w:val="0"/>
        <w:spacing w:lineRule="atLeast" w:line="240" w:before="0" w:after="0"/>
        <w:jc w:val="both"/>
        <w:rPr/>
      </w:pPr>
      <w:r>
        <w:rPr/>
        <w:t> </w:t>
      </w:r>
    </w:p>
    <w:tbl>
      <w:tblPr>
        <w:tblW w:w="8383" w:type="dxa"/>
        <w:jc w:val="left"/>
        <w:tblInd w:w="0" w:type="dxa"/>
        <w:tblLayout w:type="fixed"/>
        <w:tblCellMar>
          <w:top w:w="0" w:type="dxa"/>
          <w:left w:w="0" w:type="dxa"/>
          <w:bottom w:w="0" w:type="dxa"/>
          <w:right w:w="0" w:type="dxa"/>
        </w:tblCellMar>
      </w:tblPr>
      <w:tblGrid>
        <w:gridCol w:w="6215"/>
        <w:gridCol w:w="60"/>
        <w:gridCol w:w="140"/>
        <w:gridCol w:w="677"/>
        <w:gridCol w:w="207"/>
        <w:gridCol w:w="67"/>
        <w:gridCol w:w="140"/>
        <w:gridCol w:w="677"/>
        <w:gridCol w:w="200"/>
      </w:tblGrid>
      <w:tr>
        <w:trPr/>
        <w:tc>
          <w:tcPr>
            <w:tcW w:w="621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08" w:type="dxa"/>
            <w:gridSpan w:val="6"/>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200" w:type="dxa"/>
            <w:tcBorders/>
            <w:vAlign w:val="center"/>
          </w:tcPr>
          <w:p>
            <w:pPr>
              <w:pStyle w:val="TableContents"/>
              <w:bidi w:val="0"/>
              <w:spacing w:lineRule="atLeast" w:line="240" w:before="0" w:after="0"/>
              <w:jc w:val="left"/>
              <w:rPr/>
            </w:pPr>
            <w:r>
              <w:rPr/>
              <w:t> </w:t>
            </w:r>
          </w:p>
        </w:tc>
      </w:tr>
      <w:tr>
        <w:trPr/>
        <w:tc>
          <w:tcPr>
            <w:tcW w:w="621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8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207"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7"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81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200" w:type="dxa"/>
            <w:tcBorders>
              <w:bottom w:val="single" w:sz="8" w:space="0" w:color="000000"/>
            </w:tcBorders>
            <w:tcMar>
              <w:bottom w:w="28" w:type="dxa"/>
            </w:tcMar>
            <w:vAlign w:val="center"/>
          </w:tcPr>
          <w:p>
            <w:pPr>
              <w:pStyle w:val="TableContents"/>
              <w:bidi w:val="0"/>
              <w:spacing w:lineRule="atLeast" w:line="240" w:before="0" w:after="0"/>
              <w:jc w:val="left"/>
              <w:rPr/>
            </w:pPr>
            <w:r>
              <w:rPr/>
              <w:t> </w:t>
            </w:r>
          </w:p>
        </w:tc>
      </w:tr>
      <w:tr>
        <w:trPr/>
        <w:tc>
          <w:tcPr>
            <w:tcW w:w="621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center"/>
          </w:tcPr>
          <w:p>
            <w:pPr>
              <w:pStyle w:val="TableContents"/>
              <w:bidi w:val="0"/>
              <w:spacing w:lineRule="atLeast" w:line="240" w:before="0" w:after="0"/>
              <w:jc w:val="left"/>
              <w:rPr/>
            </w:pPr>
            <w:r>
              <w:rPr/>
              <w:t> </w:t>
            </w:r>
          </w:p>
        </w:tc>
        <w:tc>
          <w:tcPr>
            <w:tcW w:w="14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448.2</w:t>
            </w:r>
          </w:p>
        </w:tc>
        <w:tc>
          <w:tcPr>
            <w:tcW w:w="207"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7" w:type="dxa"/>
            <w:tcBorders/>
            <w:shd w:fill="CCEEFF" w:val="clear"/>
            <w:vAlign w:val="center"/>
          </w:tcPr>
          <w:p>
            <w:pPr>
              <w:pStyle w:val="TableContents"/>
              <w:bidi w:val="0"/>
              <w:spacing w:lineRule="atLeast" w:line="240" w:before="0" w:after="0"/>
              <w:jc w:val="left"/>
              <w:rPr/>
            </w:pPr>
            <w:r>
              <w:rPr/>
              <w:t> </w:t>
            </w:r>
          </w:p>
        </w:tc>
        <w:tc>
          <w:tcPr>
            <w:tcW w:w="14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448.9</w:t>
            </w:r>
          </w:p>
        </w:tc>
        <w:tc>
          <w:tcPr>
            <w:tcW w:w="20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62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Income tax expense</w:t>
            </w:r>
          </w:p>
        </w:tc>
        <w:tc>
          <w:tcPr>
            <w:tcW w:w="60" w:type="dxa"/>
            <w:tcBorders/>
            <w:shd w:fill="FFFFFF" w:val="clear"/>
            <w:vAlign w:val="center"/>
          </w:tcPr>
          <w:p>
            <w:pPr>
              <w:pStyle w:val="TableContents"/>
              <w:bidi w:val="0"/>
              <w:spacing w:lineRule="atLeast" w:line="240" w:before="0" w:after="0"/>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77"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(135.2)</w:t>
            </w:r>
          </w:p>
        </w:tc>
        <w:tc>
          <w:tcPr>
            <w:tcW w:w="207"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7" w:type="dxa"/>
            <w:tcBorders/>
            <w:shd w:fill="FFFFFF" w:val="clear"/>
            <w:vAlign w:val="center"/>
          </w:tcPr>
          <w:p>
            <w:pPr>
              <w:pStyle w:val="TableContents"/>
              <w:bidi w:val="0"/>
              <w:spacing w:lineRule="atLeast" w:line="240" w:before="0" w:after="0"/>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77"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(142.6)</w:t>
            </w:r>
          </w:p>
        </w:tc>
        <w:tc>
          <w:tcPr>
            <w:tcW w:w="20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r>
      <w:tr>
        <w:trPr/>
        <w:tc>
          <w:tcPr>
            <w:tcW w:w="621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bidi w:val="0"/>
              <w:spacing w:lineRule="atLeast" w:line="240" w:before="0" w:after="0"/>
              <w:jc w:val="left"/>
              <w:rPr/>
            </w:pPr>
            <w:r>
              <w:rPr/>
              <w:t> </w:t>
            </w:r>
          </w:p>
        </w:tc>
        <w:tc>
          <w:tcPr>
            <w:tcW w:w="1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313.0</w:t>
            </w:r>
          </w:p>
        </w:tc>
        <w:tc>
          <w:tcPr>
            <w:tcW w:w="2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67" w:type="dxa"/>
            <w:tcBorders/>
            <w:shd w:fill="CCEEFF" w:val="clear"/>
            <w:vAlign w:val="center"/>
          </w:tcPr>
          <w:p>
            <w:pPr>
              <w:pStyle w:val="TableContents"/>
              <w:bidi w:val="0"/>
              <w:spacing w:lineRule="atLeast" w:line="240" w:before="0" w:after="0"/>
              <w:jc w:val="left"/>
              <w:rPr/>
            </w:pPr>
            <w:r>
              <w:rPr/>
              <w:t> </w:t>
            </w:r>
          </w:p>
        </w:tc>
        <w:tc>
          <w:tcPr>
            <w:tcW w:w="1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306.3</w:t>
            </w:r>
          </w:p>
        </w:tc>
        <w:tc>
          <w:tcPr>
            <w:tcW w:w="2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r>
      <w:tr>
        <w:trPr/>
        <w:tc>
          <w:tcPr>
            <w:tcW w:w="62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Effective income tax rate</w:t>
            </w:r>
          </w:p>
        </w:tc>
        <w:tc>
          <w:tcPr>
            <w:tcW w:w="60" w:type="dxa"/>
            <w:tcBorders/>
            <w:shd w:fill="FFFFFF" w:val="clear"/>
            <w:vAlign w:val="center"/>
          </w:tcPr>
          <w:p>
            <w:pPr>
              <w:pStyle w:val="TableContents"/>
              <w:bidi w:val="0"/>
              <w:spacing w:lineRule="atLeast" w:line="240" w:before="0" w:after="0"/>
              <w:jc w:val="left"/>
              <w:rPr/>
            </w:pPr>
            <w:r>
              <w:rPr/>
              <w:t> </w:t>
            </w:r>
          </w:p>
        </w:tc>
        <w:tc>
          <w:tcPr>
            <w:tcW w:w="14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77"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30.2</w:t>
            </w:r>
          </w:p>
        </w:tc>
        <w:tc>
          <w:tcPr>
            <w:tcW w:w="207"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lineRule="atLeast" w:line="240" w:before="0" w:after="0"/>
              <w:jc w:val="left"/>
              <w:rPr/>
            </w:pPr>
            <w:r>
              <w:rPr/>
              <w:t> </w:t>
            </w:r>
          </w:p>
        </w:tc>
        <w:tc>
          <w:tcPr>
            <w:tcW w:w="14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77"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31.8</w:t>
            </w:r>
          </w:p>
        </w:tc>
        <w:tc>
          <w:tcPr>
            <w:tcW w:w="20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r>
      <w:tr>
        <w:trPr/>
        <w:tc>
          <w:tcPr>
            <w:tcW w:w="621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center"/>
          </w:tcPr>
          <w:p>
            <w:pPr>
              <w:pStyle w:val="TableContents"/>
              <w:bidi w:val="0"/>
              <w:spacing w:lineRule="atLeast" w:line="240" w:before="0" w:after="0"/>
              <w:jc w:val="left"/>
              <w:rPr/>
            </w:pPr>
            <w:r>
              <w:rPr/>
              <w:t> </w:t>
            </w:r>
          </w:p>
        </w:tc>
        <w:tc>
          <w:tcPr>
            <w:tcW w:w="140" w:type="dxa"/>
            <w:tcBorders>
              <w:top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448.2</w:t>
            </w:r>
          </w:p>
        </w:tc>
        <w:tc>
          <w:tcPr>
            <w:tcW w:w="207"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7" w:type="dxa"/>
            <w:tcBorders/>
            <w:shd w:fill="CCEEFF" w:val="clear"/>
            <w:vAlign w:val="center"/>
          </w:tcPr>
          <w:p>
            <w:pPr>
              <w:pStyle w:val="TableContents"/>
              <w:bidi w:val="0"/>
              <w:spacing w:lineRule="atLeast" w:line="240" w:before="0" w:after="0"/>
              <w:jc w:val="left"/>
              <w:rPr/>
            </w:pPr>
            <w:r>
              <w:rPr/>
              <w:t> </w:t>
            </w:r>
          </w:p>
        </w:tc>
        <w:tc>
          <w:tcPr>
            <w:tcW w:w="140" w:type="dxa"/>
            <w:tcBorders>
              <w:top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448.9</w:t>
            </w:r>
          </w:p>
        </w:tc>
        <w:tc>
          <w:tcPr>
            <w:tcW w:w="200"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621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Adjust: Other gains, net</w:t>
            </w:r>
          </w:p>
        </w:tc>
        <w:tc>
          <w:tcPr>
            <w:tcW w:w="60" w:type="dxa"/>
            <w:tcBorders/>
            <w:shd w:fill="FFFFFF" w:val="clear"/>
            <w:vAlign w:val="center"/>
          </w:tcPr>
          <w:p>
            <w:pPr>
              <w:pStyle w:val="TableContents"/>
              <w:bidi w:val="0"/>
              <w:spacing w:lineRule="atLeast" w:line="240" w:before="0" w:after="0"/>
              <w:jc w:val="left"/>
              <w:rPr/>
            </w:pPr>
            <w:r>
              <w:rPr/>
              <w:t> </w:t>
            </w:r>
          </w:p>
        </w:tc>
        <w:tc>
          <w:tcPr>
            <w:tcW w:w="140" w:type="dxa"/>
            <w:tcBorders/>
            <w:shd w:fill="FFFFFF" w:val="clear"/>
            <w:vAlign w:val="center"/>
          </w:tcPr>
          <w:p>
            <w:pPr>
              <w:pStyle w:val="TableContents"/>
              <w:bidi w:val="0"/>
              <w:spacing w:lineRule="atLeast" w:line="240" w:before="0" w:after="0"/>
              <w:jc w:val="left"/>
              <w:rPr/>
            </w:pPr>
            <w:r>
              <w:rPr/>
              <w:t> </w:t>
            </w:r>
          </w:p>
        </w:tc>
        <w:tc>
          <w:tcPr>
            <w:tcW w:w="67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w:t>
            </w:r>
          </w:p>
        </w:tc>
        <w:tc>
          <w:tcPr>
            <w:tcW w:w="207" w:type="dxa"/>
            <w:tcBorders/>
            <w:shd w:fill="FFFFFF" w:val="clear"/>
            <w:vAlign w:val="center"/>
          </w:tcPr>
          <w:p>
            <w:pPr>
              <w:pStyle w:val="TableContents"/>
              <w:bidi w:val="0"/>
              <w:spacing w:lineRule="atLeast" w:line="240" w:before="0" w:after="0"/>
              <w:jc w:val="left"/>
              <w:rPr/>
            </w:pPr>
            <w:r>
              <w:rPr/>
              <w:t> </w:t>
            </w:r>
          </w:p>
        </w:tc>
        <w:tc>
          <w:tcPr>
            <w:tcW w:w="67" w:type="dxa"/>
            <w:tcBorders/>
            <w:shd w:fill="FFFFFF" w:val="clear"/>
            <w:vAlign w:val="center"/>
          </w:tcPr>
          <w:p>
            <w:pPr>
              <w:pStyle w:val="TableContents"/>
              <w:bidi w:val="0"/>
              <w:spacing w:lineRule="atLeast" w:line="240" w:before="0" w:after="0"/>
              <w:jc w:val="left"/>
              <w:rPr/>
            </w:pPr>
            <w:r>
              <w:rPr/>
              <w:t> </w:t>
            </w:r>
          </w:p>
        </w:tc>
        <w:tc>
          <w:tcPr>
            <w:tcW w:w="140" w:type="dxa"/>
            <w:tcBorders/>
            <w:shd w:fill="FFFFFF" w:val="clear"/>
            <w:vAlign w:val="center"/>
          </w:tcPr>
          <w:p>
            <w:pPr>
              <w:pStyle w:val="TableContents"/>
              <w:bidi w:val="0"/>
              <w:spacing w:lineRule="atLeast" w:line="240" w:before="0" w:after="0"/>
              <w:jc w:val="left"/>
              <w:rPr/>
            </w:pPr>
            <w:r>
              <w:rPr/>
              <w:t> </w:t>
            </w:r>
          </w:p>
        </w:tc>
        <w:tc>
          <w:tcPr>
            <w:tcW w:w="677"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21.5</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621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Adjust: Foreign currency exchange gain (loss), net</w:t>
            </w:r>
          </w:p>
        </w:tc>
        <w:tc>
          <w:tcPr>
            <w:tcW w:w="60" w:type="dxa"/>
            <w:tcBorders/>
            <w:shd w:fill="CCEEFF" w:val="clear"/>
            <w:vAlign w:val="center"/>
          </w:tcPr>
          <w:p>
            <w:pPr>
              <w:pStyle w:val="TableContents"/>
              <w:bidi w:val="0"/>
              <w:spacing w:lineRule="atLeast" w:line="240"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77"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(25.2)</w:t>
            </w:r>
          </w:p>
        </w:tc>
        <w:tc>
          <w:tcPr>
            <w:tcW w:w="207"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7" w:type="dxa"/>
            <w:tcBorders/>
            <w:shd w:fill="CCEEFF" w:val="clear"/>
            <w:vAlign w:val="center"/>
          </w:tcPr>
          <w:p>
            <w:pPr>
              <w:pStyle w:val="TableContents"/>
              <w:bidi w:val="0"/>
              <w:spacing w:lineRule="atLeast" w:line="240"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77"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(19.1)</w:t>
            </w:r>
          </w:p>
        </w:tc>
        <w:tc>
          <w:tcPr>
            <w:tcW w:w="200"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r>
      <w:tr>
        <w:trPr/>
        <w:tc>
          <w:tcPr>
            <w:tcW w:w="62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Income before income taxes, as adjusted</w:t>
            </w:r>
          </w:p>
        </w:tc>
        <w:tc>
          <w:tcPr>
            <w:tcW w:w="60" w:type="dxa"/>
            <w:tcBorders/>
            <w:shd w:fill="FFFFFF" w:val="clear"/>
            <w:vAlign w:val="center"/>
          </w:tcPr>
          <w:p>
            <w:pPr>
              <w:pStyle w:val="TableContents"/>
              <w:bidi w:val="0"/>
              <w:spacing w:lineRule="atLeast" w:line="240" w:before="0" w:after="0"/>
              <w:jc w:val="left"/>
              <w:rPr/>
            </w:pPr>
            <w:r>
              <w:rPr/>
              <w:t> </w:t>
            </w:r>
          </w:p>
        </w:tc>
        <w:tc>
          <w:tcPr>
            <w:tcW w:w="1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468.5</w:t>
            </w:r>
          </w:p>
        </w:tc>
        <w:tc>
          <w:tcPr>
            <w:tcW w:w="20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7" w:type="dxa"/>
            <w:tcBorders/>
            <w:shd w:fill="FFFFFF" w:val="clear"/>
            <w:vAlign w:val="center"/>
          </w:tcPr>
          <w:p>
            <w:pPr>
              <w:pStyle w:val="TableContents"/>
              <w:bidi w:val="0"/>
              <w:spacing w:lineRule="atLeast" w:line="240" w:before="0" w:after="0"/>
              <w:jc w:val="left"/>
              <w:rPr/>
            </w:pPr>
            <w:r>
              <w:rPr/>
              <w:t> </w:t>
            </w:r>
          </w:p>
        </w:tc>
        <w:tc>
          <w:tcPr>
            <w:tcW w:w="1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446.5</w:t>
            </w:r>
          </w:p>
        </w:tc>
        <w:tc>
          <w:tcPr>
            <w:tcW w:w="2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r>
      <w:tr>
        <w:trPr/>
        <w:tc>
          <w:tcPr>
            <w:tcW w:w="621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center"/>
          </w:tcPr>
          <w:p>
            <w:pPr>
              <w:pStyle w:val="TableContents"/>
              <w:bidi w:val="0"/>
              <w:spacing w:lineRule="atLeast" w:line="240" w:before="0" w:after="0"/>
              <w:jc w:val="left"/>
              <w:rPr/>
            </w:pPr>
            <w:r>
              <w:rPr/>
              <w:t> </w:t>
            </w:r>
          </w:p>
        </w:tc>
        <w:tc>
          <w:tcPr>
            <w:tcW w:w="140"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77"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(135.2)</w:t>
            </w:r>
          </w:p>
        </w:tc>
        <w:tc>
          <w:tcPr>
            <w:tcW w:w="207"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7" w:type="dxa"/>
            <w:tcBorders/>
            <w:shd w:fill="CCEEFF" w:val="clear"/>
            <w:vAlign w:val="center"/>
          </w:tcPr>
          <w:p>
            <w:pPr>
              <w:pStyle w:val="TableContents"/>
              <w:bidi w:val="0"/>
              <w:spacing w:lineRule="atLeast" w:line="240" w:before="0" w:after="0"/>
              <w:jc w:val="left"/>
              <w:rPr/>
            </w:pPr>
            <w:r>
              <w:rPr/>
              <w:t> </w:t>
            </w:r>
          </w:p>
        </w:tc>
        <w:tc>
          <w:tcPr>
            <w:tcW w:w="140"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77" w:type="dxa"/>
            <w:tcBorders>
              <w:top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(142.6)</w:t>
            </w:r>
          </w:p>
        </w:tc>
        <w:tc>
          <w:tcPr>
            <w:tcW w:w="200" w:type="dxa"/>
            <w:tcBorders>
              <w:top w:val="double" w:sz="6"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62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Adjust: Income tax attributable to foreign currency exchange gain (loss), net</w:t>
            </w:r>
          </w:p>
        </w:tc>
        <w:tc>
          <w:tcPr>
            <w:tcW w:w="60" w:type="dxa"/>
            <w:tcBorders/>
            <w:shd w:fill="FFFFFF" w:val="clear"/>
            <w:vAlign w:val="center"/>
          </w:tcPr>
          <w:p>
            <w:pPr>
              <w:pStyle w:val="TableContents"/>
              <w:bidi w:val="0"/>
              <w:spacing w:lineRule="atLeast" w:line="240" w:before="0" w:after="0"/>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77"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(17.8)</w:t>
            </w:r>
          </w:p>
        </w:tc>
        <w:tc>
          <w:tcPr>
            <w:tcW w:w="207"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7" w:type="dxa"/>
            <w:tcBorders/>
            <w:shd w:fill="FFFFFF" w:val="clear"/>
            <w:vAlign w:val="center"/>
          </w:tcPr>
          <w:p>
            <w:pPr>
              <w:pStyle w:val="TableContents"/>
              <w:bidi w:val="0"/>
              <w:spacing w:lineRule="atLeast" w:line="240" w:before="0" w:after="0"/>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77"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(8.7)</w:t>
            </w:r>
          </w:p>
        </w:tc>
        <w:tc>
          <w:tcPr>
            <w:tcW w:w="200"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r>
      <w:tr>
        <w:trPr/>
        <w:tc>
          <w:tcPr>
            <w:tcW w:w="621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Income tax expense, as adjusted</w:t>
            </w:r>
          </w:p>
        </w:tc>
        <w:tc>
          <w:tcPr>
            <w:tcW w:w="60" w:type="dxa"/>
            <w:tcBorders/>
            <w:shd w:fill="CCEEFF" w:val="clear"/>
            <w:vAlign w:val="center"/>
          </w:tcPr>
          <w:p>
            <w:pPr>
              <w:pStyle w:val="TableContents"/>
              <w:bidi w:val="0"/>
              <w:spacing w:lineRule="atLeast" w:line="240" w:before="0" w:after="0"/>
              <w:jc w:val="left"/>
              <w:rPr/>
            </w:pPr>
            <w:r>
              <w:rPr/>
              <w:t> </w:t>
            </w:r>
          </w:p>
        </w:tc>
        <w:tc>
          <w:tcPr>
            <w:tcW w:w="1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(117.4)</w:t>
            </w:r>
          </w:p>
        </w:tc>
        <w:tc>
          <w:tcPr>
            <w:tcW w:w="2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67" w:type="dxa"/>
            <w:tcBorders/>
            <w:shd w:fill="CCEEFF" w:val="clear"/>
            <w:vAlign w:val="center"/>
          </w:tcPr>
          <w:p>
            <w:pPr>
              <w:pStyle w:val="TableContents"/>
              <w:bidi w:val="0"/>
              <w:spacing w:lineRule="atLeast" w:line="240" w:before="0" w:after="0"/>
              <w:jc w:val="left"/>
              <w:rPr/>
            </w:pPr>
            <w:r>
              <w:rPr/>
              <w:t> </w:t>
            </w:r>
          </w:p>
        </w:tc>
        <w:tc>
          <w:tcPr>
            <w:tcW w:w="1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(133.9)</w:t>
            </w:r>
          </w:p>
        </w:tc>
        <w:tc>
          <w:tcPr>
            <w:tcW w:w="2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r>
      <w:tr>
        <w:trPr/>
        <w:tc>
          <w:tcPr>
            <w:tcW w:w="62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Effective income tax rate, as adjusted</w:t>
            </w:r>
          </w:p>
        </w:tc>
        <w:tc>
          <w:tcPr>
            <w:tcW w:w="60" w:type="dxa"/>
            <w:tcBorders/>
            <w:shd w:fill="FFFFFF" w:val="clear"/>
            <w:vAlign w:val="center"/>
          </w:tcPr>
          <w:p>
            <w:pPr>
              <w:pStyle w:val="TableContents"/>
              <w:bidi w:val="0"/>
              <w:spacing w:lineRule="atLeast" w:line="240" w:before="0" w:after="0"/>
              <w:jc w:val="left"/>
              <w:rPr/>
            </w:pPr>
            <w:r>
              <w:rPr/>
              <w:t> </w:t>
            </w:r>
          </w:p>
        </w:tc>
        <w:tc>
          <w:tcPr>
            <w:tcW w:w="14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77"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25.1</w:t>
            </w:r>
          </w:p>
        </w:tc>
        <w:tc>
          <w:tcPr>
            <w:tcW w:w="207"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lineRule="atLeast" w:line="240" w:before="0" w:after="0"/>
              <w:jc w:val="left"/>
              <w:rPr/>
            </w:pPr>
            <w:r>
              <w:rPr/>
              <w:t> </w:t>
            </w:r>
          </w:p>
        </w:tc>
        <w:tc>
          <w:tcPr>
            <w:tcW w:w="14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77"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30.0</w:t>
            </w:r>
          </w:p>
        </w:tc>
        <w:tc>
          <w:tcPr>
            <w:tcW w:w="20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We calculate our effective income tax rate by dividing income tax expense by pre-tax book income. Our effective income tax rates were </w:t>
      </w:r>
      <w:r>
        <w:rPr>
          <w:rFonts w:ascii="Times New Roman" w:hAnsi="Times New Roman"/>
          <w:sz w:val="20"/>
        </w:rPr>
        <w:t>30.2</w:t>
      </w:r>
      <w:r>
        <w:rPr>
          <w:sz w:val="20"/>
        </w:rPr>
        <w:t xml:space="preserve">% and </w:t>
      </w:r>
      <w:r>
        <w:rPr>
          <w:rFonts w:ascii="Times New Roman" w:hAnsi="Times New Roman"/>
          <w:sz w:val="20"/>
        </w:rPr>
        <w:t>31.8</w:t>
      </w:r>
      <w:r>
        <w:rPr>
          <w:sz w:val="20"/>
        </w:rPr>
        <w:t xml:space="preserve">% for the years ended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 xml:space="preserve">, respectively. The effective income tax rates were influenced by the impact of foreign currency exchange gains (losses). Excluding foreign currency exchange gains (losses) as well as the related tax effects for these items, our adjusted effective income tax rates were </w:t>
      </w:r>
      <w:r>
        <w:rPr>
          <w:rFonts w:ascii="Times New Roman" w:hAnsi="Times New Roman"/>
          <w:sz w:val="20"/>
        </w:rPr>
        <w:t>25.1</w:t>
      </w:r>
      <w:r>
        <w:rPr>
          <w:sz w:val="20"/>
        </w:rPr>
        <w:t xml:space="preserve">% and </w:t>
      </w:r>
      <w:r>
        <w:rPr>
          <w:rFonts w:ascii="Times New Roman" w:hAnsi="Times New Roman"/>
          <w:sz w:val="20"/>
        </w:rPr>
        <w:t>30.0</w:t>
      </w:r>
      <w:r>
        <w:rPr>
          <w:sz w:val="20"/>
        </w:rPr>
        <w:t xml:space="preserve">% for the years ended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 respectively.</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effective income tax rate, as adjusted, for </w:t>
      </w:r>
      <w:r>
        <w:rPr>
          <w:rFonts w:ascii="Times New Roman" w:hAnsi="Times New Roman"/>
          <w:sz w:val="20"/>
        </w:rPr>
        <w:t>2025</w:t>
      </w:r>
      <w:r>
        <w:rPr/>
        <w:t xml:space="preserve"> </w:t>
      </w:r>
      <w:r>
        <w:rPr>
          <w:sz w:val="20"/>
        </w:rPr>
        <w:t>and 2024 was higher</w:t>
      </w:r>
      <w:r>
        <w:rPr/>
        <w:t> </w:t>
      </w:r>
      <w:r>
        <w:rPr>
          <w:sz w:val="20"/>
        </w:rPr>
        <w:t>than the applicable statutory income tax rate of 21%</w:t>
      </w:r>
      <w:r>
        <w:rPr/>
        <w:t> </w:t>
      </w:r>
      <w:r>
        <w:rPr>
          <w:sz w:val="20"/>
        </w:rPr>
        <w:t>primarily because of certain foreign earnings being subject to higher local statutory tax rates.</w:t>
      </w:r>
      <w:r>
        <w:rPr/>
        <w:t xml:space="preserve">  </w:t>
      </w:r>
      <w:r>
        <w:rPr>
          <w:sz w:val="20"/>
        </w:rPr>
        <w:t>We determine income tax expense based upon enacted tax laws applicable in each of the taxing jurisdictions where</w:t>
      </w:r>
      <w:r>
        <w:rPr/>
        <w:t> </w:t>
      </w:r>
      <w:r>
        <w:rPr>
          <w:sz w:val="20"/>
        </w:rPr>
        <w:t xml:space="preserve">we conduct business. Based on our interpretation of such laws and considering the evidence of available facts and circumstances and baseline operating forecasts, we have accrued the estimated income tax effects of certain transactions, business ventures, contract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Our total liability for uncertain tax positions under Accounting Standards Codification ("ASC") 740-10-25 and -30 was $</w:t>
      </w:r>
      <w:r>
        <w:rPr>
          <w:rFonts w:ascii="Times New Roman" w:hAnsi="Times New Roman"/>
          <w:sz w:val="20"/>
        </w:rPr>
        <w:t>41.4</w:t>
      </w:r>
      <w:r>
        <w:rPr/>
        <w:t xml:space="preserve"> </w:t>
      </w:r>
      <w:r>
        <w:rPr>
          <w:sz w:val="20"/>
        </w:rPr>
        <w:t xml:space="preserve">million as of </w:t>
      </w:r>
      <w:r>
        <w:rPr>
          <w:rFonts w:ascii="Times New Roman" w:hAnsi="Times New Roman"/>
          <w:sz w:val="20"/>
        </w:rPr>
        <w:t>December 31, 2025</w:t>
      </w:r>
      <w:r>
        <w:rPr>
          <w:sz w:val="20"/>
        </w:rPr>
        <w:t>.</w:t>
      </w:r>
      <w:r>
        <w:rPr/>
        <w:t> </w:t>
      </w:r>
      <w:r>
        <w:rPr>
          <w:sz w:val="20"/>
        </w:rPr>
        <w:t>The application of ASC 740-10-25 and -30</w:t>
      </w:r>
      <w:r>
        <w:rPr/>
        <w:t> </w:t>
      </w:r>
      <w:r>
        <w:rPr>
          <w:sz w:val="20"/>
        </w:rPr>
        <w:t>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w:t>
      </w:r>
      <w:r>
        <w:rPr/>
        <w:t> </w:t>
      </w:r>
      <w:r>
        <w:rPr>
          <w:sz w:val="20"/>
        </w:rPr>
        <w:t>twelve</w:t>
      </w:r>
      <w:r>
        <w:rPr/>
        <w:t> </w:t>
      </w:r>
      <w:r>
        <w:rPr>
          <w:sz w:val="20"/>
        </w:rPr>
        <w:t xml:space="preserve">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 </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r>
        <w:rPr>
          <w:b/>
          <w:sz w:val="20"/>
        </w:rPr>
        <w:t>Net (Income) Loss Attributable To Non-controlling Interests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Non-controlling interests represent the elimination of net income or loss attributable to the minority shareholders' portion of the following consolidated subsidiaries that are not wholly owned:</w:t>
      </w:r>
    </w:p>
    <w:p>
      <w:pPr>
        <w:pStyle w:val="TextBody"/>
        <w:bidi w:val="0"/>
        <w:spacing w:lineRule="atLeast" w:line="240" w:before="0" w:after="0"/>
        <w:jc w:val="both"/>
        <w:rPr/>
      </w:pPr>
      <w:r>
        <w:rPr/>
        <w:t> </w:t>
      </w:r>
    </w:p>
    <w:tbl>
      <w:tblPr>
        <w:tblW w:w="5895" w:type="dxa"/>
        <w:jc w:val="left"/>
        <w:tblInd w:w="0" w:type="dxa"/>
        <w:tblLayout w:type="fixed"/>
        <w:tblCellMar>
          <w:top w:w="0" w:type="dxa"/>
          <w:left w:w="0" w:type="dxa"/>
          <w:bottom w:w="28" w:type="dxa"/>
          <w:right w:w="0" w:type="dxa"/>
        </w:tblCellMar>
      </w:tblPr>
      <w:tblGrid>
        <w:gridCol w:w="2900"/>
        <w:gridCol w:w="60"/>
        <w:gridCol w:w="60"/>
        <w:gridCol w:w="1130"/>
        <w:gridCol w:w="60"/>
        <w:gridCol w:w="60"/>
        <w:gridCol w:w="1625"/>
      </w:tblGrid>
      <w:tr>
        <w:trPr/>
        <w:tc>
          <w:tcPr>
            <w:tcW w:w="2900"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Subsidiary</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1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Percent Owned</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625"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Segment - Country</w:t>
            </w:r>
          </w:p>
        </w:tc>
      </w:tr>
      <w:tr>
        <w:trPr/>
        <w:tc>
          <w:tcPr>
            <w:tcW w:w="290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LATAM ATM Solutions (Prosegur)</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51%</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625"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South America</w:t>
            </w:r>
          </w:p>
        </w:tc>
      </w:tr>
      <w:tr>
        <w:trPr/>
        <w:tc>
          <w:tcPr>
            <w:tcW w:w="29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Euronet Pakistan</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13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70%</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625"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Pakistan</w:t>
            </w:r>
          </w:p>
        </w:tc>
      </w:tr>
      <w:tr>
        <w:trPr/>
        <w:tc>
          <w:tcPr>
            <w:tcW w:w="290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Unidos Co., Ltd</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13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60%</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625"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MT - Japan</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Net Income</w:t>
      </w:r>
      <w:r>
        <w:rPr/>
        <w:t> </w:t>
      </w:r>
      <w:r>
        <w:rPr>
          <w:b/>
          <w:sz w:val="20"/>
        </w:rPr>
        <w:t>(Loss)</w:t>
      </w:r>
      <w:r>
        <w:rPr/>
        <w:t> </w:t>
      </w:r>
      <w:r>
        <w:rPr>
          <w:b/>
          <w:sz w:val="20"/>
        </w:rPr>
        <w:t>Attributable to Euronet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Net income attributable to</w:t>
      </w:r>
      <w:r>
        <w:rPr/>
        <w:t> </w:t>
      </w:r>
      <w:r>
        <w:rPr>
          <w:sz w:val="20"/>
        </w:rPr>
        <w:t>Euronet</w:t>
      </w:r>
      <w:r>
        <w:rPr/>
        <w:t> </w:t>
      </w:r>
      <w:r>
        <w:rPr>
          <w:sz w:val="20"/>
        </w:rPr>
        <w:t>was $</w:t>
      </w:r>
      <w:r>
        <w:rPr>
          <w:rFonts w:ascii="Times New Roman" w:hAnsi="Times New Roman"/>
          <w:sz w:val="20"/>
        </w:rPr>
        <w:t>309.5</w:t>
      </w:r>
      <w:r>
        <w:rPr/>
        <w:t xml:space="preserve"> </w:t>
      </w:r>
      <w:r>
        <w:rPr>
          <w:sz w:val="20"/>
        </w:rPr>
        <w:t xml:space="preserve">million for the year ended </w:t>
      </w:r>
      <w:r>
        <w:rPr>
          <w:rFonts w:ascii="Times New Roman" w:hAnsi="Times New Roman"/>
          <w:sz w:val="20"/>
        </w:rPr>
        <w:t>December 31, 2025</w:t>
      </w:r>
      <w:r>
        <w:rPr>
          <w:sz w:val="20"/>
        </w:rPr>
        <w:t xml:space="preserve">, </w:t>
      </w:r>
      <w:r>
        <w:rPr>
          <w:rFonts w:ascii="Times New Roman" w:hAnsi="Times New Roman"/>
          <w:sz w:val="20"/>
        </w:rPr>
        <w:t>an increase</w:t>
      </w:r>
      <w:r>
        <w:rPr/>
        <w:t> </w:t>
      </w:r>
      <w:r>
        <w:rPr>
          <w:sz w:val="20"/>
        </w:rPr>
        <w:t>of $</w:t>
      </w:r>
      <w:r>
        <w:rPr>
          <w:rFonts w:ascii="Times New Roman" w:hAnsi="Times New Roman"/>
          <w:sz w:val="20"/>
        </w:rPr>
        <w:t>3.5</w:t>
      </w:r>
      <w:r>
        <w:rPr/>
        <w:t xml:space="preserve"> </w:t>
      </w:r>
      <w:r>
        <w:rPr>
          <w:sz w:val="20"/>
        </w:rPr>
        <w:t xml:space="preserve">million compared to net income in the same period in </w:t>
      </w:r>
      <w:r>
        <w:rPr>
          <w:rFonts w:ascii="Times New Roman" w:hAnsi="Times New Roman"/>
          <w:sz w:val="20"/>
        </w:rPr>
        <w:t>2024</w:t>
      </w:r>
      <w:r>
        <w:rPr>
          <w:sz w:val="20"/>
        </w:rPr>
        <w:t xml:space="preserve">. For the year ended </w:t>
      </w:r>
      <w:r>
        <w:rPr>
          <w:rFonts w:ascii="Times New Roman" w:hAnsi="Times New Roman"/>
          <w:sz w:val="20"/>
        </w:rPr>
        <w:t>December 31, 2025</w:t>
      </w:r>
      <w:r>
        <w:rPr>
          <w:sz w:val="20"/>
        </w:rPr>
        <w:t>, the increase in net income</w:t>
      </w:r>
      <w:r>
        <w:rPr/>
        <w:t> </w:t>
      </w:r>
      <w:r>
        <w:rPr>
          <w:sz w:val="20"/>
        </w:rPr>
        <w:t>was primarily attributable increase in transaction volumes across all three segments.</w:t>
      </w:r>
    </w:p>
    <w:p>
      <w:pPr>
        <w:pStyle w:val="TextBody"/>
        <w:bidi w:val="0"/>
        <w:spacing w:lineRule="atLeast" w:line="240" w:before="0" w:after="0"/>
        <w:jc w:val="left"/>
        <w:rPr/>
      </w:pPr>
      <w:r>
        <w:rPr/>
        <w:br/>
      </w:r>
      <w:r>
        <w:rPr>
          <w:b/>
          <w:sz w:val="20"/>
        </w:rPr>
        <w:t>Translation Adjustment</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Translation gains and losses are the result of translating our foreign entities' balance sheets from local functional currency to the U.S. dollar reporting currency prior to consolidation and are recorded in comprehensive (loss)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recorded a net</w:t>
      </w:r>
      <w:r>
        <w:rPr/>
        <w:t> </w:t>
      </w:r>
      <w:r>
        <w:rPr>
          <w:sz w:val="20"/>
        </w:rPr>
        <w:t>gain</w:t>
      </w:r>
      <w:r>
        <w:rPr/>
        <w:t> </w:t>
      </w:r>
      <w:r>
        <w:rPr>
          <w:sz w:val="20"/>
        </w:rPr>
        <w:t>on translation adjustments of $</w:t>
      </w:r>
      <w:r>
        <w:rPr>
          <w:rFonts w:ascii="Times New Roman" w:hAnsi="Times New Roman"/>
          <w:sz w:val="20"/>
        </w:rPr>
        <w:t>258.7</w:t>
      </w:r>
      <w:r>
        <w:rPr/>
        <w:t xml:space="preserve"> </w:t>
      </w:r>
      <w:r>
        <w:rPr>
          <w:sz w:val="20"/>
        </w:rPr>
        <w:t xml:space="preserve">million for </w:t>
      </w:r>
      <w:r>
        <w:rPr>
          <w:rFonts w:ascii="Times New Roman" w:hAnsi="Times New Roman"/>
          <w:sz w:val="20"/>
        </w:rPr>
        <w:t>2025</w:t>
      </w:r>
      <w:r>
        <w:rPr/>
        <w:t xml:space="preserve"> </w:t>
      </w:r>
      <w:r>
        <w:rPr>
          <w:sz w:val="20"/>
        </w:rPr>
        <w:t>and a net loss of $</w:t>
      </w:r>
      <w:r>
        <w:rPr>
          <w:rFonts w:ascii="Times New Roman" w:hAnsi="Times New Roman"/>
          <w:sz w:val="20"/>
        </w:rPr>
        <w:t>117.8</w:t>
      </w:r>
      <w:r>
        <w:rPr/>
        <w:t xml:space="preserve"> </w:t>
      </w:r>
      <w:r>
        <w:rPr>
          <w:sz w:val="20"/>
        </w:rPr>
        <w:t xml:space="preserve">million for </w:t>
      </w:r>
      <w:r>
        <w:rPr>
          <w:rFonts w:ascii="Times New Roman" w:hAnsi="Times New Roman"/>
          <w:sz w:val="20"/>
        </w:rPr>
        <w:t>2024</w:t>
      </w:r>
      <w:r>
        <w:rPr>
          <w:sz w:val="20"/>
        </w:rPr>
        <w:t>. In 2025, the U.S. dollar weakened compared to key foreign currencies, resulting in translation gains which were recorded in comprehensive (loss) income. In</w:t>
      </w:r>
      <w:r>
        <w:rPr/>
        <w:t> </w:t>
      </w:r>
      <w:r>
        <w:rPr>
          <w:sz w:val="20"/>
        </w:rPr>
        <w:t>2024, the U.S. dollar strengthened</w:t>
      </w:r>
      <w:r>
        <w:rPr/>
        <w:t> </w:t>
      </w:r>
      <w:r>
        <w:rPr>
          <w:sz w:val="20"/>
        </w:rPr>
        <w:t>compared to key foreign currencies, resulting in translation losses which were recorded in comprehensive (loss) income.</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b/>
          <w:sz w:val="20"/>
        </w:rPr>
        <w:t>Liquidity and Capital Resources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Working capital</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As of </w:t>
      </w:r>
      <w:r>
        <w:rPr>
          <w:rFonts w:ascii="Times New Roman" w:hAnsi="Times New Roman"/>
          <w:sz w:val="20"/>
        </w:rPr>
        <w:t>December 31, 2025</w:t>
      </w:r>
      <w:r>
        <w:rPr>
          <w:sz w:val="20"/>
        </w:rPr>
        <w:t>, we had working capital of $</w:t>
      </w:r>
      <w:r>
        <w:rPr>
          <w:rFonts w:ascii="Times New Roman" w:hAnsi="Times New Roman"/>
          <w:sz w:val="20"/>
        </w:rPr>
        <w:t>415.5</w:t>
      </w:r>
      <w:r>
        <w:rPr/>
        <w:t xml:space="preserve"> </w:t>
      </w:r>
      <w:r>
        <w:rPr>
          <w:sz w:val="20"/>
        </w:rPr>
        <w:t>million, which is calculated as the difference between total current assets and total current liabilities, compared to working capital of $</w:t>
      </w:r>
      <w:r>
        <w:rPr>
          <w:rFonts w:ascii="Times New Roman" w:hAnsi="Times New Roman"/>
          <w:sz w:val="20"/>
        </w:rPr>
        <w:t>810.5</w:t>
      </w:r>
      <w:r>
        <w:rPr/>
        <w:t> </w:t>
      </w:r>
      <w:r>
        <w:rPr>
          <w:sz w:val="20"/>
        </w:rPr>
        <w:t xml:space="preserve">million as of </w:t>
      </w:r>
      <w:r>
        <w:rPr>
          <w:rFonts w:ascii="Times New Roman" w:hAnsi="Times New Roman"/>
          <w:sz w:val="20"/>
        </w:rPr>
        <w:t>December 31, 2024</w:t>
      </w:r>
      <w:r>
        <w:rPr>
          <w:sz w:val="20"/>
        </w:rPr>
        <w:t xml:space="preserve">. The decrease in working capital was due to several changes in working capital line items. Our ratio of current assets to current liabilities was </w:t>
      </w:r>
      <w:r>
        <w:rPr>
          <w:rFonts w:ascii="Times New Roman" w:hAnsi="Times New Roman"/>
          <w:sz w:val="20"/>
        </w:rPr>
        <w:t>1.11</w:t>
      </w:r>
      <w:r>
        <w:rPr/>
        <w:t xml:space="preserve"> </w:t>
      </w:r>
      <w:r>
        <w:rPr>
          <w:sz w:val="20"/>
        </w:rPr>
        <w:t xml:space="preserve">and </w:t>
      </w:r>
      <w:r>
        <w:rPr>
          <w:rFonts w:ascii="Times New Roman" w:hAnsi="Times New Roman"/>
          <w:sz w:val="20"/>
        </w:rPr>
        <w:t>1.25</w:t>
      </w:r>
      <w:r>
        <w:rPr/>
        <w:t xml:space="preserve"> </w:t>
      </w:r>
      <w:r>
        <w:rPr>
          <w:sz w:val="20"/>
        </w:rPr>
        <w:t xml:space="preserve">at </w:t>
      </w:r>
      <w:r>
        <w:rPr>
          <w:rFonts w:ascii="Times New Roman" w:hAnsi="Times New Roman"/>
          <w:sz w:val="20"/>
        </w:rPr>
        <w:t>December 31, 2025</w:t>
      </w:r>
      <w:r>
        <w:rPr/>
        <w:t xml:space="preserve"> </w:t>
      </w:r>
      <w:r>
        <w:rPr>
          <w:sz w:val="20"/>
        </w:rPr>
        <w:t xml:space="preserve">and </w:t>
      </w:r>
      <w:r>
        <w:rPr>
          <w:rFonts w:ascii="Times New Roman" w:hAnsi="Times New Roman"/>
          <w:sz w:val="20"/>
        </w:rPr>
        <w:t>December 31, 2024</w:t>
      </w:r>
      <w:r>
        <w:rPr>
          <w:sz w:val="20"/>
        </w:rPr>
        <w:t>, respectively.</w:t>
      </w:r>
    </w:p>
    <w:p>
      <w:pPr>
        <w:pStyle w:val="TextBody"/>
        <w:bidi w:val="0"/>
        <w:spacing w:lineRule="atLeast" w:line="240" w:before="200" w:after="0"/>
        <w:jc w:val="both"/>
        <w:rPr/>
      </w:pPr>
      <w:r>
        <w:rPr>
          <w:sz w:val="20"/>
        </w:rPr>
        <w:t>We require substantial working capital to finance operations. The Money Transfer Segment funds the payout for the majority of our consumer-to-consumer money transfer services before receiving the benefit of amounts collected from customers by agents. Working capital needs to increase due to weekends and banking holidays. As a result, we may report more or less working capital for the Money Transfer Segment based solely upon the day on which the</w:t>
      </w:r>
      <w:r>
        <w:rPr/>
        <w:t> </w:t>
      </w:r>
      <w:r>
        <w:rPr>
          <w:sz w:val="20"/>
        </w:rPr>
        <w:t>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w:t>
      </w:r>
      <w:r>
        <w:rPr/>
        <w:t> </w:t>
      </w:r>
      <w:r>
        <w:rPr>
          <w:rFonts w:ascii="Times New Roman" w:hAnsi="Times New Roman"/>
          <w:sz w:val="20"/>
        </w:rPr>
        <w:t>December 31, 2025</w:t>
      </w:r>
      <w:r>
        <w:rPr>
          <w:sz w:val="20"/>
        </w:rPr>
        <w:t>, we had approximately</w:t>
      </w:r>
      <w:r>
        <w:rPr/>
        <w:t> </w:t>
      </w:r>
      <w:r>
        <w:rPr>
          <w:sz w:val="20"/>
        </w:rPr>
        <w:t>$</w:t>
      </w:r>
      <w:r>
        <w:rPr>
          <w:rFonts w:ascii="Times New Roman" w:hAnsi="Times New Roman"/>
          <w:sz w:val="20"/>
        </w:rPr>
        <w:t>650.3</w:t>
      </w:r>
      <w:r>
        <w:rPr/>
        <w:t xml:space="preserve"> </w:t>
      </w:r>
      <w:r>
        <w:rPr>
          <w:sz w:val="20"/>
        </w:rPr>
        <w:t>million</w:t>
      </w:r>
      <w:r>
        <w:rPr/>
        <w:t> </w:t>
      </w:r>
      <w:r>
        <w:rPr>
          <w:sz w:val="20"/>
        </w:rPr>
        <w:t>of our own cash in use or designated for use in our ATM network, which is recorded in ATM cash on Euronet's Consolidated Balance Sheets. ATM cash increased</w:t>
      </w:r>
      <w:r>
        <w:rPr/>
        <w:t> </w:t>
      </w:r>
      <w:r>
        <w:rPr>
          <w:sz w:val="20"/>
        </w:rPr>
        <w:t>$</w:t>
      </w:r>
      <w:r>
        <w:rPr>
          <w:rFonts w:ascii="Times New Roman" w:hAnsi="Times New Roman"/>
          <w:sz w:val="20"/>
        </w:rPr>
        <w:t>6.5</w:t>
      </w:r>
      <w:r>
        <w:rPr/>
        <w:t xml:space="preserve"> </w:t>
      </w:r>
      <w:r>
        <w:rPr>
          <w:sz w:val="20"/>
        </w:rPr>
        <w:t>million from $</w:t>
      </w:r>
      <w:r>
        <w:rPr>
          <w:rFonts w:ascii="Times New Roman" w:hAnsi="Times New Roman"/>
          <w:sz w:val="20"/>
        </w:rPr>
        <w:t>643.8</w:t>
      </w:r>
      <w:r>
        <w:rPr/>
        <w:t xml:space="preserve"> </w:t>
      </w:r>
      <w:r>
        <w:rPr>
          <w:sz w:val="20"/>
        </w:rPr>
        <w:t xml:space="preserve">million as of </w:t>
      </w:r>
      <w:r>
        <w:rPr>
          <w:rFonts w:ascii="Times New Roman" w:hAnsi="Times New Roman"/>
          <w:sz w:val="20"/>
        </w:rPr>
        <w:t>December 31, 2024</w:t>
      </w:r>
      <w:r>
        <w:rPr/>
        <w:t xml:space="preserve"> </w:t>
      </w:r>
      <w:r>
        <w:rPr>
          <w:sz w:val="20"/>
        </w:rPr>
        <w:t>to $</w:t>
      </w:r>
      <w:r>
        <w:rPr>
          <w:rFonts w:ascii="Times New Roman" w:hAnsi="Times New Roman"/>
          <w:sz w:val="20"/>
        </w:rPr>
        <w:t>650.3</w:t>
      </w:r>
      <w:r>
        <w:rPr/>
        <w:t xml:space="preserve"> </w:t>
      </w:r>
      <w:r>
        <w:rPr>
          <w:sz w:val="20"/>
        </w:rPr>
        <w:t xml:space="preserve">million as of </w:t>
      </w:r>
      <w:r>
        <w:rPr>
          <w:rFonts w:ascii="Times New Roman" w:hAnsi="Times New Roman"/>
          <w:sz w:val="20"/>
        </w:rPr>
        <w:t>December 31, 2025</w:t>
      </w:r>
      <w:r>
        <w:rPr>
          <w:sz w:val="20"/>
        </w:rPr>
        <w:t>.</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Company has $</w:t>
      </w:r>
      <w:r>
        <w:rPr>
          <w:rFonts w:ascii="Times New Roman" w:hAnsi="Times New Roman"/>
          <w:sz w:val="20"/>
        </w:rPr>
        <w:t>1,040.3</w:t>
      </w:r>
      <w:r>
        <w:rPr/>
        <w:t xml:space="preserve"> </w:t>
      </w:r>
      <w:r>
        <w:rPr>
          <w:sz w:val="20"/>
        </w:rPr>
        <w:t xml:space="preserve">million of unrestricted cash as of </w:t>
      </w:r>
      <w:r>
        <w:rPr>
          <w:rFonts w:ascii="Times New Roman" w:hAnsi="Times New Roman"/>
          <w:sz w:val="20"/>
        </w:rPr>
        <w:t>December 31, 2025</w:t>
      </w:r>
      <w:r>
        <w:rPr/>
        <w:t xml:space="preserve"> </w:t>
      </w:r>
      <w:r>
        <w:rPr>
          <w:sz w:val="20"/>
        </w:rPr>
        <w:t>compared to $</w:t>
      </w:r>
      <w:r>
        <w:rPr>
          <w:rFonts w:ascii="Times New Roman" w:hAnsi="Times New Roman"/>
          <w:sz w:val="20"/>
        </w:rPr>
        <w:t>1,278.8</w:t>
      </w:r>
      <w:r>
        <w:rPr/>
        <w:t xml:space="preserve"> </w:t>
      </w:r>
      <w:r>
        <w:rPr>
          <w:sz w:val="20"/>
        </w:rPr>
        <w:t xml:space="preserve">million as of </w:t>
      </w:r>
      <w:r>
        <w:rPr>
          <w:rFonts w:ascii="Times New Roman" w:hAnsi="Times New Roman"/>
          <w:sz w:val="20"/>
        </w:rPr>
        <w:t>December 31, 2024</w:t>
      </w:r>
      <w:r>
        <w:rPr>
          <w:sz w:val="20"/>
        </w:rPr>
        <w:t>. As of December 31, 2025, the Company had access to $</w:t>
      </w:r>
      <w:r>
        <w:rPr>
          <w:rFonts w:ascii="Times New Roman" w:hAnsi="Times New Roman"/>
          <w:sz w:val="20"/>
        </w:rPr>
        <w:t>2,193.7</w:t>
      </w:r>
      <w:r>
        <w:rPr/>
        <w:t xml:space="preserve"> </w:t>
      </w:r>
      <w:r>
        <w:rPr>
          <w:sz w:val="20"/>
        </w:rPr>
        <w:t>million in available cash, and $</w:t>
      </w:r>
      <w:r>
        <w:rPr>
          <w:rFonts w:ascii="Times New Roman" w:hAnsi="Times New Roman"/>
          <w:sz w:val="20"/>
        </w:rPr>
        <w:t>1,780.5</w:t>
      </w:r>
      <w:r>
        <w:rPr/>
        <w:t xml:space="preserve"> </w:t>
      </w:r>
      <w:r>
        <w:rPr>
          <w:sz w:val="20"/>
        </w:rPr>
        <w:t>million available under the Company's revolving credit facility.</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had cash,</w:t>
      </w:r>
      <w:r>
        <w:rPr/>
        <w:t> </w:t>
      </w:r>
      <w:r>
        <w:rPr>
          <w:sz w:val="20"/>
        </w:rPr>
        <w:t>cash equivalents and restricted cash of</w:t>
      </w:r>
      <w:r>
        <w:rPr/>
        <w:t> </w:t>
      </w:r>
      <w:r>
        <w:rPr>
          <w:sz w:val="20"/>
        </w:rPr>
        <w:t>$</w:t>
      </w:r>
      <w:r>
        <w:rPr>
          <w:rFonts w:ascii="Times New Roman" w:hAnsi="Times New Roman"/>
          <w:sz w:val="20"/>
        </w:rPr>
        <w:t>2,362.8</w:t>
      </w:r>
      <w:r>
        <w:rPr/>
        <w:t> </w:t>
      </w:r>
      <w:r>
        <w:rPr>
          <w:sz w:val="20"/>
        </w:rPr>
        <w:t xml:space="preserve">million as of </w:t>
      </w:r>
      <w:r>
        <w:rPr>
          <w:rFonts w:ascii="Times New Roman" w:hAnsi="Times New Roman"/>
          <w:sz w:val="20"/>
        </w:rPr>
        <w:t>December 31, 2025</w:t>
      </w:r>
      <w:r>
        <w:rPr>
          <w:sz w:val="20"/>
        </w:rPr>
        <w:t>, of which</w:t>
      </w:r>
      <w:r>
        <w:rPr/>
        <w:t> </w:t>
      </w:r>
      <w:r>
        <w:rPr>
          <w:sz w:val="20"/>
        </w:rPr>
        <w:t>$1,831.0</w:t>
      </w:r>
      <w:r>
        <w:rPr/>
        <w:t> </w:t>
      </w:r>
      <w:r>
        <w:rPr>
          <w:sz w:val="20"/>
        </w:rPr>
        <w:t xml:space="preserve">million was held outside of the U.S. and is expected to be indefinitely reinvested for continued use in foreign operations. Repatriation of these assets to the U.S. could have negative tax consequences. </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sz w:val="20"/>
        </w:rPr>
        <w:t xml:space="preserve">The following table identifies cash and cash equivalents provided by/(used in) our operating, investing and financing activities for the years ended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t xml:space="preserve"> </w:t>
      </w:r>
      <w:r>
        <w:rPr>
          <w:sz w:val="20"/>
        </w:rPr>
        <w:t>(in millions):</w:t>
      </w:r>
    </w:p>
    <w:p>
      <w:pPr>
        <w:pStyle w:val="TextBody"/>
        <w:bidi w:val="0"/>
        <w:spacing w:lineRule="atLeast" w:line="240" w:before="0" w:after="0"/>
        <w:jc w:val="both"/>
        <w:rPr/>
      </w:pPr>
      <w:r>
        <w:rPr/>
        <w:t> </w:t>
      </w:r>
    </w:p>
    <w:tbl>
      <w:tblPr>
        <w:tblW w:w="10032" w:type="dxa"/>
        <w:jc w:val="left"/>
        <w:tblInd w:w="0" w:type="dxa"/>
        <w:tblLayout w:type="fixed"/>
        <w:tblCellMar>
          <w:top w:w="0" w:type="dxa"/>
          <w:left w:w="0" w:type="dxa"/>
          <w:bottom w:w="0" w:type="dxa"/>
          <w:right w:w="0" w:type="dxa"/>
        </w:tblCellMar>
      </w:tblPr>
      <w:tblGrid>
        <w:gridCol w:w="7925"/>
        <w:gridCol w:w="60"/>
        <w:gridCol w:w="125"/>
        <w:gridCol w:w="825"/>
        <w:gridCol w:w="81"/>
        <w:gridCol w:w="170"/>
        <w:gridCol w:w="846"/>
      </w:tblGrid>
      <w:tr>
        <w:trPr/>
        <w:tc>
          <w:tcPr>
            <w:tcW w:w="79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2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792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Liquidity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1" w:type="dxa"/>
            <w:tcBorders>
              <w:top w:val="single" w:sz="8" w:space="0" w:color="000000"/>
            </w:tcBorders>
            <w:tcMar>
              <w:top w:w="28" w:type="dxa"/>
            </w:tcMar>
            <w:vAlign w:val="center"/>
          </w:tcPr>
          <w:p>
            <w:pPr>
              <w:pStyle w:val="TableContents"/>
              <w:bidi w:val="0"/>
              <w:spacing w:before="0" w:after="0"/>
              <w:jc w:val="left"/>
              <w:rPr/>
            </w:pPr>
            <w:r>
              <w:rPr/>
              <w:t> </w:t>
            </w:r>
          </w:p>
        </w:tc>
        <w:tc>
          <w:tcPr>
            <w:tcW w:w="17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4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7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provided by (used in):</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1" w:type="dxa"/>
            <w:tcBorders/>
            <w:shd w:fill="CCEEFF" w:val="clear"/>
            <w:vAlign w:val="center"/>
          </w:tcPr>
          <w:p>
            <w:pPr>
              <w:pStyle w:val="TableContents"/>
              <w:bidi w:val="0"/>
              <w:spacing w:before="0" w:after="0"/>
              <w:jc w:val="left"/>
              <w:rPr/>
            </w:pPr>
            <w:r>
              <w:rPr/>
              <w:t> </w:t>
            </w:r>
          </w:p>
        </w:tc>
        <w:tc>
          <w:tcPr>
            <w:tcW w:w="17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46"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792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559.8</w:t>
            </w:r>
          </w:p>
        </w:tc>
        <w:tc>
          <w:tcPr>
            <w:tcW w:w="81" w:type="dxa"/>
            <w:tcBorders/>
            <w:shd w:fill="FFFFFF" w:val="clear"/>
            <w:vAlign w:val="center"/>
          </w:tcPr>
          <w:p>
            <w:pPr>
              <w:pStyle w:val="TableContents"/>
              <w:bidi w:val="0"/>
              <w:spacing w:before="0" w:after="0"/>
              <w:jc w:val="left"/>
              <w:rPr/>
            </w:pPr>
            <w:r>
              <w:rPr/>
              <w:t> </w:t>
            </w:r>
          </w:p>
        </w:tc>
        <w:tc>
          <w:tcPr>
            <w:tcW w:w="1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732.8</w:t>
            </w:r>
          </w:p>
        </w:tc>
      </w:tr>
      <w:tr>
        <w:trPr/>
        <w:tc>
          <w:tcPr>
            <w:tcW w:w="792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(138.5)</w:t>
            </w:r>
          </w:p>
        </w:tc>
        <w:tc>
          <w:tcPr>
            <w:tcW w:w="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(223.3)</w:t>
            </w:r>
          </w:p>
        </w:tc>
      </w:tr>
      <w:tr>
        <w:trPr/>
        <w:tc>
          <w:tcPr>
            <w:tcW w:w="792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(788.6)</w:t>
            </w:r>
          </w:p>
        </w:tc>
        <w:tc>
          <w:tcPr>
            <w:tcW w:w="81" w:type="dxa"/>
            <w:tcBorders/>
            <w:shd w:fill="FFFFFF" w:val="clear"/>
            <w:vAlign w:val="center"/>
          </w:tcPr>
          <w:p>
            <w:pPr>
              <w:pStyle w:val="TableContents"/>
              <w:bidi w:val="0"/>
              <w:spacing w:before="0" w:after="0"/>
              <w:jc w:val="left"/>
              <w:rPr/>
            </w:pPr>
            <w:r>
              <w:rPr/>
              <w:t> </w:t>
            </w:r>
          </w:p>
        </w:tc>
        <w:tc>
          <w:tcPr>
            <w:tcW w:w="170" w:type="dxa"/>
            <w:tcBorders/>
            <w:shd w:fill="FFFFFF" w:val="clear"/>
            <w:vAlign w:val="center"/>
          </w:tcPr>
          <w:p>
            <w:pPr>
              <w:pStyle w:val="TableContents"/>
              <w:bidi w:val="0"/>
              <w:spacing w:before="0" w:after="0"/>
              <w:jc w:val="left"/>
              <w:rPr/>
            </w:pPr>
            <w:r>
              <w:rPr/>
              <w:t> </w:t>
            </w:r>
          </w:p>
        </w:tc>
        <w:tc>
          <w:tcPr>
            <w:tcW w:w="84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(135.7)</w:t>
            </w:r>
          </w:p>
        </w:tc>
      </w:tr>
      <w:tr>
        <w:trPr/>
        <w:tc>
          <w:tcPr>
            <w:tcW w:w="7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foreign currency exchange rate changes on cash and cash equivalents and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2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241.9</w:t>
            </w:r>
          </w:p>
        </w:tc>
        <w:tc>
          <w:tcPr>
            <w:tcW w:w="81" w:type="dxa"/>
            <w:tcBorders/>
            <w:shd w:fill="CCEEFF" w:val="cle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(132.6)</w:t>
            </w:r>
          </w:p>
        </w:tc>
      </w:tr>
      <w:tr>
        <w:trPr/>
        <w:tc>
          <w:tcPr>
            <w:tcW w:w="79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Increase/(Decrease) in cash and cash equivalents and 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(125.4)</w:t>
            </w:r>
          </w:p>
        </w:tc>
        <w:tc>
          <w:tcPr>
            <w:tcW w:w="81" w:type="dxa"/>
            <w:tcBorders/>
            <w:shd w:fill="FFFFFF" w:val="clear"/>
            <w:vAlign w:val="center"/>
          </w:tcPr>
          <w:p>
            <w:pPr>
              <w:pStyle w:val="TableContents"/>
              <w:bidi w:val="0"/>
              <w:spacing w:before="0" w:after="0"/>
              <w:jc w:val="left"/>
              <w:rPr/>
            </w:pPr>
            <w:r>
              <w:rPr/>
              <w:t> </w:t>
            </w:r>
          </w:p>
        </w:tc>
        <w:tc>
          <w:tcPr>
            <w:tcW w:w="1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241.2</w:t>
            </w:r>
          </w:p>
        </w:tc>
      </w:tr>
    </w:tbl>
    <w:p>
      <w:pPr>
        <w:pStyle w:val="TextBody"/>
        <w:bidi w:val="0"/>
        <w:spacing w:lineRule="atLeast" w:line="240" w:before="0" w:after="0"/>
        <w:jc w:val="both"/>
        <w:rPr/>
      </w:pPr>
      <w:r>
        <w:rPr/>
        <w:t> </w:t>
      </w:r>
    </w:p>
    <w:p>
      <w:pPr>
        <w:pStyle w:val="TextBody"/>
        <w:bidi w:val="0"/>
        <w:spacing w:before="0" w:after="0"/>
        <w:jc w:val="both"/>
        <w:rPr>
          <w:i/>
          <w:sz w:val="20"/>
        </w:rPr>
      </w:pPr>
      <w:r>
        <w:rPr>
          <w:i/>
          <w:sz w:val="20"/>
        </w:rPr>
        <w:t>Operating cash flow</w:t>
      </w:r>
    </w:p>
    <w:p>
      <w:pPr>
        <w:pStyle w:val="TextBody"/>
        <w:bidi w:val="0"/>
        <w:spacing w:before="0" w:after="0"/>
        <w:jc w:val="both"/>
        <w:rPr/>
      </w:pPr>
      <w:r>
        <w:rPr/>
        <w:t> </w:t>
      </w:r>
    </w:p>
    <w:p>
      <w:pPr>
        <w:pStyle w:val="TextBody"/>
        <w:bidi w:val="0"/>
        <w:spacing w:before="0" w:after="0"/>
        <w:jc w:val="both"/>
        <w:rPr>
          <w:sz w:val="20"/>
        </w:rPr>
      </w:pPr>
      <w:r>
        <w:rPr>
          <w:sz w:val="20"/>
        </w:rPr>
        <w:t xml:space="preserve">Cash flows provided by operating activities were $559.8 million for the year ended </w:t>
      </w:r>
      <w:r>
        <w:rPr>
          <w:rFonts w:ascii="Times New Roman" w:hAnsi="Times New Roman"/>
          <w:sz w:val="20"/>
        </w:rPr>
        <w:t>December 31, 2025</w:t>
      </w:r>
      <w:r>
        <w:rPr>
          <w:sz w:val="20"/>
        </w:rPr>
        <w:t> compared to $</w:t>
      </w:r>
      <w:r>
        <w:rPr>
          <w:rFonts w:ascii="Times New Roman" w:hAnsi="Times New Roman"/>
          <w:sz w:val="20"/>
        </w:rPr>
        <w:t>732.8</w:t>
      </w:r>
      <w:r>
        <w:rPr>
          <w:sz w:val="20"/>
        </w:rPr>
        <w:t xml:space="preserve"> million for the same period in </w:t>
      </w:r>
      <w:r>
        <w:rPr>
          <w:rFonts w:ascii="Times New Roman" w:hAnsi="Times New Roman"/>
          <w:sz w:val="20"/>
        </w:rPr>
        <w:t>2024</w:t>
      </w:r>
      <w:r>
        <w:rPr>
          <w:sz w:val="20"/>
        </w:rPr>
        <w:t>. The decrease in operating cash flows was primarily due to changes in working capital.</w:t>
      </w:r>
    </w:p>
    <w:p>
      <w:pPr>
        <w:pStyle w:val="TextBody"/>
        <w:bidi w:val="0"/>
        <w:spacing w:before="0" w:after="0"/>
        <w:jc w:val="both"/>
        <w:rPr/>
      </w:pPr>
      <w:r>
        <w:rPr/>
        <w:t> </w:t>
      </w:r>
    </w:p>
    <w:p>
      <w:pPr>
        <w:pStyle w:val="TextBody"/>
        <w:bidi w:val="0"/>
        <w:spacing w:before="0" w:after="0"/>
        <w:jc w:val="both"/>
        <w:rPr>
          <w:i/>
          <w:sz w:val="20"/>
        </w:rPr>
      </w:pPr>
      <w:r>
        <w:rPr>
          <w:i/>
          <w:sz w:val="20"/>
        </w:rPr>
        <w:t>Investing activity cash flow</w:t>
      </w:r>
    </w:p>
    <w:p>
      <w:pPr>
        <w:pStyle w:val="TextBody"/>
        <w:bidi w:val="0"/>
        <w:spacing w:before="0" w:after="0"/>
        <w:jc w:val="both"/>
        <w:rPr/>
      </w:pPr>
      <w:r>
        <w:rPr/>
        <w:t> </w:t>
      </w:r>
    </w:p>
    <w:p>
      <w:pPr>
        <w:pStyle w:val="TextBody"/>
        <w:bidi w:val="0"/>
        <w:spacing w:before="0" w:after="0"/>
        <w:jc w:val="both"/>
        <w:rPr>
          <w:sz w:val="20"/>
        </w:rPr>
      </w:pPr>
      <w:r>
        <w:rPr>
          <w:sz w:val="20"/>
        </w:rPr>
        <w:t xml:space="preserve">Cash flows used in investing activities were $138.5 million for the year ended </w:t>
      </w:r>
      <w:r>
        <w:rPr>
          <w:rFonts w:ascii="Times New Roman" w:hAnsi="Times New Roman"/>
          <w:sz w:val="20"/>
        </w:rPr>
        <w:t>December 31, 2025</w:t>
      </w:r>
      <w:r>
        <w:rPr>
          <w:sz w:val="20"/>
        </w:rPr>
        <w:t xml:space="preserve"> compared to $</w:t>
      </w:r>
      <w:r>
        <w:rPr>
          <w:rFonts w:ascii="Times New Roman" w:hAnsi="Times New Roman"/>
          <w:sz w:val="20"/>
        </w:rPr>
        <w:t>223.3</w:t>
      </w:r>
      <w:r>
        <w:rPr>
          <w:sz w:val="20"/>
        </w:rPr>
        <w:t xml:space="preserve"> million for the same period in </w:t>
      </w:r>
      <w:r>
        <w:rPr>
          <w:rFonts w:ascii="Times New Roman" w:hAnsi="Times New Roman"/>
          <w:sz w:val="20"/>
        </w:rPr>
        <w:t>2024</w:t>
      </w:r>
      <w:r>
        <w:rPr>
          <w:sz w:val="20"/>
        </w:rPr>
        <w:t xml:space="preserve">. We used $125.5 million for purchases of property and equipment for the year ended </w:t>
      </w:r>
      <w:r>
        <w:rPr>
          <w:rFonts w:ascii="Times New Roman" w:hAnsi="Times New Roman"/>
          <w:sz w:val="20"/>
        </w:rPr>
        <w:t>December 31, 2025</w:t>
      </w:r>
      <w:r>
        <w:rPr>
          <w:sz w:val="20"/>
        </w:rPr>
        <w:t xml:space="preserve"> compared to $</w:t>
      </w:r>
      <w:r>
        <w:rPr>
          <w:rFonts w:ascii="Times New Roman" w:hAnsi="Times New Roman"/>
          <w:sz w:val="20"/>
        </w:rPr>
        <w:t>117.2</w:t>
      </w:r>
      <w:r>
        <w:rPr>
          <w:sz w:val="20"/>
        </w:rPr>
        <w:t xml:space="preserve"> million for the same period in </w:t>
      </w:r>
      <w:r>
        <w:rPr>
          <w:rFonts w:ascii="Times New Roman" w:hAnsi="Times New Roman"/>
          <w:sz w:val="20"/>
        </w:rPr>
        <w:t>2024</w:t>
      </w:r>
      <w:r>
        <w:rPr>
          <w:sz w:val="20"/>
        </w:rPr>
        <w:t>. In 2025, we provided $24.0 million of cash from acquisitions mainly related to the merger with CoreCard, which was settled in shares, but had a significant cash balance at the time of acquisition, compared to 2024 where we used $</w:t>
      </w:r>
      <w:r>
        <w:rPr>
          <w:rFonts w:ascii="Times New Roman" w:hAnsi="Times New Roman"/>
          <w:sz w:val="20"/>
        </w:rPr>
        <w:t>91.6</w:t>
      </w:r>
      <w:r>
        <w:rPr>
          <w:sz w:val="20"/>
        </w:rPr>
        <w:t xml:space="preserve"> million for acquisitions.</w:t>
      </w:r>
    </w:p>
    <w:p>
      <w:pPr>
        <w:pStyle w:val="TextBody"/>
        <w:bidi w:val="0"/>
        <w:spacing w:before="0" w:after="0"/>
        <w:jc w:val="both"/>
        <w:rPr/>
      </w:pPr>
      <w:r>
        <w:rPr/>
        <w:t> </w:t>
      </w:r>
    </w:p>
    <w:p>
      <w:pPr>
        <w:pStyle w:val="TextBody"/>
        <w:bidi w:val="0"/>
        <w:spacing w:before="0" w:after="0"/>
        <w:jc w:val="both"/>
        <w:rPr>
          <w:i/>
          <w:sz w:val="20"/>
        </w:rPr>
      </w:pPr>
      <w:r>
        <w:rPr>
          <w:i/>
          <w:sz w:val="20"/>
        </w:rPr>
        <w:t>Financing activity cash flow</w:t>
      </w:r>
    </w:p>
    <w:p>
      <w:pPr>
        <w:pStyle w:val="TextBody"/>
        <w:bidi w:val="0"/>
        <w:spacing w:before="0" w:after="0"/>
        <w:jc w:val="both"/>
        <w:rPr/>
      </w:pPr>
      <w:r>
        <w:rPr/>
        <w:t> </w:t>
      </w:r>
    </w:p>
    <w:p>
      <w:pPr>
        <w:pStyle w:val="TextBody"/>
        <w:bidi w:val="0"/>
        <w:spacing w:before="0" w:after="0"/>
        <w:jc w:val="both"/>
        <w:rPr>
          <w:sz w:val="20"/>
        </w:rPr>
      </w:pPr>
      <w:r>
        <w:rPr>
          <w:sz w:val="20"/>
        </w:rPr>
        <w:t>Cash flows used in financing activities were $</w:t>
      </w:r>
      <w:r>
        <w:rPr>
          <w:rFonts w:ascii="Times New Roman" w:hAnsi="Times New Roman"/>
          <w:sz w:val="20"/>
        </w:rPr>
        <w:t>788.6</w:t>
      </w:r>
      <w:r>
        <w:rPr>
          <w:sz w:val="20"/>
        </w:rPr>
        <w:t xml:space="preserve"> million for the year ended </w:t>
      </w:r>
      <w:r>
        <w:rPr>
          <w:rFonts w:ascii="Times New Roman" w:hAnsi="Times New Roman"/>
          <w:sz w:val="20"/>
        </w:rPr>
        <w:t>December 31, 2025</w:t>
      </w:r>
      <w:r>
        <w:rPr>
          <w:sz w:val="20"/>
        </w:rPr>
        <w:t> compared to $</w:t>
      </w:r>
      <w:r>
        <w:rPr>
          <w:rFonts w:ascii="Times New Roman" w:hAnsi="Times New Roman"/>
          <w:sz w:val="20"/>
        </w:rPr>
        <w:t>135.7</w:t>
      </w:r>
      <w:r>
        <w:rPr>
          <w:sz w:val="20"/>
        </w:rPr>
        <w:t xml:space="preserve"> million for the same period in </w:t>
      </w:r>
      <w:r>
        <w:rPr>
          <w:rFonts w:ascii="Times New Roman" w:hAnsi="Times New Roman"/>
          <w:sz w:val="20"/>
        </w:rPr>
        <w:t>2024</w:t>
      </w:r>
      <w:r>
        <w:rPr>
          <w:sz w:val="20"/>
        </w:rPr>
        <w:t>. In 2025, we provided $1,000 million in cash from the sale of 2030 Convertible Senior Notes maturing in October 2030, partially offset by the partial repayment of the existing 2049 Convertible Senior Notes. Other uses of cash were the result of $</w:t>
      </w:r>
      <w:r>
        <w:rPr>
          <w:rFonts w:ascii="Times New Roman" w:hAnsi="Times New Roman"/>
          <w:sz w:val="20"/>
        </w:rPr>
        <w:t>514.5</w:t>
      </w:r>
      <w:r>
        <w:rPr>
          <w:sz w:val="20"/>
        </w:rPr>
        <w:t xml:space="preserve"> million net repayments on debt obligations/credit agreements for the year ended </w:t>
      </w:r>
      <w:r>
        <w:rPr>
          <w:rFonts w:ascii="Times New Roman" w:hAnsi="Times New Roman"/>
          <w:sz w:val="20"/>
        </w:rPr>
        <w:t>December 31, 2025</w:t>
      </w:r>
      <w:r>
        <w:rPr>
          <w:sz w:val="20"/>
        </w:rPr>
        <w:t xml:space="preserve"> compared to net borrowings of $</w:t>
      </w:r>
      <w:r>
        <w:rPr>
          <w:rFonts w:ascii="Times New Roman" w:hAnsi="Times New Roman"/>
          <w:sz w:val="20"/>
        </w:rPr>
        <w:t>120.3</w:t>
      </w:r>
      <w:r>
        <w:rPr>
          <w:sz w:val="20"/>
        </w:rPr>
        <w:t xml:space="preserve"> million for the same period in </w:t>
      </w:r>
      <w:r>
        <w:rPr>
          <w:rFonts w:ascii="Times New Roman" w:hAnsi="Times New Roman"/>
          <w:sz w:val="20"/>
        </w:rPr>
        <w:t>2024</w:t>
      </w:r>
      <w:r>
        <w:rPr>
          <w:sz w:val="20"/>
        </w:rPr>
        <w:t>. Also, we repurchased $</w:t>
      </w:r>
      <w:r>
        <w:rPr>
          <w:rFonts w:ascii="Times New Roman" w:hAnsi="Times New Roman"/>
          <w:sz w:val="20"/>
        </w:rPr>
        <w:t>667.7</w:t>
      </w:r>
      <w:r>
        <w:rPr>
          <w:sz w:val="20"/>
        </w:rPr>
        <w:t xml:space="preserve"> million of common stock during the year ended </w:t>
      </w:r>
      <w:r>
        <w:rPr>
          <w:rFonts w:ascii="Times New Roman" w:hAnsi="Times New Roman"/>
          <w:sz w:val="20"/>
        </w:rPr>
        <w:t>December 31, 2025</w:t>
      </w:r>
      <w:r>
        <w:rPr>
          <w:sz w:val="20"/>
        </w:rPr>
        <w:t xml:space="preserve"> compared to repurchases of $</w:t>
      </w:r>
      <w:r>
        <w:rPr>
          <w:rFonts w:ascii="Times New Roman" w:hAnsi="Times New Roman"/>
          <w:sz w:val="20"/>
        </w:rPr>
        <w:t>268.6</w:t>
      </w:r>
      <w:r>
        <w:rPr>
          <w:sz w:val="20"/>
        </w:rPr>
        <w:t xml:space="preserve"> million of common stock for the same period in </w:t>
      </w:r>
      <w:r>
        <w:rPr>
          <w:rFonts w:ascii="Times New Roman" w:hAnsi="Times New Roman"/>
          <w:sz w:val="20"/>
        </w:rPr>
        <w:t>2024</w:t>
      </w:r>
      <w:r>
        <w:rPr>
          <w:sz w:val="20"/>
        </w:rPr>
        <w:t>. </w:t>
      </w:r>
    </w:p>
    <w:p>
      <w:pPr>
        <w:pStyle w:val="TextBody"/>
        <w:bidi w:val="0"/>
        <w:spacing w:before="0" w:after="0"/>
        <w:jc w:val="both"/>
        <w:rPr/>
      </w:pPr>
      <w:r>
        <w:rPr/>
        <w:t> </w:t>
      </w:r>
    </w:p>
    <w:p>
      <w:pPr>
        <w:pStyle w:val="TextBody"/>
        <w:bidi w:val="0"/>
        <w:spacing w:before="0" w:after="0"/>
        <w:jc w:val="both"/>
        <w:rPr>
          <w:i/>
          <w:sz w:val="20"/>
        </w:rPr>
      </w:pPr>
      <w:r>
        <w:rPr>
          <w:i/>
          <w:sz w:val="20"/>
        </w:rPr>
        <w:t>Other sources of capital</w:t>
      </w:r>
    </w:p>
    <w:p>
      <w:pPr>
        <w:pStyle w:val="TextBody"/>
        <w:bidi w:val="0"/>
        <w:spacing w:before="0" w:after="0"/>
        <w:jc w:val="both"/>
        <w:rPr/>
      </w:pPr>
      <w:r>
        <w:rPr/>
        <w:t> </w:t>
      </w:r>
    </w:p>
    <w:p>
      <w:pPr>
        <w:pStyle w:val="TextBody"/>
        <w:bidi w:val="0"/>
        <w:spacing w:before="0" w:after="0"/>
        <w:jc w:val="both"/>
        <w:rPr>
          <w:sz w:val="20"/>
        </w:rPr>
      </w:pPr>
      <w:r>
        <w:rPr>
          <w:sz w:val="20"/>
          <w:u w:val="single"/>
        </w:rPr>
        <w:t>Credit Facility</w:t>
      </w:r>
      <w:r>
        <w:rPr>
          <w:sz w:val="20"/>
        </w:rPr>
        <w:t> -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USD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$250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The current facility fee is 0.175%. As of </w:t>
      </w:r>
      <w:r>
        <w:rPr>
          <w:rFonts w:ascii="Times New Roman" w:hAnsi="Times New Roman"/>
          <w:sz w:val="20"/>
        </w:rPr>
        <w:t>December 31, 2025</w:t>
      </w:r>
      <w:r>
        <w:rPr>
          <w:sz w:val="20"/>
        </w:rPr>
        <w:t xml:space="preserve"> and </w:t>
      </w:r>
      <w:r>
        <w:rPr>
          <w:rFonts w:ascii="Times New Roman" w:hAnsi="Times New Roman"/>
          <w:sz w:val="20"/>
        </w:rPr>
        <w:t>2024</w:t>
      </w:r>
      <w:r>
        <w:rPr>
          <w:sz w:val="20"/>
        </w:rPr>
        <w:t>, the stand-by letters of credit interest charges were each 1.075% per annum. Borrowing capacity under the Credit Facility as of </w:t>
      </w:r>
      <w:r>
        <w:rPr>
          <w:rFonts w:ascii="Times New Roman" w:hAnsi="Times New Roman"/>
          <w:sz w:val="20"/>
        </w:rPr>
        <w:t>December 31, 2025</w:t>
      </w:r>
      <w:r>
        <w:rPr>
          <w:sz w:val="20"/>
        </w:rPr>
        <w:t xml:space="preserve"> was $</w:t>
      </w:r>
      <w:r>
        <w:rPr>
          <w:rFonts w:ascii="Times New Roman" w:hAnsi="Times New Roman"/>
          <w:sz w:val="20"/>
        </w:rPr>
        <w:t>1,780.5</w:t>
      </w:r>
      <w:r>
        <w:rPr>
          <w:sz w:val="20"/>
        </w:rPr>
        <w:t xml:space="preserve"> million. </w:t>
      </w:r>
      <w:r>
        <w:rPr>
          <w:sz w:val="20"/>
          <w:shd w:fill="FFFFFF" w:val="clear"/>
        </w:rPr>
        <w:t xml:space="preserve">The weighted-average interest rate of the Company's borrowings under the Credit Facility from January 1, 2025 to </w:t>
      </w:r>
      <w:r>
        <w:rPr>
          <w:rFonts w:ascii="Times New Roman" w:hAnsi="Times New Roman"/>
          <w:sz w:val="20"/>
          <w:shd w:fill="FFFFFF" w:val="clear"/>
        </w:rPr>
        <w:t>December 31, 2025</w:t>
      </w:r>
      <w:r>
        <w:rPr>
          <w:sz w:val="20"/>
          <w:shd w:fill="FFFFFF" w:val="clear"/>
        </w:rPr>
        <w:t xml:space="preserve"> was 5.44%.</w:t>
      </w:r>
    </w:p>
    <w:p>
      <w:pPr>
        <w:pStyle w:val="TextBody"/>
        <w:bidi w:val="0"/>
        <w:spacing w:before="0" w:after="0"/>
        <w:jc w:val="both"/>
        <w:rPr/>
      </w:pPr>
      <w:r>
        <w:rPr/>
        <w:t> </w:t>
      </w:r>
    </w:p>
    <w:p>
      <w:pPr>
        <w:pStyle w:val="TextBody"/>
        <w:bidi w:val="0"/>
        <w:spacing w:before="0" w:after="200"/>
        <w:jc w:val="both"/>
        <w:rPr>
          <w:sz w:val="20"/>
        </w:rPr>
      </w:pPr>
      <w:r>
        <w:rPr>
          <w:sz w:val="20"/>
          <w:u w:val="single"/>
        </w:rPr>
        <w:t>Uncommitted Line of Credit</w:t>
      </w:r>
      <w:r>
        <w:rPr>
          <w:sz w:val="20"/>
        </w:rPr>
        <w:t xml:space="preserve"> - On June 20, 2025, the Company entered into an Uncommitted Loan Agreement for the sole purpose of providing vault cash for ATMs, that expires no later than June 19, 2026.  This Uncommitted Line of Credit had a credit limit of $400 million on September 30, 2025 and $250 million thereafter. The loan had an outstanding balance of $250 million at December 31, 2025. The loan is a Prime Rate Loan, a Daily Term SOFR Rate Loan plus 1.00% or shall bear interest at the rate agreed to by the Bank and the Company at the time such loan is made. The weighted-average interest rate from loan inception date to December 31, 2025, was 5.53%. </w:t>
      </w:r>
    </w:p>
    <w:p>
      <w:pPr>
        <w:pStyle w:val="TextBody"/>
        <w:bidi w:val="0"/>
        <w:spacing w:before="0" w:after="200"/>
        <w:jc w:val="both"/>
        <w:rPr>
          <w:sz w:val="20"/>
        </w:rPr>
      </w:pPr>
      <w:r>
        <w:rPr>
          <w:sz w:val="20"/>
        </w:rPr>
        <w:t>On June 21, 2024, the Company rolled its existing $150 million Uncommitted Loan Agreement into a new Uncommitted Loan Agreement with a $400 million credit limit through September 30, 2024, and a credit limit of $250 million thereafter for the sole purpose of providing vault cash for ATMs. The loan had an outstanding balance of $250 million at December 31, 2024. The loan is a Prime Rate Loan, a Daily SOFR Rate Loan plus 1.05% or shall bear interest at the rate agreed to by the Bank and the Company at the time such Loan is made. The weighted-average interest rate from loan inception date to December 31, 2024, was 6.07%. The agreement expired on June 20, 2025. The loan was fully repaid and there was no balance at December 31, 2025. </w:t>
      </w:r>
    </w:p>
    <w:p>
      <w:pPr>
        <w:pStyle w:val="TextBody"/>
        <w:bidi w:val="0"/>
        <w:spacing w:before="0" w:after="200"/>
        <w:jc w:val="both"/>
        <w:rPr>
          <w:sz w:val="20"/>
        </w:rPr>
      </w:pPr>
      <w:r>
        <w:rPr>
          <w:sz w:val="20"/>
        </w:rPr>
        <w:t>On June 27, 2024, the Company entered into an Uncommitted Loan Agreement for $300 million, for the sole purpose of providing vault cash for ATMs, that expired on November 30, 2024. The loan was fully repaid and there was no balance at December 31, 2024. The loan was a Prime Rate Loan, a Daily Simple SOFR Rate Loan plus 1.125% or bore interest at the rate agreed to by the Bank and the Company at the time such Loan was made. The weighted-average interest rate from the loan inception date to November 30, 2024 was 6.24%.</w:t>
      </w:r>
    </w:p>
    <w:p>
      <w:pPr>
        <w:pStyle w:val="TextBody"/>
        <w:bidi w:val="0"/>
        <w:spacing w:lineRule="auto" w:line="276"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pPr>
      <w:r>
        <w:rPr>
          <w:sz w:val="20"/>
          <w:u w:val="single"/>
        </w:rPr>
        <w:t>Convertible debt</w:t>
      </w:r>
      <w:r>
        <w:rPr/>
        <w:t> </w:t>
      </w:r>
      <w:r>
        <w:rPr>
          <w:sz w:val="20"/>
        </w:rPr>
        <w:t>- On August 15, 2025, the Company completed the sale of $1,000.0 million of Convertible Senior Notes due October 2030. ("2030 Convertible Notes"). The 2030 Convertible Notes mature in October 2030 unless redeemed or converted prior to such date and are convertible into shares of Euronet common stock at a conversion price of approximately $127.04 per share if certain conditions are met (relating to the closing price of Euronet common stock exceeding certain thresholds for specified periods).</w:t>
      </w:r>
      <w:r>
        <w:rPr/>
        <w:t xml:space="preserve">  </w:t>
      </w:r>
      <w:r>
        <w:rPr>
          <w:sz w:val="20"/>
        </w:rPr>
        <w:t>The 2030 Convertible Notes bear interest at a rate of 0.625% per year, payable semi-annually in arrears on April 1 and October 1 of each year, beginning on 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 April 1, 2030 if certain conditions are met. In August 2025, in connection with the issuance of the 2030 Convertible Notes, the Company entered into privately negotiated capped call transactions (the “Capped Call Transactions”) with certain of the initial purchasers of the 2030 Convertible Notes or affiliates thereof and other financial institutions (the “Option Counterparties”).</w:t>
      </w:r>
      <w:r>
        <w:rPr/>
        <w:t xml:space="preserve">  </w:t>
      </w:r>
      <w:r>
        <w:rPr>
          <w:sz w:val="20"/>
        </w:rPr>
        <w:t xml:space="preserve">The Capped Call Transactions initially cover, subject to customary anti-dilution adjustments, the number of shares of the Company’s common stock that initially would be issuable upon conversion of the 2030 Convertible Notes. The Capped call Transactions are net purchased call options in Euronet common stock. The Capped Call Transactions are separate transactions, entered into 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 The Company has concluded that the Capped Call Transactions meet the scope exceptions for derivative instruments, and as such, the Capped Call Transactions meet the criteria for classification in equity and are included as a reduction to additional paid in capital. </w:t>
      </w:r>
    </w:p>
    <w:p>
      <w:pPr>
        <w:pStyle w:val="TextBody"/>
        <w:bidi w:val="0"/>
        <w:spacing w:lineRule="atLeast" w:line="240" w:before="0" w:after="200"/>
        <w:jc w:val="both"/>
        <w:rPr/>
      </w:pPr>
      <w:r>
        <w:rPr>
          <w:sz w:val="20"/>
        </w:rPr>
        <w:t>On March 18, 2019, the Company completed the sale of $525.0 million of Convertible Senior Notes ("2049 Convertible Notes"). The 2049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2049 Convertible Notes have the option to require the Company to purchase their notes on each of March 15, 2025, March 15, 2029, March 15, 2034, March 15, 2039 and March 15, 2044 at a repurchase price equal to 100% of the principal amount of the 2049 Convertible Notes to be repurchased, plus accrued and unpaid interest to, but excluding, the relevant repurchase date. In connection with the issuance of the 2049 Convertible Notes, the Company recorded $12.8 million in debt issuance costs, which were amortized through March 1, 2025. Almost all of the holders exercised their right to require the Company to repurchase their notes in March 2025, and we repurchased the tendered 2049 Convertible Notes at that time with a combination of cash on hand and a borrowing under our Credit Facility.</w:t>
      </w:r>
      <w:r>
        <w:rPr/>
        <w:t xml:space="preserve">  </w:t>
      </w:r>
      <w:r>
        <w:rPr>
          <w:sz w:val="20"/>
        </w:rPr>
        <w:t>As of December 31, 2025, $33.2 million of the 2049 Convertible Notes remain outstanding.</w:t>
      </w:r>
    </w:p>
    <w:p>
      <w:pPr>
        <w:pStyle w:val="TextBody"/>
        <w:bidi w:val="0"/>
        <w:spacing w:lineRule="atLeast" w:line="240" w:before="0" w:after="200"/>
        <w:jc w:val="both"/>
        <w:rPr/>
      </w:pPr>
      <w:r>
        <w:rPr>
          <w:sz w:val="20"/>
          <w:u w:val="single"/>
        </w:rPr>
        <w:t>Senior Notes</w:t>
      </w:r>
      <w:r>
        <w:rPr/>
        <w:t> </w:t>
      </w:r>
      <w:r>
        <w:rPr>
          <w:sz w:val="20"/>
        </w:rPr>
        <w:t>-</w:t>
      </w:r>
      <w:r>
        <w:rPr/>
        <w:t> </w:t>
      </w:r>
      <w:r>
        <w:rPr>
          <w:sz w:val="20"/>
        </w:rPr>
        <w:t>On May 22, 2019, the Company completed the sale of</w:t>
      </w:r>
      <w:r>
        <w:rPr/>
        <w:t> €</w:t>
      </w:r>
      <w:r>
        <w:rPr>
          <w:rFonts w:ascii="Times New Roman" w:hAnsi="Times New Roman"/>
          <w:sz w:val="20"/>
        </w:rPr>
        <w:t>600.0</w:t>
      </w:r>
      <w:r>
        <w:rPr/>
        <w:t> </w:t>
      </w:r>
      <w:r>
        <w:rPr>
          <w:sz w:val="20"/>
        </w:rPr>
        <w:t>million ($</w:t>
      </w:r>
      <w:r>
        <w:rPr>
          <w:rFonts w:ascii="Times New Roman" w:hAnsi="Times New Roman"/>
          <w:sz w:val="20"/>
        </w:rPr>
        <w:t>669.9</w:t>
      </w:r>
      <w:r>
        <w:rPr/>
        <w:t xml:space="preserve"> </w:t>
      </w:r>
      <w:r>
        <w:rPr>
          <w:sz w:val="20"/>
        </w:rPr>
        <w:t xml:space="preserve">million) aggregate principal amount of Senior Notes that mature on May 2026 (the "Senior Notes"). The Senior Notes accrue interest at a rate of 1.375% per year, payable </w:t>
      </w:r>
      <w:r>
        <w:rPr>
          <w:rFonts w:ascii="Times New Roman" w:hAnsi="Times New Roman"/>
          <w:sz w:val="20"/>
        </w:rPr>
        <w:t>annually</w:t>
      </w:r>
      <w:r>
        <w:rPr/>
        <w:t xml:space="preserve"> </w:t>
      </w:r>
      <w:r>
        <w:rPr>
          <w:sz w:val="20"/>
        </w:rPr>
        <w:t>in arrears commencing May 22, 2020, until maturity or earlier redemption. As of December 31, 2025, the Company has outstanding €600.0 million ($704.6 million) principal amount of the Senior Notes. In addition, the Company may redeem some or all of these notes after February 22, 2026 at their principal amount plus any accrued and unpaid interest. As of December 31, 2025, the Company had $0.4 million of unamortized debt issuance costs related to the Senior Notes. Depending on market conditions, the Company may repay the Senior Notes at or prior to their maturity date using cash on hand, borrowings under its Credit Facility, the issuance of additional senior notes or a combination thereof.</w:t>
      </w:r>
    </w:p>
    <w:p>
      <w:pPr>
        <w:pStyle w:val="TextBody"/>
        <w:bidi w:val="0"/>
        <w:spacing w:lineRule="atLeast" w:line="240" w:before="0" w:after="200"/>
        <w:jc w:val="both"/>
        <w:rPr/>
      </w:pPr>
      <w:r>
        <w:rPr>
          <w:sz w:val="20"/>
          <w:u w:val="single"/>
        </w:rPr>
        <w:t>Other debt obligations</w:t>
      </w:r>
      <w:r>
        <w:rPr/>
        <w:t xml:space="preserve"> — </w:t>
      </w:r>
      <w:r>
        <w:rPr>
          <w:sz w:val="20"/>
        </w:rPr>
        <w:t>Certain of the Company's subsidiaries have available lines of credit and overdraft credit facilities that generally provide for short-term borrowings that are used from time to time for working capital purposes. On October 9, 2024, the Company completed a facility of MYR 100 million and an overdraft facility of MYR 140 million for its Malaysian business. Each advance under this facility shall be made for a term of 1 month or such other period of up to 12 months. As of December 31, 2025, $24.6 million was borrowed under this facility. There were no borrowings on the overdraft facility. Including the Malaysian facility, there was a total of $34.9</w:t>
      </w:r>
      <w:r>
        <w:rPr/>
        <w:t> </w:t>
      </w:r>
      <w:r>
        <w:rPr>
          <w:sz w:val="20"/>
        </w:rPr>
        <w:t>million</w:t>
      </w:r>
      <w:r>
        <w:rPr/>
        <w:t> </w:t>
      </w:r>
      <w:r>
        <w:rPr>
          <w:sz w:val="20"/>
        </w:rPr>
        <w:t>outstanding under our subsidiaries credit lines and overdraft facilities as of</w:t>
      </w:r>
      <w:r>
        <w:rPr/>
        <w:t> </w:t>
      </w:r>
      <w:r>
        <w:rPr>
          <w:sz w:val="20"/>
        </w:rPr>
        <w:t>December 31, 2025.</w:t>
      </w:r>
      <w:r>
        <w:rPr/>
        <w:t> </w:t>
      </w:r>
    </w:p>
    <w:p>
      <w:pPr>
        <w:pStyle w:val="TextBody"/>
        <w:shd w:fill="FFFFFF" w:val="clear"/>
        <w:bidi w:val="0"/>
        <w:spacing w:lineRule="atLeast" w:line="240" w:before="0" w:after="0"/>
        <w:jc w:val="both"/>
        <w:rPr>
          <w:i/>
          <w:sz w:val="20"/>
        </w:rPr>
      </w:pPr>
      <w:r>
        <w:rPr>
          <w:i/>
          <w:sz w:val="20"/>
        </w:rPr>
        <w:t>Other uses of capital</w:t>
      </w:r>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200"/>
        <w:jc w:val="both"/>
        <w:rPr/>
      </w:pPr>
      <w:r>
        <w:rPr>
          <w:sz w:val="20"/>
          <w:u w:val="single"/>
        </w:rPr>
        <w:t>Capital expenditures and needs</w:t>
      </w:r>
      <w:r>
        <w:rPr/>
        <w:t xml:space="preserve">— </w:t>
      </w:r>
      <w:r>
        <w:rPr>
          <w:sz w:val="20"/>
        </w:rPr>
        <w:t xml:space="preserve">Total capital expenditures for </w:t>
      </w:r>
      <w:r>
        <w:rPr>
          <w:rFonts w:ascii="Times New Roman" w:hAnsi="Times New Roman"/>
          <w:sz w:val="20"/>
        </w:rPr>
        <w:t>2025</w:t>
      </w:r>
      <w:r>
        <w:rPr/>
        <w:t> </w:t>
      </w:r>
      <w:r>
        <w:rPr>
          <w:sz w:val="20"/>
        </w:rPr>
        <w:t>were</w:t>
      </w:r>
      <w:r>
        <w:rPr/>
        <w:t> </w:t>
      </w:r>
      <w:r>
        <w:rPr>
          <w:sz w:val="20"/>
        </w:rPr>
        <w:t>$129.3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2026</w:t>
      </w:r>
      <w:r>
        <w:rPr/>
        <w:t> </w:t>
      </w:r>
      <w:r>
        <w:rPr>
          <w:sz w:val="20"/>
        </w:rPr>
        <w:t>are currently estimated to be approximately $135</w:t>
      </w:r>
      <w:r>
        <w:rPr/>
        <w:t> </w:t>
      </w:r>
      <w:r>
        <w:rPr>
          <w:sz w:val="20"/>
        </w:rPr>
        <w:t>million to $145</w:t>
      </w:r>
      <w:r>
        <w:rPr/>
        <w:t> </w:t>
      </w:r>
      <w:r>
        <w:rPr>
          <w:sz w:val="20"/>
        </w:rPr>
        <w:t>million.</w:t>
      </w:r>
    </w:p>
    <w:p>
      <w:pPr>
        <w:pStyle w:val="TextBody"/>
        <w:bidi w:val="0"/>
        <w:spacing w:lineRule="atLeast" w:line="240" w:before="0" w:after="0"/>
        <w:jc w:val="both"/>
        <w:rPr/>
      </w:pPr>
      <w:r>
        <w:rPr>
          <w:sz w:val="20"/>
          <w:u w:val="single"/>
        </w:rPr>
        <w:t>Contractual lease obligations</w:t>
      </w:r>
      <w:r>
        <w:rPr/>
        <w:t xml:space="preserve"> — </w:t>
      </w:r>
      <w:r>
        <w:rPr>
          <w:sz w:val="20"/>
        </w:rPr>
        <w:t>We have entered into contractually binding operating and finance lease commitments to operate the business. Operating lease expenses were $</w:t>
      </w:r>
      <w:r>
        <w:rPr>
          <w:rFonts w:ascii="Times New Roman" w:hAnsi="Times New Roman"/>
          <w:sz w:val="20"/>
        </w:rPr>
        <w:t>239.8</w:t>
      </w:r>
      <w:r>
        <w:rPr/>
        <w:t> </w:t>
      </w:r>
      <w:r>
        <w:rPr>
          <w:sz w:val="20"/>
        </w:rPr>
        <w:t>million and $</w:t>
      </w:r>
      <w:r>
        <w:rPr>
          <w:rFonts w:ascii="Times New Roman" w:hAnsi="Times New Roman"/>
          <w:sz w:val="20"/>
        </w:rPr>
        <w:t>211.8</w:t>
      </w:r>
      <w:r>
        <w:rPr/>
        <w:t xml:space="preserve"> </w:t>
      </w:r>
      <w:r>
        <w:rPr>
          <w:sz w:val="20"/>
        </w:rPr>
        <w:t xml:space="preserve">million for the years ended </w:t>
      </w:r>
      <w:r>
        <w:rPr>
          <w:rFonts w:ascii="Times New Roman" w:hAnsi="Times New Roman"/>
          <w:sz w:val="20"/>
        </w:rPr>
        <w:t>December 31, 2025</w:t>
      </w:r>
      <w:r>
        <w:rPr/>
        <w:t xml:space="preserve"> </w:t>
      </w:r>
      <w:r>
        <w:rPr>
          <w:sz w:val="20"/>
        </w:rPr>
        <w:t xml:space="preserve">and </w:t>
      </w:r>
      <w:r>
        <w:rPr>
          <w:rFonts w:ascii="Times New Roman" w:hAnsi="Times New Roman"/>
          <w:sz w:val="20"/>
        </w:rPr>
        <w:t>2024</w:t>
      </w:r>
      <w:r>
        <w:rPr>
          <w:sz w:val="20"/>
        </w:rPr>
        <w:t xml:space="preserve">, respectively. Finance lease expenses were not material for </w:t>
      </w:r>
      <w:r>
        <w:rPr>
          <w:rFonts w:ascii="Times New Roman" w:hAnsi="Times New Roman"/>
          <w:sz w:val="20"/>
        </w:rPr>
        <w:t>2025</w:t>
      </w:r>
      <w:r>
        <w:rPr/>
        <w:t xml:space="preserve"> </w:t>
      </w:r>
      <w:r>
        <w:rPr>
          <w:sz w:val="20"/>
        </w:rPr>
        <w:t xml:space="preserve">or </w:t>
      </w:r>
      <w:r>
        <w:rPr>
          <w:rFonts w:ascii="Times New Roman" w:hAnsi="Times New Roman"/>
          <w:sz w:val="20"/>
        </w:rPr>
        <w:t>2024</w:t>
      </w:r>
      <w:r>
        <w:rPr>
          <w:sz w:val="20"/>
        </w:rPr>
        <w:t>.</w:t>
      </w:r>
      <w:r>
        <w:rPr/>
        <w:t> </w:t>
      </w:r>
      <w:r>
        <w:rPr>
          <w:sz w:val="20"/>
        </w:rPr>
        <w:t>For additional information on operating and finance lease obligations, see Note 14,</w:t>
      </w:r>
      <w:r>
        <w:rPr/>
        <w:t> </w:t>
      </w:r>
      <w:r>
        <w:rPr>
          <w:sz w:val="20"/>
        </w:rPr>
        <w:t>Leases, to the Consolidated Financial Statements.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At current and projected cash flow levels, we anticipate that cash generated from operations, together with cash on hand and amounts available under our Credit Facility and other existing and potential future financing</w:t>
      </w:r>
      <w:r>
        <w:rPr/>
        <w:t> </w:t>
      </w:r>
      <w:r>
        <w:rPr>
          <w:sz w:val="20"/>
        </w:rPr>
        <w:t>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i/>
          <w:sz w:val="20"/>
        </w:rPr>
      </w:pPr>
      <w:r>
        <w:rPr>
          <w:i/>
          <w:sz w:val="20"/>
        </w:rPr>
        <w:t>Share repurchase plan</w:t>
      </w:r>
    </w:p>
    <w:p>
      <w:pPr>
        <w:pStyle w:val="TextBody"/>
        <w:bidi w:val="0"/>
        <w:spacing w:lineRule="atLeast" w:line="240" w:before="0" w:after="0"/>
        <w:jc w:val="both"/>
        <w:rPr/>
      </w:pPr>
      <w:r>
        <w:rPr/>
        <w:t> </w:t>
      </w:r>
    </w:p>
    <w:p>
      <w:pPr>
        <w:pStyle w:val="TextBody"/>
        <w:bidi w:val="0"/>
        <w:spacing w:lineRule="atLeast" w:line="240" w:before="0" w:after="200"/>
        <w:jc w:val="both"/>
        <w:rPr/>
      </w:pPr>
      <w:r>
        <w:rPr>
          <w:sz w:val="20"/>
        </w:rPr>
        <w:t>On September 13, 2023, the Company initiated a repurchase program to repurchase up to $350</w:t>
      </w:r>
      <w:r>
        <w:rPr/>
        <w:t> </w:t>
      </w:r>
      <w:r>
        <w:rPr>
          <w:sz w:val="20"/>
        </w:rPr>
        <w:t>million in value, but not more than</w:t>
      </w:r>
      <w:r>
        <w:rPr/>
        <w:t> </w:t>
      </w:r>
      <w:r>
        <w:rPr>
          <w:sz w:val="20"/>
        </w:rPr>
        <w:t>7.0</w:t>
      </w:r>
      <w:r>
        <w:rPr/>
        <w:t> </w:t>
      </w:r>
      <w:r>
        <w:rPr>
          <w:sz w:val="20"/>
        </w:rPr>
        <w:t>million shares of common stock through September 13, 2025.</w:t>
      </w:r>
      <w:r>
        <w:rPr/>
        <w:t> </w:t>
      </w:r>
      <w:r>
        <w:rPr>
          <w:sz w:val="20"/>
        </w:rPr>
        <w:t xml:space="preserve">During 2025, we repurchased </w:t>
      </w:r>
      <w:r>
        <w:rPr>
          <w:rFonts w:ascii="Times New Roman" w:hAnsi="Times New Roman"/>
          <w:sz w:val="20"/>
        </w:rPr>
        <w:t>1,732,929</w:t>
      </w:r>
      <w:r>
        <w:rPr/>
        <w:t xml:space="preserve"> </w:t>
      </w:r>
      <w:r>
        <w:rPr>
          <w:sz w:val="20"/>
        </w:rPr>
        <w:t>shares under the repurchase program at a weighted average purchase price of</w:t>
      </w:r>
      <w:r>
        <w:rPr/>
        <w:t> </w:t>
      </w:r>
      <w:r>
        <w:rPr>
          <w:sz w:val="20"/>
        </w:rPr>
        <w:t>$</w:t>
      </w:r>
      <w:r>
        <w:rPr>
          <w:rFonts w:ascii="Times New Roman" w:hAnsi="Times New Roman"/>
          <w:sz w:val="20"/>
        </w:rPr>
        <w:t>104.70</w:t>
      </w:r>
      <w:r>
        <w:rPr/>
        <w:t> </w:t>
      </w:r>
      <w:r>
        <w:rPr>
          <w:sz w:val="20"/>
        </w:rPr>
        <w:t>for a total value of</w:t>
      </w:r>
      <w:r>
        <w:rPr/>
        <w:t> </w:t>
      </w:r>
      <w:r>
        <w:rPr>
          <w:sz w:val="20"/>
        </w:rPr>
        <w:t>$</w:t>
      </w:r>
      <w:r>
        <w:rPr>
          <w:rFonts w:ascii="Times New Roman" w:hAnsi="Times New Roman"/>
          <w:sz w:val="20"/>
        </w:rPr>
        <w:t>181.4</w:t>
      </w:r>
      <w:r>
        <w:rPr/>
        <w:t xml:space="preserve"> </w:t>
      </w:r>
      <w:r>
        <w:rPr>
          <w:sz w:val="20"/>
        </w:rPr>
        <w:t>million.</w:t>
      </w:r>
      <w:r>
        <w:rPr/>
        <w:t> </w:t>
      </w:r>
      <w:r>
        <w:rPr>
          <w:sz w:val="20"/>
        </w:rPr>
        <w:t>No additional shares are available for repurchase under this repurchase program.</w:t>
      </w:r>
    </w:p>
    <w:p>
      <w:pPr>
        <w:pStyle w:val="TextBody"/>
        <w:bidi w:val="0"/>
        <w:spacing w:lineRule="atLeast" w:line="240" w:before="0" w:after="200"/>
        <w:jc w:val="both"/>
        <w:rPr/>
      </w:pPr>
      <w:r>
        <w:rPr>
          <w:sz w:val="20"/>
        </w:rPr>
        <w:t>On September 11, 2024, the Company initiated a repurchase program to repurchase up to $350</w:t>
      </w:r>
      <w:r>
        <w:rPr/>
        <w:t> </w:t>
      </w:r>
      <w:r>
        <w:rPr>
          <w:sz w:val="20"/>
        </w:rPr>
        <w:t>million in value, but not more than</w:t>
      </w:r>
      <w:r>
        <w:rPr/>
        <w:t> </w:t>
      </w:r>
      <w:r>
        <w:rPr>
          <w:sz w:val="20"/>
        </w:rPr>
        <w:t>7.0</w:t>
      </w:r>
      <w:r>
        <w:rPr/>
        <w:t> </w:t>
      </w:r>
      <w:r>
        <w:rPr>
          <w:sz w:val="20"/>
        </w:rPr>
        <w:t>million shares of common stock through September 11, 2026.</w:t>
      </w:r>
      <w:r>
        <w:rPr/>
        <w:t> </w:t>
      </w:r>
      <w:r>
        <w:rPr>
          <w:sz w:val="20"/>
        </w:rPr>
        <w:t xml:space="preserve">During 2025, we repurchased </w:t>
      </w:r>
      <w:r>
        <w:rPr>
          <w:rFonts w:ascii="Times New Roman" w:hAnsi="Times New Roman"/>
          <w:sz w:val="20"/>
        </w:rPr>
        <w:t>3,780,154</w:t>
      </w:r>
      <w:r>
        <w:rPr/>
        <w:t> </w:t>
      </w:r>
      <w:r>
        <w:rPr>
          <w:sz w:val="20"/>
        </w:rPr>
        <w:t>shares under the repurchase program at a weighted average purchase price of</w:t>
      </w:r>
      <w:r>
        <w:rPr/>
        <w:t> </w:t>
      </w:r>
      <w:r>
        <w:rPr>
          <w:sz w:val="20"/>
        </w:rPr>
        <w:t>$</w:t>
      </w:r>
      <w:r>
        <w:rPr>
          <w:rFonts w:ascii="Times New Roman" w:hAnsi="Times New Roman"/>
          <w:sz w:val="20"/>
        </w:rPr>
        <w:t>92.59</w:t>
      </w:r>
      <w:r>
        <w:rPr/>
        <w:t> </w:t>
      </w:r>
      <w:r>
        <w:rPr>
          <w:sz w:val="20"/>
        </w:rPr>
        <w:t>for a total value of</w:t>
      </w:r>
      <w:r>
        <w:rPr/>
        <w:t> </w:t>
      </w:r>
      <w:r>
        <w:rPr>
          <w:sz w:val="20"/>
        </w:rPr>
        <w:t>$</w:t>
      </w:r>
      <w:r>
        <w:rPr>
          <w:rFonts w:ascii="Times New Roman" w:hAnsi="Times New Roman"/>
          <w:sz w:val="20"/>
        </w:rPr>
        <w:t>350.0</w:t>
      </w:r>
      <w:r>
        <w:rPr/>
        <w:t xml:space="preserve"> </w:t>
      </w:r>
      <w:r>
        <w:rPr>
          <w:sz w:val="20"/>
        </w:rPr>
        <w:t>million. No additional shares are available for repurchase under this repurchase program.</w:t>
      </w:r>
    </w:p>
    <w:p>
      <w:pPr>
        <w:pStyle w:val="TextBody"/>
        <w:bidi w:val="0"/>
        <w:spacing w:lineRule="atLeast" w:line="240" w:before="0" w:after="200"/>
        <w:jc w:val="both"/>
        <w:rPr/>
      </w:pPr>
      <w:r>
        <w:rPr>
          <w:sz w:val="20"/>
        </w:rPr>
        <w:t>On June 3, 2025, the Company put a repurchase program in place to repurchase up to $400</w:t>
      </w:r>
      <w:r>
        <w:rPr/>
        <w:t> </w:t>
      </w:r>
      <w:r>
        <w:rPr>
          <w:sz w:val="20"/>
        </w:rPr>
        <w:t>million in value, but not more than</w:t>
      </w:r>
      <w:r>
        <w:rPr/>
        <w:t> </w:t>
      </w:r>
      <w:r>
        <w:rPr>
          <w:sz w:val="20"/>
        </w:rPr>
        <w:t>8.0</w:t>
      </w:r>
      <w:r>
        <w:rPr/>
        <w:t> </w:t>
      </w:r>
      <w:r>
        <w:rPr>
          <w:sz w:val="20"/>
        </w:rPr>
        <w:t xml:space="preserve">million shares of common stock through June 3, 2027. During 2025, we repurchased </w:t>
      </w:r>
      <w:r>
        <w:rPr>
          <w:rFonts w:ascii="Times New Roman" w:hAnsi="Times New Roman"/>
          <w:sz w:val="20"/>
        </w:rPr>
        <w:t>1,730,566</w:t>
      </w:r>
      <w:r>
        <w:rPr/>
        <w:t xml:space="preserve"> </w:t>
      </w:r>
      <w:r>
        <w:rPr>
          <w:sz w:val="20"/>
        </w:rPr>
        <w:t>shares under the repurchase program at a weighted average purchase price of</w:t>
      </w:r>
      <w:r>
        <w:rPr/>
        <w:t> </w:t>
      </w:r>
      <w:r>
        <w:rPr>
          <w:sz w:val="20"/>
        </w:rPr>
        <w:t>$</w:t>
      </w:r>
      <w:r>
        <w:rPr>
          <w:rFonts w:ascii="Times New Roman" w:hAnsi="Times New Roman"/>
          <w:sz w:val="20"/>
        </w:rPr>
        <w:t>76.02</w:t>
      </w:r>
      <w:r>
        <w:rPr/>
        <w:t> </w:t>
      </w:r>
      <w:r>
        <w:rPr>
          <w:sz w:val="20"/>
        </w:rPr>
        <w:t>for a total value of</w:t>
      </w:r>
      <w:r>
        <w:rPr/>
        <w:t> </w:t>
      </w:r>
      <w:r>
        <w:rPr>
          <w:sz w:val="20"/>
        </w:rPr>
        <w:t>$</w:t>
      </w:r>
      <w:r>
        <w:rPr>
          <w:rFonts w:ascii="Times New Roman" w:hAnsi="Times New Roman"/>
          <w:sz w:val="20"/>
        </w:rPr>
        <w:t>131.6</w:t>
      </w:r>
      <w:r>
        <w:rPr/>
        <w:t xml:space="preserve">  </w:t>
      </w:r>
      <w:r>
        <w:rPr>
          <w:sz w:val="20"/>
        </w:rPr>
        <w:t>million.</w:t>
      </w:r>
    </w:p>
    <w:p>
      <w:pPr>
        <w:pStyle w:val="TextBody"/>
        <w:bidi w:val="0"/>
        <w:spacing w:lineRule="atLeast" w:line="240" w:before="0" w:after="200"/>
        <w:jc w:val="both"/>
        <w:rPr/>
      </w:pPr>
      <w:r>
        <w:rPr>
          <w:sz w:val="20"/>
        </w:rPr>
        <w:t>On February 24, 2026, the Company put a repurchase program in place to repurchase up to $425 million in value, but not more than 10 million shares of common stock. The Company has not made any repurchases under this plan.</w:t>
      </w:r>
      <w:r>
        <w:rPr/>
        <w:t xml:space="preserve">   </w:t>
      </w:r>
    </w:p>
    <w:p>
      <w:pPr>
        <w:pStyle w:val="TextBody"/>
        <w:bidi w:val="0"/>
        <w:spacing w:lineRule="atLeast" w:line="240" w:before="0" w:after="200"/>
        <w:jc w:val="both"/>
        <w:rPr/>
      </w:pPr>
      <w:r>
        <w:rPr>
          <w:sz w:val="20"/>
        </w:rPr>
        <w:t>Repurchases under the programs may take place in the open market or in privately negotiated transactions, including derivative transactions, and may be made under a Rule</w:t>
      </w:r>
      <w:r>
        <w:rPr/>
        <w:t> </w:t>
      </w:r>
      <w:r>
        <w:rPr>
          <w:sz w:val="20"/>
        </w:rPr>
        <w:t>10b5-1</w:t>
      </w:r>
      <w:r>
        <w:rPr/>
        <w:t> </w:t>
      </w:r>
      <w:r>
        <w:rPr>
          <w:sz w:val="20"/>
        </w:rPr>
        <w:t>plan.</w:t>
      </w:r>
    </w:p>
    <w:p>
      <w:pPr>
        <w:pStyle w:val="TextBody"/>
        <w:bidi w:val="0"/>
        <w:spacing w:lineRule="atLeast" w:line="240" w:before="0" w:after="0"/>
        <w:jc w:val="both"/>
        <w:rPr>
          <w:sz w:val="20"/>
        </w:rPr>
      </w:pPr>
      <w:r>
        <w:rPr>
          <w:sz w:val="20"/>
        </w:rPr>
        <w:t>The Inflation Reduction Act (IRA) was signed into law in August 2022. Among other things, it imposes a 1% excise tax on net share repurchases.</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Inflation and functional currencies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Generally, the countries in which we operate have experienced low and stable inflation in recent years, further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Off-balance sheet arrangements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have certain significant off-balance sheet items described in Note 21, Commitments, to the Consolidated</w:t>
      </w:r>
      <w:r>
        <w:rPr/>
        <w:t> </w:t>
      </w:r>
      <w:r>
        <w:rPr>
          <w:sz w:val="20"/>
        </w:rPr>
        <w:t>Financial Statements. 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w:t>
      </w:r>
      <w:r>
        <w:rPr/>
        <w:t> </w:t>
      </w:r>
      <w:r>
        <w:rPr>
          <w:rFonts w:ascii="Times New Roman" w:hAnsi="Times New Roman"/>
          <w:sz w:val="20"/>
        </w:rPr>
        <w:t>December 31, 2025</w:t>
      </w:r>
      <w:r>
        <w:rPr>
          <w:sz w:val="20"/>
        </w:rPr>
        <w:t>.</w:t>
      </w:r>
    </w:p>
    <w:p>
      <w:pPr>
        <w:pStyle w:val="TextBody"/>
        <w:shd w:fill="FFFFFF" w:val="clear"/>
        <w:bidi w:val="0"/>
        <w:spacing w:lineRule="atLeast" w:line="288" w:before="0" w:after="0"/>
        <w:jc w:val="both"/>
        <w:rPr/>
      </w:pPr>
      <w:r>
        <w:rPr/>
        <w:t> </w:t>
      </w:r>
    </w:p>
    <w:p>
      <w:pPr>
        <w:pStyle w:val="TextBody"/>
        <w:bidi w:val="0"/>
        <w:spacing w:lineRule="atLeast" w:line="240" w:before="0" w:after="0"/>
        <w:jc w:val="both"/>
        <w:rPr/>
      </w:pPr>
      <w:r>
        <w:rPr>
          <w:b/>
          <w:sz w:val="20"/>
        </w:rPr>
        <w:t>Critical Accounting Policies and Estimates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intangible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Accounting for income taxes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deferred income tax effects of transactions reported in different periods for financial reporting and income tax return purposes are recorded under the asset and liability method prescribed under ASC Topic 740, </w:t>
      </w:r>
      <w:r>
        <w:rPr>
          <w:i/>
          <w:sz w:val="20"/>
        </w:rPr>
        <w:t>Income Taxes</w:t>
      </w:r>
      <w:r>
        <w:rPr/>
        <w:t xml:space="preserve"> </w:t>
      </w:r>
      <w:r>
        <w:rPr>
          <w:sz w:val="20"/>
        </w:rPr>
        <w:t>("ASC 740"). This method gives consideration to the future tax consequences of deferred income or expense items and immediately recognizes changes in income tax laws upon enactment. The consolidated statement of operations effect is generally derived from changes in deferred income taxes, net of valuation allowances, on the balance sheet as measured by differences in the book and tax bases of our assets and liabilities.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have significant tax loss carryforwards, and other temporary differences, which are recorded as deferred tax assets and liabilities. Deferred tax assets realizable in future periods are recorded net of a valuation allowance based on an assessment of each entity, or group of entities', ability to generate sufficient taxable income within an appropriate period, in a specific tax jurisdiction.</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In assessing the recognition of deferred tax assets, we consider whether it is more likely than not that some portion or all of the deferred tax assets will be realized. As more fully described in Note 15,</w:t>
      </w:r>
      <w:r>
        <w:rPr/>
        <w:t> </w:t>
      </w:r>
      <w:r>
        <w:rPr>
          <w:sz w:val="20"/>
        </w:rPr>
        <w:t>Income Taxes, to the Consolidated Financial Statements, gross deferred tax assets were</w:t>
      </w:r>
      <w:r>
        <w:rPr/>
        <w:t> </w:t>
      </w:r>
      <w:r>
        <w:rPr>
          <w:sz w:val="20"/>
        </w:rPr>
        <w:t>$</w:t>
      </w:r>
      <w:r>
        <w:rPr>
          <w:rFonts w:ascii="Times New Roman" w:hAnsi="Times New Roman"/>
          <w:sz w:val="20"/>
        </w:rPr>
        <w:t>259.0</w:t>
      </w:r>
      <w:r>
        <w:rPr/>
        <w:t> </w:t>
      </w:r>
      <w:r>
        <w:rPr>
          <w:sz w:val="20"/>
        </w:rPr>
        <w:t xml:space="preserve">million as of </w:t>
      </w:r>
      <w:r>
        <w:rPr>
          <w:rFonts w:ascii="Times New Roman" w:hAnsi="Times New Roman"/>
          <w:sz w:val="20"/>
        </w:rPr>
        <w:t>December 31, 2025</w:t>
      </w:r>
      <w:r>
        <w:rPr>
          <w:sz w:val="20"/>
        </w:rPr>
        <w:t>, partially offset by a valuation allowance of</w:t>
      </w:r>
      <w:r>
        <w:rPr/>
        <w:t> </w:t>
      </w:r>
      <w:r>
        <w:rPr>
          <w:sz w:val="20"/>
        </w:rPr>
        <w:t>$</w:t>
      </w:r>
      <w:r>
        <w:rPr>
          <w:rFonts w:ascii="Times New Roman" w:hAnsi="Times New Roman"/>
          <w:sz w:val="20"/>
        </w:rPr>
        <w:t>87.9</w:t>
      </w:r>
      <w:r>
        <w:rPr/>
        <w:t> </w:t>
      </w:r>
      <w:r>
        <w:rPr>
          <w:sz w:val="20"/>
        </w:rPr>
        <w:t>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sz w:val="20"/>
        </w:rPr>
        <w:t xml:space="preserve">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w:t>
      </w:r>
      <w:r>
        <w:rPr>
          <w:rFonts w:ascii="Times New Roman" w:hAnsi="Times New Roman"/>
          <w:sz w:val="20"/>
        </w:rPr>
        <w:t>December 31, 2025</w:t>
      </w:r>
      <w:r>
        <w:rPr>
          <w:sz w:val="20"/>
        </w:rPr>
        <w:t>. If we have a history of generating taxable income in a certain country in which we operate, and baseline forecasts project continued taxable income in this country, we will reduce the valuation allowance for those deferred tax assets that we expect to realize.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Business combinations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In accordance with ASC Topic 805, </w:t>
      </w:r>
      <w:r>
        <w:rPr>
          <w:i/>
          <w:sz w:val="20"/>
        </w:rPr>
        <w:t>Business Combinations</w:t>
      </w:r>
      <w:r>
        <w:rPr/>
        <w:t xml:space="preserve"> </w:t>
      </w:r>
      <w:r>
        <w:rPr>
          <w:sz w:val="20"/>
        </w:rPr>
        <w:t>("ASC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w:t>
      </w:r>
      <w:r>
        <w:rPr/>
        <w:t> </w:t>
      </w:r>
      <w:r>
        <w:rPr>
          <w:sz w:val="20"/>
        </w:rPr>
        <w:t>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Goodwill and intangible assets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In accordance with ASC Topic 350,</w:t>
      </w:r>
      <w:r>
        <w:rPr/>
        <w:t> </w:t>
      </w:r>
      <w:r>
        <w:rPr>
          <w:i/>
          <w:sz w:val="20"/>
        </w:rPr>
        <w:t>Intangibles - Goodwill and Other</w:t>
      </w:r>
      <w:r>
        <w:rPr/>
        <w:t> </w:t>
      </w:r>
      <w:r>
        <w:rPr>
          <w:sz w:val="20"/>
        </w:rPr>
        <w:t>(“ASC 350”)</w:t>
      </w:r>
      <w:r>
        <w:rPr>
          <w:i/>
          <w:sz w:val="20"/>
        </w:rPr>
        <w:t>,</w:t>
      </w:r>
      <w:r>
        <w:rPr/>
        <w:t> </w:t>
      </w:r>
      <w:r>
        <w:rPr>
          <w:sz w:val="20"/>
        </w:rPr>
        <w:t>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Our annual impairment tests are performed during the fourth quarter and are performed at the reporting unit level. Our annual process for evaluating goodwill allows us to perform a qualitative assessment for all reporting units, and then perform a quantitative goodwill impairment test for those reporting units in which it is deemed necessary.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is determined using discounted projected future cash flows and market multiple of earnings. If the carrying amount of the reporting unit exceeds the fair value of the reporting unit, a goodwill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pStyle w:val="TextBody"/>
        <w:bidi w:val="0"/>
        <w:spacing w:lineRule="atLeast" w:line="264" w:before="0" w:after="0"/>
        <w:jc w:val="both"/>
        <w:rPr/>
      </w:pPr>
      <w:r>
        <w:rPr/>
        <w:t> </w:t>
      </w:r>
    </w:p>
    <w:p>
      <w:pPr>
        <w:pStyle w:val="TextBody"/>
        <w:bidi w:val="0"/>
        <w:spacing w:lineRule="atLeast" w:line="240" w:before="0" w:after="0"/>
        <w:jc w:val="both"/>
        <w:rPr>
          <w:sz w:val="20"/>
        </w:rPr>
      </w:pPr>
      <w:r>
        <w:rPr>
          <w:sz w:val="20"/>
        </w:rPr>
        <w:t>Acquired finite-lived intangible assets are amortized over their estimated useful lives. We evaluate the recoverability of our finite-intangible assets, as a part of our long-lived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The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its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pStyle w:val="TextBody"/>
        <w:bidi w:val="0"/>
        <w:spacing w:lineRule="atLeast" w:line="240" w:before="0" w:after="0"/>
        <w:jc w:val="both"/>
        <w:rPr/>
      </w:pPr>
      <w:r>
        <w:rPr/>
        <w:t> </w:t>
      </w:r>
    </w:p>
    <w:p>
      <w:pPr>
        <w:pStyle w:val="TextBody"/>
        <w:bidi w:val="0"/>
        <w:spacing w:lineRule="atLeast" w:line="240" w:before="0" w:after="200"/>
        <w:jc w:val="both"/>
        <w:rPr/>
      </w:pPr>
      <w:r>
        <w:rPr>
          <w:sz w:val="20"/>
        </w:rPr>
        <w:t xml:space="preserve">As of </w:t>
      </w:r>
      <w:r>
        <w:rPr>
          <w:rFonts w:ascii="Times New Roman" w:hAnsi="Times New Roman"/>
          <w:sz w:val="20"/>
        </w:rPr>
        <w:t>December 31, 2025</w:t>
      </w:r>
      <w:r>
        <w:rPr>
          <w:sz w:val="20"/>
        </w:rPr>
        <w:t>, the Consolidated Balance Sheet includes goodwill of $</w:t>
      </w:r>
      <w:r>
        <w:rPr>
          <w:rFonts w:ascii="Times New Roman" w:hAnsi="Times New Roman"/>
          <w:sz w:val="20"/>
        </w:rPr>
        <w:t>1,042.3</w:t>
      </w:r>
      <w:r>
        <w:rPr/>
        <w:t xml:space="preserve"> </w:t>
      </w:r>
      <w:r>
        <w:rPr>
          <w:sz w:val="20"/>
        </w:rPr>
        <w:t>million and acquired intangible assets, net of accumulated amortization, of $</w:t>
      </w:r>
      <w:r>
        <w:rPr>
          <w:rFonts w:ascii="Times New Roman" w:hAnsi="Times New Roman"/>
          <w:sz w:val="20"/>
        </w:rPr>
        <w:t>261.2</w:t>
      </w:r>
      <w:r>
        <w:rPr/>
        <w:t xml:space="preserve"> </w:t>
      </w:r>
      <w:r>
        <w:rPr>
          <w:sz w:val="20"/>
        </w:rPr>
        <w:t xml:space="preserve">million. For the year ended </w:t>
      </w:r>
      <w:r>
        <w:rPr>
          <w:rFonts w:ascii="Times New Roman" w:hAnsi="Times New Roman"/>
          <w:sz w:val="20"/>
        </w:rPr>
        <w:t>December 31, 2025</w:t>
      </w:r>
      <w:r>
        <w:rPr>
          <w:sz w:val="20"/>
        </w:rPr>
        <w:t>, no impairment of goodwill or acquired intangible assets has been identified.</w:t>
      </w:r>
    </w:p>
    <w:p>
      <w:pPr>
        <w:pStyle w:val="TextBody"/>
        <w:bidi w:val="0"/>
        <w:spacing w:lineRule="atLeast" w:line="240" w:before="200" w:after="200"/>
        <w:jc w:val="both"/>
        <w:rPr>
          <w:b/>
          <w:sz w:val="20"/>
        </w:rPr>
      </w:pPr>
      <w:r>
        <w:rPr>
          <w:b/>
          <w:sz w:val="20"/>
        </w:rPr>
        <w:t>Recently Issued Accounting Pronouncements</w:t>
      </w:r>
    </w:p>
    <w:p>
      <w:pPr>
        <w:pStyle w:val="TextBody"/>
        <w:bidi w:val="0"/>
        <w:spacing w:lineRule="atLeast" w:line="240" w:before="0" w:after="0"/>
        <w:jc w:val="both"/>
        <w:rPr>
          <w:sz w:val="20"/>
        </w:rPr>
      </w:pPr>
      <w:r>
        <w:rPr>
          <w:sz w:val="20"/>
        </w:rPr>
        <w:t>See Item 8 of Part II, "Financial Statements and Supplementary Data - Note 3 - Summary of Significant Accounting Policies and Practices.</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pPr>
      <w:r>
        <w:rPr>
          <w:b/>
          <w:sz w:val="20"/>
        </w:rPr>
        <w:t>Forward-Looking Statements</w:t>
      </w:r>
      <w:r>
        <w:rPr/>
        <w:t xml:space="preserve"> </w:t>
      </w:r>
    </w:p>
    <w:p>
      <w:pPr>
        <w:pStyle w:val="TextBody"/>
        <w:bidi w:val="0"/>
        <w:spacing w:lineRule="atLeast" w:line="240" w:before="0" w:after="160"/>
        <w:jc w:val="both"/>
        <w:rPr>
          <w:sz w:val="20"/>
        </w:rPr>
      </w:pPr>
      <w:r>
        <w:rPr>
          <w:sz w:val="20"/>
        </w:rPr>
        <w:t xml:space="preserve">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 </w:t>
      </w:r>
    </w:p>
    <w:p>
      <w:pPr>
        <w:pStyle w:val="TextBody"/>
        <w:bidi w:val="0"/>
        <w:spacing w:before="200" w:after="0"/>
        <w:ind w:left="720" w:right="0" w:hanging="187"/>
        <w:jc w:val="both"/>
        <w:rPr/>
      </w:pPr>
      <w:r>
        <w:rPr/>
        <w:t></w:t>
      </w:r>
      <w:r>
        <w:rPr>
          <w:caps w:val="false"/>
          <w:smallCaps w:val="false"/>
        </w:rPr>
        <w:t xml:space="preserve">   </w:t>
      </w:r>
      <w:r>
        <w:rPr>
          <w:sz w:val="20"/>
        </w:rPr>
        <w:t>our business plans and financing plans and requirements;</w:t>
      </w:r>
    </w:p>
    <w:p>
      <w:pPr>
        <w:pStyle w:val="TextBody"/>
        <w:bidi w:val="0"/>
        <w:spacing w:before="0" w:after="0"/>
        <w:ind w:left="720" w:right="0" w:hanging="187"/>
        <w:jc w:val="both"/>
        <w:rPr/>
      </w:pPr>
      <w:r>
        <w:rPr/>
        <w:t></w:t>
      </w:r>
      <w:r>
        <w:rPr>
          <w:caps w:val="false"/>
          <w:smallCaps w:val="false"/>
        </w:rPr>
        <w:t xml:space="preserve">   </w:t>
      </w:r>
      <w:r>
        <w:rPr>
          <w:sz w:val="20"/>
        </w:rPr>
        <w:t>trends affecting our business plans and financing plans and requirements;</w:t>
      </w:r>
    </w:p>
    <w:p>
      <w:pPr>
        <w:pStyle w:val="TextBody"/>
        <w:bidi w:val="0"/>
        <w:spacing w:before="0" w:after="0"/>
        <w:ind w:left="720" w:right="0" w:hanging="187"/>
        <w:jc w:val="both"/>
        <w:rPr/>
      </w:pPr>
      <w:r>
        <w:rPr/>
        <w:t></w:t>
      </w:r>
      <w:r>
        <w:rPr>
          <w:caps w:val="false"/>
          <w:smallCaps w:val="false"/>
        </w:rPr>
        <w:t xml:space="preserve">   </w:t>
      </w:r>
      <w:r>
        <w:rPr>
          <w:sz w:val="20"/>
        </w:rPr>
        <w:t>trends affecting our business;</w:t>
      </w:r>
    </w:p>
    <w:p>
      <w:pPr>
        <w:pStyle w:val="TextBody"/>
        <w:bidi w:val="0"/>
        <w:spacing w:before="0" w:after="0"/>
        <w:ind w:left="720" w:right="0" w:hanging="187"/>
        <w:jc w:val="both"/>
        <w:rPr/>
      </w:pPr>
      <w:r>
        <w:rPr/>
        <w:t></w:t>
      </w:r>
      <w:r>
        <w:rPr>
          <w:caps w:val="false"/>
          <w:smallCaps w:val="false"/>
        </w:rPr>
        <w:t xml:space="preserve">   </w:t>
      </w:r>
      <w:r>
        <w:rPr>
          <w:sz w:val="20"/>
        </w:rPr>
        <w:t>the adequacy of capital to meet our capital requirements and expansion plans;</w:t>
      </w:r>
    </w:p>
    <w:p>
      <w:pPr>
        <w:pStyle w:val="TextBody"/>
        <w:bidi w:val="0"/>
        <w:spacing w:before="0" w:after="0"/>
        <w:ind w:left="720" w:right="0" w:hanging="187"/>
        <w:jc w:val="both"/>
        <w:rPr/>
      </w:pPr>
      <w:r>
        <w:rPr/>
        <w:t></w:t>
      </w:r>
      <w:r>
        <w:rPr>
          <w:caps w:val="false"/>
          <w:smallCaps w:val="false"/>
        </w:rPr>
        <w:t xml:space="preserve">   </w:t>
      </w:r>
      <w:r>
        <w:rPr>
          <w:sz w:val="20"/>
        </w:rPr>
        <w:t>the assumptions underlying our business plans;</w:t>
      </w:r>
    </w:p>
    <w:p>
      <w:pPr>
        <w:pStyle w:val="TextBody"/>
        <w:bidi w:val="0"/>
        <w:spacing w:before="0" w:after="0"/>
        <w:ind w:left="720" w:right="0" w:hanging="187"/>
        <w:jc w:val="both"/>
        <w:rPr/>
      </w:pPr>
      <w:r>
        <w:rPr/>
        <w:t></w:t>
      </w:r>
      <w:r>
        <w:rPr>
          <w:caps w:val="false"/>
          <w:smallCaps w:val="false"/>
        </w:rPr>
        <w:t xml:space="preserve">   </w:t>
      </w:r>
      <w:r>
        <w:rPr>
          <w:sz w:val="20"/>
        </w:rPr>
        <w:t>our ability to repay indebtedness;</w:t>
      </w:r>
    </w:p>
    <w:p>
      <w:pPr>
        <w:pStyle w:val="TextBody"/>
        <w:bidi w:val="0"/>
        <w:spacing w:before="0" w:after="0"/>
        <w:ind w:left="720" w:right="0" w:hanging="187"/>
        <w:jc w:val="both"/>
        <w:rPr/>
      </w:pPr>
      <w:r>
        <w:rPr/>
        <w:t></w:t>
      </w:r>
      <w:r>
        <w:rPr>
          <w:caps w:val="false"/>
          <w:smallCaps w:val="false"/>
        </w:rPr>
        <w:t xml:space="preserve">   </w:t>
      </w:r>
      <w:r>
        <w:rPr>
          <w:sz w:val="20"/>
        </w:rPr>
        <w:t>our estimated capital expenditures;</w:t>
      </w:r>
    </w:p>
    <w:p>
      <w:pPr>
        <w:pStyle w:val="TextBody"/>
        <w:bidi w:val="0"/>
        <w:spacing w:before="0" w:after="0"/>
        <w:ind w:left="720" w:right="0" w:hanging="187"/>
        <w:jc w:val="both"/>
        <w:rPr/>
      </w:pPr>
      <w:r>
        <w:rPr/>
        <w:t></w:t>
      </w:r>
      <w:r>
        <w:rPr>
          <w:caps w:val="false"/>
          <w:smallCaps w:val="false"/>
        </w:rPr>
        <w:t xml:space="preserve">   </w:t>
      </w:r>
      <w:r>
        <w:rPr>
          <w:sz w:val="20"/>
        </w:rPr>
        <w:t>the potential outcome of loss contingencies;</w:t>
      </w:r>
    </w:p>
    <w:p>
      <w:pPr>
        <w:pStyle w:val="TextBody"/>
        <w:bidi w:val="0"/>
        <w:spacing w:before="0" w:after="0"/>
        <w:ind w:left="720" w:right="0" w:hanging="187"/>
        <w:jc w:val="both"/>
        <w:rPr/>
      </w:pPr>
      <w:r>
        <w:rPr/>
        <w:t></w:t>
      </w:r>
      <w:r>
        <w:rPr>
          <w:caps w:val="false"/>
          <w:smallCaps w:val="false"/>
        </w:rPr>
        <w:t xml:space="preserve">   </w:t>
      </w:r>
      <w:r>
        <w:rPr>
          <w:sz w:val="20"/>
        </w:rPr>
        <w:t>our expectations regarding the closing of any pending acquisitions; our ability to successfully integrate acquired businesses and to realize any anticipated synergies;</w:t>
      </w:r>
    </w:p>
    <w:p>
      <w:pPr>
        <w:pStyle w:val="TextBody"/>
        <w:bidi w:val="0"/>
        <w:spacing w:before="0" w:after="0"/>
        <w:ind w:left="720" w:right="0" w:hanging="187"/>
        <w:jc w:val="both"/>
        <w:rPr/>
      </w:pPr>
      <w:r>
        <w:rPr/>
        <w:t></w:t>
      </w:r>
      <w:r>
        <w:rPr>
          <w:caps w:val="false"/>
          <w:smallCaps w:val="false"/>
        </w:rPr>
        <w:t xml:space="preserve">   </w:t>
      </w:r>
      <w:r>
        <w:rPr>
          <w:sz w:val="20"/>
        </w:rPr>
        <w:t>business strategy;</w:t>
      </w:r>
    </w:p>
    <w:p>
      <w:pPr>
        <w:pStyle w:val="TextBody"/>
        <w:bidi w:val="0"/>
        <w:spacing w:before="0" w:after="0"/>
        <w:ind w:left="720" w:right="0" w:hanging="187"/>
        <w:jc w:val="both"/>
        <w:rPr/>
      </w:pPr>
      <w:r>
        <w:rPr/>
        <w:t></w:t>
      </w:r>
      <w:r>
        <w:rPr>
          <w:caps w:val="false"/>
          <w:smallCaps w:val="false"/>
        </w:rPr>
        <w:t xml:space="preserve">   </w:t>
      </w:r>
      <w:r>
        <w:rPr>
          <w:sz w:val="20"/>
        </w:rPr>
        <w:t>government regulatory action;</w:t>
      </w:r>
    </w:p>
    <w:p>
      <w:pPr>
        <w:pStyle w:val="TextBody"/>
        <w:bidi w:val="0"/>
        <w:spacing w:before="0" w:after="0"/>
        <w:ind w:left="720" w:right="0" w:hanging="187"/>
        <w:jc w:val="both"/>
        <w:rPr/>
      </w:pPr>
      <w:r>
        <w:rPr/>
        <w:t></w:t>
      </w:r>
      <w:r>
        <w:rPr>
          <w:caps w:val="false"/>
          <w:smallCaps w:val="false"/>
        </w:rPr>
        <w:t xml:space="preserve">   </w:t>
      </w:r>
      <w:r>
        <w:rPr>
          <w:sz w:val="20"/>
        </w:rPr>
        <w:t>the expected effects of changes in laws or accounting standards;</w:t>
      </w:r>
    </w:p>
    <w:p>
      <w:pPr>
        <w:pStyle w:val="TextBody"/>
        <w:bidi w:val="0"/>
        <w:spacing w:before="0" w:after="0"/>
        <w:ind w:left="720" w:right="0" w:hanging="187"/>
        <w:jc w:val="both"/>
        <w:rPr/>
      </w:pPr>
      <w:r>
        <w:rPr/>
        <w:t></w:t>
      </w:r>
      <w:r>
        <w:rPr>
          <w:caps w:val="false"/>
          <w:smallCaps w:val="false"/>
        </w:rPr>
        <w:t xml:space="preserve">   </w:t>
      </w:r>
      <w:r>
        <w:rPr>
          <w:sz w:val="20"/>
        </w:rPr>
        <w:t>the impact of the pandemics, on our results of operations and financial position;</w:t>
      </w:r>
    </w:p>
    <w:p>
      <w:pPr>
        <w:pStyle w:val="TextBody"/>
        <w:bidi w:val="0"/>
        <w:spacing w:before="0" w:after="0"/>
        <w:ind w:left="720" w:right="0" w:hanging="187"/>
        <w:jc w:val="both"/>
        <w:rPr/>
      </w:pPr>
      <w:r>
        <w:rPr/>
        <w:t></w:t>
      </w:r>
      <w:r>
        <w:rPr>
          <w:caps w:val="false"/>
          <w:smallCaps w:val="false"/>
        </w:rPr>
        <w:t xml:space="preserve">   </w:t>
      </w:r>
      <w:r>
        <w:rPr>
          <w:sz w:val="20"/>
        </w:rPr>
        <w:t>technological advances; and</w:t>
      </w:r>
    </w:p>
    <w:p>
      <w:pPr>
        <w:pStyle w:val="TextBody"/>
        <w:bidi w:val="0"/>
        <w:spacing w:before="0" w:after="0"/>
        <w:ind w:left="720" w:right="0" w:hanging="187"/>
        <w:jc w:val="both"/>
        <w:rPr/>
      </w:pPr>
      <w:r>
        <w:rPr/>
        <w:t></w:t>
      </w:r>
      <w:r>
        <w:rPr>
          <w:caps w:val="false"/>
          <w:smallCaps w:val="false"/>
        </w:rPr>
        <w:t xml:space="preserve">   </w:t>
      </w:r>
      <w:r>
        <w:rPr>
          <w:sz w:val="20"/>
        </w:rPr>
        <w:t>projected costs and revenues.</w:t>
      </w:r>
    </w:p>
    <w:p>
      <w:pPr>
        <w:pStyle w:val="TextBody"/>
        <w:bidi w:val="0"/>
        <w:spacing w:lineRule="atLeast" w:line="240" w:before="0" w:after="0"/>
        <w:jc w:val="both"/>
        <w:rPr/>
      </w:pPr>
      <w:r>
        <w:rPr/>
        <w:t> </w:t>
      </w:r>
    </w:p>
    <w:p>
      <w:pPr>
        <w:pStyle w:val="TextBody"/>
        <w:bidi w:val="0"/>
        <w:spacing w:before="0" w:after="160"/>
        <w:jc w:val="both"/>
        <w:rPr>
          <w:sz w:val="20"/>
        </w:rPr>
      </w:pPr>
      <w:r>
        <w:rPr>
          <w:sz w:val="20"/>
        </w:rPr>
        <w:t>Although we believe that the expectations reflected in these forward-looking statements are reasonable, we can give no assurance that these expectations will prove to be correct. </w:t>
      </w:r>
    </w:p>
    <w:p>
      <w:pPr>
        <w:pStyle w:val="TextBody"/>
        <w:bidi w:val="0"/>
        <w:spacing w:before="0" w:after="200"/>
        <w:jc w:val="both"/>
        <w:rPr>
          <w:sz w:val="20"/>
        </w:rPr>
      </w:pPr>
      <w:r>
        <w:rPr>
          <w:sz w:val="20"/>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pandemics or other disease outbreaks; inflation; military conflicts in Ukraine and the Middle East and the related economic sanctions;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forward-looking statements to reflect future events or circumstances after the date of such statements. </w:t>
      </w:r>
    </w:p>
    <w:p>
      <w:pPr>
        <w:pStyle w:val="TextBody"/>
        <w:bidi w:val="0"/>
        <w:spacing w:before="0" w:after="0"/>
        <w:jc w:val="both"/>
        <w:rPr/>
      </w:pPr>
      <w:bookmarkStart w:id="21" w:name="bm_4dab01656729a928"/>
      <w:bookmarkEnd w:id="21"/>
      <w:r>
        <w:rPr>
          <w:b/>
          <w:sz w:val="20"/>
        </w:rPr>
        <w:t xml:space="preserve">Item 7A. </w:t>
      </w:r>
      <w:bookmarkStart w:id="22" w:name="B5_1HPLO6CA0W00000000000000000000"/>
      <w:bookmarkEnd w:id="22"/>
      <w:r>
        <w:rPr>
          <w:b/>
          <w:sz w:val="20"/>
        </w:rPr>
        <w:t>Quantitative and Qualitative Disclosures about Market Risk</w:t>
      </w:r>
    </w:p>
    <w:p>
      <w:pPr>
        <w:pStyle w:val="TextBody"/>
        <w:bidi w:val="0"/>
        <w:spacing w:before="0" w:after="0"/>
        <w:jc w:val="both"/>
        <w:rPr/>
      </w:pPr>
      <w:r>
        <w:rPr/>
        <w:t> </w:t>
      </w:r>
    </w:p>
    <w:p>
      <w:pPr>
        <w:pStyle w:val="TextBody"/>
        <w:bidi w:val="0"/>
        <w:spacing w:before="0" w:after="0"/>
        <w:jc w:val="both"/>
        <w:rPr>
          <w:sz w:val="20"/>
        </w:rPr>
      </w:pPr>
      <w:r>
        <w:rPr>
          <w:i/>
          <w:sz w:val="20"/>
        </w:rPr>
        <w:t>Interest rate risk</w:t>
      </w:r>
      <w:r>
        <w:rPr>
          <w:sz w:val="20"/>
        </w:rPr>
        <w:t> </w:t>
      </w:r>
    </w:p>
    <w:p>
      <w:pPr>
        <w:pStyle w:val="TextBody"/>
        <w:bidi w:val="0"/>
        <w:spacing w:before="0" w:after="0"/>
        <w:jc w:val="both"/>
        <w:rPr/>
      </w:pPr>
      <w:r>
        <w:rPr/>
        <w:t> </w:t>
      </w:r>
    </w:p>
    <w:p>
      <w:pPr>
        <w:pStyle w:val="TextBody"/>
        <w:bidi w:val="0"/>
        <w:spacing w:before="0" w:after="0"/>
        <w:jc w:val="both"/>
        <w:rPr>
          <w:sz w:val="20"/>
        </w:rPr>
      </w:pPr>
      <w:r>
        <w:rPr>
          <w:sz w:val="20"/>
        </w:rPr>
        <w:t xml:space="preserve">As of </w:t>
      </w:r>
      <w:r>
        <w:rPr>
          <w:rFonts w:ascii="Times New Roman" w:hAnsi="Times New Roman"/>
          <w:sz w:val="20"/>
        </w:rPr>
        <w:t>December 31, 2025</w:t>
      </w:r>
      <w:r>
        <w:rPr>
          <w:sz w:val="20"/>
        </w:rPr>
        <w:t>, our total debt outstanding, excluding unamortized debt issuance costs, was $</w:t>
      </w:r>
      <w:r>
        <w:rPr>
          <w:rFonts w:ascii="Times New Roman" w:hAnsi="Times New Roman"/>
          <w:sz w:val="20"/>
        </w:rPr>
        <w:t>2,047.3</w:t>
      </w:r>
      <w:r>
        <w:rPr>
          <w:sz w:val="20"/>
        </w:rPr>
        <w:t xml:space="preserve"> million. Of this amount, $1,033.2 million, or </w:t>
      </w:r>
      <w:r>
        <w:rPr>
          <w:rFonts w:ascii="Times New Roman" w:hAnsi="Times New Roman"/>
          <w:sz w:val="20"/>
        </w:rPr>
        <w:t>50</w:t>
      </w:r>
      <w:r>
        <w:rPr>
          <w:sz w:val="20"/>
        </w:rPr>
        <w:t>% of our total debt obligations, relates to our Convertible Notes that have a fixed coupon rate. Our $</w:t>
      </w:r>
      <w:r>
        <w:rPr>
          <w:rFonts w:ascii="Times New Roman" w:hAnsi="Times New Roman"/>
          <w:sz w:val="20"/>
        </w:rPr>
        <w:t>33.2</w:t>
      </w:r>
      <w:r>
        <w:rPr>
          <w:sz w:val="20"/>
        </w:rPr>
        <w:t xml:space="preserve"> million outstanding principal amount of 2049 Convertible Notes accrues cash interest at a rate of </w:t>
      </w:r>
      <w:r>
        <w:rPr>
          <w:rFonts w:ascii="Times New Roman" w:hAnsi="Times New Roman"/>
          <w:sz w:val="20"/>
        </w:rPr>
        <w:t>0.75</w:t>
      </w:r>
      <w:r>
        <w:rPr>
          <w:sz w:val="20"/>
        </w:rPr>
        <w:t xml:space="preserve">% of the principal amount per annum. Based on quoted market prices, as of </w:t>
      </w:r>
      <w:r>
        <w:rPr>
          <w:rFonts w:ascii="Times New Roman" w:hAnsi="Times New Roman"/>
          <w:sz w:val="20"/>
        </w:rPr>
        <w:t>December 31, 2025</w:t>
      </w:r>
      <w:r>
        <w:rPr>
          <w:sz w:val="20"/>
        </w:rPr>
        <w:t>, the fair value of our fixed rate Convertible Notes was $</w:t>
      </w:r>
      <w:r>
        <w:rPr>
          <w:rFonts w:ascii="Times New Roman" w:hAnsi="Times New Roman"/>
          <w:sz w:val="20"/>
        </w:rPr>
        <w:t>31.1</w:t>
      </w:r>
      <w:r>
        <w:rPr>
          <w:sz w:val="20"/>
        </w:rPr>
        <w:t xml:space="preserve"> million, compared to a carrying value of $</w:t>
      </w:r>
      <w:r>
        <w:rPr>
          <w:rFonts w:ascii="Times New Roman" w:hAnsi="Times New Roman"/>
          <w:sz w:val="20"/>
        </w:rPr>
        <w:t>33.2</w:t>
      </w:r>
      <w:r>
        <w:rPr>
          <w:sz w:val="20"/>
        </w:rPr>
        <w:t xml:space="preserve"> million. Our $1,000.0 million outstanding principal amount of 2030 Convertible Notes accrues cash interest at a rate of 0.625% of the principal amount per annum. Based on quoted market prices, as of December 31, 2025, the fair value of our fixed rate 2030 Convertible Notes was $932.2 million, compared to a carrying value of $1,000.0 million. Further, as of </w:t>
      </w:r>
      <w:r>
        <w:rPr>
          <w:rFonts w:ascii="Times New Roman" w:hAnsi="Times New Roman"/>
          <w:sz w:val="20"/>
        </w:rPr>
        <w:t>December 31, 2025</w:t>
      </w:r>
      <w:r>
        <w:rPr>
          <w:sz w:val="20"/>
        </w:rPr>
        <w:t>, we had $</w:t>
      </w:r>
      <w:r>
        <w:rPr>
          <w:rFonts w:ascii="Times New Roman" w:hAnsi="Times New Roman"/>
          <w:sz w:val="20"/>
        </w:rPr>
        <w:t>24.6</w:t>
      </w:r>
      <w:r>
        <w:rPr>
          <w:sz w:val="20"/>
        </w:rPr>
        <w:t xml:space="preserve"> million outstanding under our Credit Facility, or </w:t>
      </w:r>
      <w:r>
        <w:rPr>
          <w:rFonts w:ascii="Times New Roman" w:hAnsi="Times New Roman"/>
          <w:sz w:val="20"/>
        </w:rPr>
        <w:t>1</w:t>
      </w:r>
      <w:r>
        <w:rPr>
          <w:sz w:val="20"/>
        </w:rPr>
        <w:t xml:space="preserve">% of our total debt obligations.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$19 million. The carrying value of the Credit Facility approximates fair value because interest as of </w:t>
      </w:r>
      <w:r>
        <w:rPr>
          <w:rFonts w:ascii="Times New Roman" w:hAnsi="Times New Roman"/>
          <w:sz w:val="20"/>
        </w:rPr>
        <w:t>December 31, 2025</w:t>
      </w:r>
      <w:r>
        <w:rPr>
          <w:sz w:val="20"/>
        </w:rPr>
        <w:t>, was based on Secured Overnight Financing Rate (SOFR) that reset at various intervals of less than one year. Additionally, $</w:t>
      </w:r>
      <w:r>
        <w:rPr>
          <w:rFonts w:ascii="Times New Roman" w:hAnsi="Times New Roman"/>
          <w:sz w:val="20"/>
        </w:rPr>
        <w:t>704.6</w:t>
      </w:r>
      <w:r>
        <w:rPr>
          <w:sz w:val="20"/>
        </w:rPr>
        <w:t xml:space="preserve"> million, or </w:t>
      </w:r>
      <w:r>
        <w:rPr>
          <w:rFonts w:ascii="Times New Roman" w:hAnsi="Times New Roman"/>
          <w:sz w:val="20"/>
        </w:rPr>
        <w:t>34</w:t>
      </w:r>
      <w:r>
        <w:rPr>
          <w:sz w:val="20"/>
        </w:rPr>
        <w:t>% of our total debt obligations, relates to Senior Notes having a fixed coupon rate. Our €</w:t>
      </w:r>
      <w:r>
        <w:rPr>
          <w:rFonts w:ascii="Times New Roman" w:hAnsi="Times New Roman"/>
          <w:sz w:val="20"/>
        </w:rPr>
        <w:t>600.0</w:t>
      </w:r>
      <w:r>
        <w:rPr>
          <w:sz w:val="20"/>
        </w:rPr>
        <w:t xml:space="preserve"> million outstanding principal amount of Senior Notes accrues cash interest at a rate of 1.375% of the principal per annum. Based on quoted market prices, as of </w:t>
      </w:r>
      <w:r>
        <w:rPr>
          <w:rFonts w:ascii="Times New Roman" w:hAnsi="Times New Roman"/>
          <w:sz w:val="20"/>
        </w:rPr>
        <w:t>December 31, 2025</w:t>
      </w:r>
      <w:r>
        <w:rPr>
          <w:sz w:val="20"/>
        </w:rPr>
        <w:t>, the fair value of our fixed rate Senior Notes was $</w:t>
      </w:r>
      <w:r>
        <w:rPr>
          <w:rFonts w:ascii="Times New Roman" w:hAnsi="Times New Roman"/>
          <w:sz w:val="20"/>
        </w:rPr>
        <w:t>700.9</w:t>
      </w:r>
      <w:r>
        <w:rPr>
          <w:sz w:val="20"/>
        </w:rPr>
        <w:t xml:space="preserve"> million, compared to a carrying value of $</w:t>
      </w:r>
      <w:r>
        <w:rPr>
          <w:rFonts w:ascii="Times New Roman" w:hAnsi="Times New Roman"/>
          <w:sz w:val="20"/>
        </w:rPr>
        <w:t>704.6</w:t>
      </w:r>
      <w:r>
        <w:rPr>
          <w:sz w:val="20"/>
        </w:rPr>
        <w:t xml:space="preserve"> million. Also, $</w:t>
      </w:r>
      <w:r>
        <w:rPr>
          <w:rFonts w:ascii="Times New Roman" w:hAnsi="Times New Roman"/>
          <w:sz w:val="20"/>
          <w:shd w:fill="FFFFFF" w:val="clear"/>
        </w:rPr>
        <w:t>250.0</w:t>
      </w:r>
      <w:r>
        <w:rPr>
          <w:sz w:val="20"/>
        </w:rPr>
        <w:t xml:space="preserve"> million, or </w:t>
      </w:r>
      <w:r>
        <w:rPr>
          <w:rFonts w:ascii="Times New Roman" w:hAnsi="Times New Roman"/>
          <w:sz w:val="20"/>
        </w:rPr>
        <w:t>12</w:t>
      </w:r>
      <w:r>
        <w:rPr>
          <w:sz w:val="20"/>
        </w:rPr>
        <w:t xml:space="preserve">% of our total debt obligations, relates to an Uncommitted Loan Agreement, fully drawn and outstanding at </w:t>
      </w:r>
      <w:r>
        <w:rPr>
          <w:rFonts w:ascii="Times New Roman" w:hAnsi="Times New Roman"/>
          <w:sz w:val="20"/>
        </w:rPr>
        <w:t>December 31, 2025</w:t>
      </w:r>
      <w:r>
        <w:rPr>
          <w:sz w:val="20"/>
        </w:rPr>
        <w:t>, for the sole purpose of providing vault cash for ATMs, that expires no later than June 19, 2026. The loan is a Prime Rate Loan, a Daily Term SOFR Rate Loan plus 1.00% or shall bear interest at the rate agreed to by the Bank and the Company at the time such loan is made.  The remaining $</w:t>
      </w:r>
      <w:r>
        <w:rPr>
          <w:rFonts w:ascii="Times New Roman" w:hAnsi="Times New Roman"/>
          <w:sz w:val="20"/>
        </w:rPr>
        <w:t>34.9</w:t>
      </w:r>
      <w:r>
        <w:rPr>
          <w:sz w:val="20"/>
        </w:rPr>
        <w:t xml:space="preserve"> million, or less than </w:t>
      </w:r>
      <w:r>
        <w:rPr>
          <w:rFonts w:ascii="Times New Roman" w:hAnsi="Times New Roman"/>
          <w:sz w:val="20"/>
        </w:rPr>
        <w:t>2</w:t>
      </w:r>
      <w:r>
        <w:rPr>
          <w:sz w:val="20"/>
        </w:rPr>
        <w:t>% of our total debt obligations, is related to borrowings by certain subsidiaries to fund, from time to time, working capital requirements. </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pStyle w:val="TextBody"/>
        <w:bidi w:val="0"/>
        <w:spacing w:lineRule="atLeast" w:line="240" w:before="0" w:after="0"/>
        <w:jc w:val="both"/>
        <w:rPr/>
      </w:pPr>
      <w:r>
        <w:rPr/>
        <w:t> </w:t>
      </w:r>
    </w:p>
    <w:p>
      <w:pPr>
        <w:pStyle w:val="TextBody"/>
        <w:bidi w:val="0"/>
        <w:spacing w:lineRule="atLeast" w:line="240" w:before="0" w:after="0"/>
        <w:jc w:val="both"/>
        <w:rPr>
          <w:i/>
          <w:sz w:val="20"/>
        </w:rPr>
      </w:pPr>
      <w:r>
        <w:rPr>
          <w:i/>
          <w:sz w:val="20"/>
        </w:rPr>
        <w:t>Foreign currency exchange rate risk</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For the years ended </w:t>
      </w:r>
      <w:r>
        <w:rPr>
          <w:rFonts w:ascii="Times New Roman" w:hAnsi="Times New Roman"/>
          <w:sz w:val="20"/>
        </w:rPr>
        <w:t>December 31, 2025</w:t>
      </w:r>
      <w:r>
        <w:rPr/>
        <w:t> </w:t>
      </w:r>
      <w:r>
        <w:rPr>
          <w:sz w:val="20"/>
        </w:rPr>
        <w:t xml:space="preserve">and </w:t>
      </w:r>
      <w:r>
        <w:rPr>
          <w:rFonts w:ascii="Times New Roman" w:hAnsi="Times New Roman"/>
          <w:sz w:val="20"/>
        </w:rPr>
        <w:t>2024</w:t>
      </w:r>
      <w:r>
        <w:rPr>
          <w:sz w:val="20"/>
        </w:rPr>
        <w:t xml:space="preserve">, </w:t>
      </w:r>
      <w:r>
        <w:rPr>
          <w:rFonts w:ascii="Times New Roman" w:hAnsi="Times New Roman"/>
          <w:sz w:val="20"/>
        </w:rPr>
        <w:t>76.6</w:t>
      </w:r>
      <w:r>
        <w:rPr>
          <w:sz w:val="20"/>
        </w:rPr>
        <w:t>%</w:t>
      </w:r>
      <w:r>
        <w:rPr/>
        <w:t> </w:t>
      </w:r>
      <w:r>
        <w:rPr>
          <w:sz w:val="20"/>
        </w:rPr>
        <w:t xml:space="preserve">of our revenues were generated in non-U.S. dollar countries. We expect to continue generating a significant portion of our revenues in countries with currencies other than the U.S. dollar.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We are particularly vulnerable to fluctuations in exchange rates of the U.S. dollar to the currencies of countries in which we have significant operations, primarily the euro, British pound, Australian dollar, Polish zloty, Indian rupee, New Zealand dollar, Malaysian ringgit and Philippine peso. As of </w:t>
      </w:r>
      <w:r>
        <w:rPr>
          <w:rFonts w:ascii="Times New Roman" w:hAnsi="Times New Roman"/>
          <w:sz w:val="20"/>
        </w:rPr>
        <w:t>December 31, 2025</w:t>
      </w:r>
      <w:r>
        <w:rPr>
          <w:sz w:val="20"/>
        </w:rPr>
        <w:t>, we estimate that a 10% fluctuation in these foreign currency exchange rates would have the combined annualized effect on reported net income and working capital of approximately $110</w:t>
      </w:r>
      <w:r>
        <w:rPr/>
        <w:t> </w:t>
      </w:r>
      <w:r>
        <w:rPr>
          <w:sz w:val="20"/>
        </w:rPr>
        <w:t>million to $120</w:t>
      </w:r>
      <w:r>
        <w:rPr/>
        <w:t> </w:t>
      </w:r>
      <w:r>
        <w:rPr>
          <w:sz w:val="20"/>
        </w:rPr>
        <w:t>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(loss) income of approximately $25</w:t>
      </w:r>
      <w:r>
        <w:rPr/>
        <w:t> </w:t>
      </w:r>
      <w:r>
        <w:rPr>
          <w:sz w:val="20"/>
        </w:rPr>
        <w:t>million to</w:t>
      </w:r>
      <w:r>
        <w:rPr/>
        <w:t> </w:t>
      </w:r>
      <w:r>
        <w:rPr>
          <w:sz w:val="20"/>
        </w:rPr>
        <w:t>$35</w:t>
      </w:r>
      <w:r>
        <w:rPr/>
        <w:t> </w:t>
      </w:r>
      <w:r>
        <w:rPr>
          <w:sz w:val="20"/>
        </w:rPr>
        <w:t>million as a result of the change in value of these items during translation to the U.S. dollar. For the fluctuations described above, a strengthening U.S. dollar produces a financial loss, while a weakening U.S. dollar produces a financial gain.</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r>
        <w:rPr/>
        <w:t> </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w:t>
      </w:r>
      <w:r>
        <w:rPr>
          <w:rFonts w:ascii="Times New Roman" w:hAnsi="Times New Roman"/>
          <w:sz w:val="20"/>
        </w:rPr>
        <w:t>December 31, 2025</w:t>
      </w:r>
      <w:r>
        <w:rPr>
          <w:sz w:val="20"/>
        </w:rPr>
        <w:t>, we had foreign currency derivative contracts outstanding with a notional value of</w:t>
      </w:r>
      <w:r>
        <w:rPr/>
        <w:t> </w:t>
      </w:r>
      <w:r>
        <w:rPr>
          <w:sz w:val="20"/>
        </w:rPr>
        <w:t>$</w:t>
      </w:r>
      <w:r>
        <w:rPr>
          <w:rFonts w:ascii="Times New Roman" w:hAnsi="Times New Roman"/>
          <w:sz w:val="20"/>
        </w:rPr>
        <w:t>532.2</w:t>
      </w:r>
      <w:r>
        <w:rPr/>
        <w:t> </w:t>
      </w:r>
      <w:r>
        <w:rPr>
          <w:sz w:val="20"/>
        </w:rPr>
        <w:t xml:space="preserve">million, primarily in Australian dollars, British pounds, Canadian dollars, euros and Mexican pesos, that were not designated as hedges and mature within a few days. </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w:t>
      </w:r>
      <w:r>
        <w:rPr>
          <w:rFonts w:ascii="Times New Roman" w:hAnsi="Times New Roman"/>
          <w:sz w:val="20"/>
        </w:rPr>
        <w:t>December 31, 2025</w:t>
      </w:r>
      <w:r>
        <w:rPr>
          <w:sz w:val="20"/>
        </w:rPr>
        <w:t>, we held foreign currency derivative contracts outstanding with a notional value of</w:t>
      </w:r>
      <w:r>
        <w:rPr/>
        <w:t> </w:t>
      </w:r>
      <w:r>
        <w:rPr>
          <w:sz w:val="20"/>
        </w:rPr>
        <w:t>$</w:t>
      </w:r>
      <w:r>
        <w:rPr>
          <w:rFonts w:ascii="Times New Roman" w:hAnsi="Times New Roman"/>
          <w:sz w:val="20"/>
        </w:rPr>
        <w:t>0.7</w:t>
      </w:r>
      <w:r>
        <w:rPr/>
        <w:t> </w:t>
      </w:r>
      <w:r>
        <w:rPr>
          <w:sz w:val="20"/>
        </w:rPr>
        <w:t>billion, primarily in U.S. dollars, euros, British pounds, Australian dollars, and New Zealand dollars, that were not designated as hedges and for which the majority mature within the next twelve months.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use longer-term foreign currency forward contracts to mitigate risks associated with changes in foreign currency exchange rates on certain foreign currency denominated other asset and liability positions. As of</w:t>
      </w:r>
      <w:r>
        <w:rPr/>
        <w:t> </w:t>
      </w:r>
      <w:r>
        <w:rPr>
          <w:rFonts w:ascii="Times New Roman" w:hAnsi="Times New Roman"/>
          <w:sz w:val="20"/>
        </w:rPr>
        <w:t>December 31, 2025</w:t>
      </w:r>
      <w:r>
        <w:rPr>
          <w:sz w:val="20"/>
        </w:rPr>
        <w:t>, the Company had foreign currency forward contracts outstanding with a notional value of $</w:t>
      </w:r>
      <w:r>
        <w:rPr>
          <w:rFonts w:ascii="Times New Roman" w:hAnsi="Times New Roman"/>
          <w:sz w:val="20"/>
        </w:rPr>
        <w:t>852.7</w:t>
      </w:r>
      <w:r>
        <w:rPr/>
        <w:t> </w:t>
      </w:r>
      <w:r>
        <w:rPr>
          <w:sz w:val="20"/>
        </w:rPr>
        <w:t>million, primarily in euros.</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See Note 13,</w:t>
      </w:r>
      <w:r>
        <w:rPr/>
        <w:t> </w:t>
      </w:r>
      <w:r>
        <w:rPr>
          <w:sz w:val="20"/>
        </w:rPr>
        <w:t>Derivative Instruments and Hedging Activities to our Consolidated Financial Statements for additional information.</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spacing w:lineRule="auto" w:line="288" w:before="0" w:after="0"/>
        <w:jc w:val="left"/>
        <w:rPr/>
      </w:pPr>
      <w:bookmarkStart w:id="23" w:name="bm_0da7b5e8f22a3ed0"/>
      <w:bookmarkEnd w:id="23"/>
      <w:r>
        <w:rPr>
          <w:b/>
          <w:sz w:val="20"/>
        </w:rPr>
        <w:t xml:space="preserve">Item 8. </w:t>
      </w:r>
      <w:bookmarkStart w:id="24" w:name="B1_II07RQ90LC00000000000000000000"/>
      <w:bookmarkEnd w:id="24"/>
      <w:r>
        <w:rPr>
          <w:b/>
          <w:sz w:val="20"/>
        </w:rPr>
        <w:t>Financial Statements and Supplementary Data</w:t>
      </w:r>
    </w:p>
    <w:p>
      <w:pPr>
        <w:pStyle w:val="TextBody"/>
        <w:bidi w:val="0"/>
        <w:spacing w:lineRule="auto" w:line="288"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6200"/>
        <w:gridCol w:w="425"/>
      </w:tblGrid>
      <w:tr>
        <w:trPr/>
        <w:tc>
          <w:tcPr>
            <w:tcW w:w="620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sz w:val="20"/>
                <w:u w:val="single"/>
              </w:rPr>
            </w:pPr>
            <w:r>
              <w:rPr>
                <w:sz w:val="20"/>
                <w:u w:val="single"/>
              </w:rPr>
              <w:t>Page</w:t>
            </w:r>
          </w:p>
        </w:tc>
      </w:tr>
      <w:tr>
        <w:trPr/>
        <w:tc>
          <w:tcPr>
            <w:tcW w:w="6200" w:type="dxa"/>
            <w:tcBorders/>
            <w:vAlign w:val="center"/>
          </w:tcPr>
          <w:p>
            <w:pPr>
              <w:pStyle w:val="TableContents"/>
              <w:bidi w:val="0"/>
              <w:spacing w:before="0" w:after="0"/>
              <w:jc w:val="left"/>
              <w:rPr/>
            </w:pPr>
            <w:hyperlink w:anchor="bm_7eaa08d0a85b7fff">
              <w:r>
                <w:rPr>
                  <w:rStyle w:val="InternetLink"/>
                  <w:strike w:val="false"/>
                  <w:dstrike w:val="false"/>
                  <w:color w:val="0000FF"/>
                  <w:sz w:val="20"/>
                  <w:u w:val="single"/>
                  <w:effect w:val="none"/>
                </w:rPr>
                <w:t>Report of Independent Registered Public Accounting Firm</w:t>
              </w:r>
            </w:hyperlink>
            <w:r>
              <w:rPr>
                <w:color w:val="0000EE"/>
                <w:u w:val="single"/>
              </w:rPr>
              <w:t xml:space="preserve"> </w:t>
            </w:r>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48</w:t>
            </w:r>
          </w:p>
        </w:tc>
      </w:tr>
      <w:tr>
        <w:trPr/>
        <w:tc>
          <w:tcPr>
            <w:tcW w:w="6200" w:type="dxa"/>
            <w:tcBorders/>
            <w:vAlign w:val="center"/>
          </w:tcPr>
          <w:p>
            <w:pPr>
              <w:pStyle w:val="TableContents"/>
              <w:bidi w:val="0"/>
              <w:spacing w:before="0" w:after="0"/>
              <w:jc w:val="left"/>
              <w:rPr/>
            </w:pPr>
            <w:hyperlink w:anchor="bm_320f3d8092b2bc71">
              <w:r>
                <w:rPr>
                  <w:rStyle w:val="InternetLink"/>
                  <w:strike w:val="false"/>
                  <w:dstrike w:val="false"/>
                  <w:color w:val="0000FF"/>
                  <w:sz w:val="20"/>
                  <w:u w:val="single"/>
                  <w:effect w:val="none"/>
                </w:rPr>
                <w:t xml:space="preserve">CONSOLIDATED FINANCIAL STATEMENTS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50</w:t>
            </w:r>
          </w:p>
        </w:tc>
      </w:tr>
      <w:tr>
        <w:trPr/>
        <w:tc>
          <w:tcPr>
            <w:tcW w:w="6200" w:type="dxa"/>
            <w:tcBorders/>
            <w:vAlign w:val="center"/>
          </w:tcPr>
          <w:p>
            <w:pPr>
              <w:pStyle w:val="TableContents"/>
              <w:bidi w:val="0"/>
              <w:spacing w:before="0" w:after="0"/>
              <w:jc w:val="left"/>
              <w:rPr/>
            </w:pPr>
            <w:hyperlink w:anchor="bm_d0cdb261844bd346">
              <w:r>
                <w:rPr>
                  <w:rStyle w:val="InternetLink"/>
                  <w:strike w:val="false"/>
                  <w:dstrike w:val="false"/>
                  <w:color w:val="0000FF"/>
                  <w:sz w:val="20"/>
                  <w:u w:val="single"/>
                  <w:effect w:val="none"/>
                </w:rPr>
                <w:t>CONSOLIDATED BALANCE SHEETS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50</w:t>
            </w:r>
          </w:p>
        </w:tc>
      </w:tr>
      <w:tr>
        <w:trPr/>
        <w:tc>
          <w:tcPr>
            <w:tcW w:w="6200" w:type="dxa"/>
            <w:tcBorders/>
            <w:vAlign w:val="center"/>
          </w:tcPr>
          <w:p>
            <w:pPr>
              <w:pStyle w:val="TableContents"/>
              <w:bidi w:val="0"/>
              <w:spacing w:before="0" w:after="0"/>
              <w:jc w:val="left"/>
              <w:rPr/>
            </w:pPr>
            <w:hyperlink w:anchor="bm_14802208bfa6b77c">
              <w:r>
                <w:rPr>
                  <w:rStyle w:val="InternetLink"/>
                  <w:strike w:val="false"/>
                  <w:dstrike w:val="false"/>
                  <w:color w:val="0000FF"/>
                  <w:sz w:val="20"/>
                  <w:u w:val="single"/>
                  <w:effect w:val="none"/>
                </w:rPr>
                <w:t>CONSOLIDATED STATEMENTS OF OPERATIONS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51</w:t>
            </w:r>
          </w:p>
        </w:tc>
      </w:tr>
      <w:tr>
        <w:trPr/>
        <w:tc>
          <w:tcPr>
            <w:tcW w:w="6200" w:type="dxa"/>
            <w:tcBorders/>
            <w:vAlign w:val="center"/>
          </w:tcPr>
          <w:p>
            <w:pPr>
              <w:pStyle w:val="TableContents"/>
              <w:bidi w:val="0"/>
              <w:spacing w:before="0" w:after="0"/>
              <w:jc w:val="left"/>
              <w:rPr/>
            </w:pPr>
            <w:hyperlink w:anchor="bm_375edb75fd071b59">
              <w:r>
                <w:rPr>
                  <w:rStyle w:val="InternetLink"/>
                  <w:strike w:val="false"/>
                  <w:dstrike w:val="false"/>
                  <w:color w:val="0000FF"/>
                  <w:sz w:val="20"/>
                  <w:u w:val="single"/>
                  <w:effect w:val="none"/>
                </w:rPr>
                <w:t>CONSOLIDATED STATEMENTS OF COMPREHENSIVE (LOSS) INCOME</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52</w:t>
            </w:r>
          </w:p>
        </w:tc>
      </w:tr>
      <w:tr>
        <w:trPr/>
        <w:tc>
          <w:tcPr>
            <w:tcW w:w="6200" w:type="dxa"/>
            <w:tcBorders/>
            <w:vAlign w:val="center"/>
          </w:tcPr>
          <w:p>
            <w:pPr>
              <w:pStyle w:val="TableContents"/>
              <w:bidi w:val="0"/>
              <w:spacing w:before="0" w:after="0"/>
              <w:jc w:val="left"/>
              <w:rPr/>
            </w:pPr>
            <w:hyperlink w:anchor="bm_e70955393e46104d">
              <w:r>
                <w:rPr>
                  <w:rStyle w:val="InternetLink"/>
                  <w:strike w:val="false"/>
                  <w:dstrike w:val="false"/>
                  <w:color w:val="0000FF"/>
                  <w:sz w:val="20"/>
                  <w:u w:val="single"/>
                  <w:effect w:val="none"/>
                </w:rPr>
                <w:t>CONSOLIDATED STATEMENTS OF CHANGES IN EQUITY</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53</w:t>
            </w:r>
          </w:p>
        </w:tc>
      </w:tr>
      <w:tr>
        <w:trPr/>
        <w:tc>
          <w:tcPr>
            <w:tcW w:w="6200" w:type="dxa"/>
            <w:tcBorders/>
            <w:vAlign w:val="center"/>
          </w:tcPr>
          <w:p>
            <w:pPr>
              <w:pStyle w:val="TableContents"/>
              <w:bidi w:val="0"/>
              <w:spacing w:before="0" w:after="0"/>
              <w:jc w:val="left"/>
              <w:rPr/>
            </w:pPr>
            <w:hyperlink w:anchor="bm_77af5ac5be060c54">
              <w:r>
                <w:rPr>
                  <w:rStyle w:val="InternetLink"/>
                  <w:strike w:val="false"/>
                  <w:dstrike w:val="false"/>
                  <w:color w:val="0000FF"/>
                  <w:sz w:val="20"/>
                  <w:u w:val="single"/>
                  <w:effect w:val="none"/>
                </w:rPr>
                <w:t>CONSOLIDATED STATEMENTS OF CASH FLOWS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55</w:t>
            </w:r>
          </w:p>
        </w:tc>
      </w:tr>
      <w:tr>
        <w:trPr/>
        <w:tc>
          <w:tcPr>
            <w:tcW w:w="6200" w:type="dxa"/>
            <w:tcBorders/>
            <w:vAlign w:val="center"/>
          </w:tcPr>
          <w:p>
            <w:pPr>
              <w:pStyle w:val="TableContents"/>
              <w:bidi w:val="0"/>
              <w:spacing w:before="0" w:after="0"/>
              <w:jc w:val="left"/>
              <w:rPr/>
            </w:pPr>
            <w:hyperlink w:anchor="bm_622acade8503241e">
              <w:r>
                <w:rPr>
                  <w:rStyle w:val="InternetLink"/>
                  <w:strike w:val="false"/>
                  <w:dstrike w:val="false"/>
                  <w:color w:val="0000FF"/>
                  <w:sz w:val="20"/>
                  <w:u w:val="single"/>
                  <w:effect w:val="none"/>
                </w:rPr>
                <w:t>NOTES TO CONSOLIDATED FINANCIAL STATEMENTS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56</w:t>
            </w:r>
          </w:p>
        </w:tc>
      </w:tr>
      <w:tr>
        <w:trPr/>
        <w:tc>
          <w:tcPr>
            <w:tcW w:w="6200" w:type="dxa"/>
            <w:tcBorders/>
            <w:vAlign w:val="center"/>
          </w:tcPr>
          <w:p>
            <w:pPr>
              <w:pStyle w:val="TableContents"/>
              <w:bidi w:val="0"/>
              <w:spacing w:before="0" w:after="0"/>
              <w:jc w:val="left"/>
              <w:rPr/>
            </w:pPr>
            <w:hyperlink w:anchor="bm_0c28af5bad81428a">
              <w:r>
                <w:rPr>
                  <w:rStyle w:val="InternetLink"/>
                  <w:strike w:val="false"/>
                  <w:dstrike w:val="false"/>
                  <w:color w:val="0000FF"/>
                  <w:sz w:val="20"/>
                  <w:u w:val="single"/>
                  <w:effect w:val="none"/>
                </w:rPr>
                <w:t>(1) Organization</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56</w:t>
            </w:r>
          </w:p>
        </w:tc>
      </w:tr>
      <w:tr>
        <w:trPr/>
        <w:tc>
          <w:tcPr>
            <w:tcW w:w="6200" w:type="dxa"/>
            <w:tcBorders/>
            <w:vAlign w:val="center"/>
          </w:tcPr>
          <w:p>
            <w:pPr>
              <w:pStyle w:val="TableContents"/>
              <w:bidi w:val="0"/>
              <w:spacing w:before="0" w:after="0"/>
              <w:jc w:val="left"/>
              <w:rPr/>
            </w:pPr>
            <w:hyperlink w:anchor="bm_fd09fb8b0c2c7b55">
              <w:r>
                <w:rPr>
                  <w:rStyle w:val="InternetLink"/>
                  <w:strike w:val="false"/>
                  <w:dstrike w:val="false"/>
                  <w:color w:val="0000FF"/>
                  <w:sz w:val="20"/>
                  <w:u w:val="single"/>
                  <w:effect w:val="none"/>
                </w:rPr>
                <w:t>(2)</w:t>
              </w:r>
            </w:hyperlink>
            <w:hyperlink w:anchor="bm_fd09fb8b0c2c7b55">
              <w:r>
                <w:rPr>
                  <w:rStyle w:val="InternetLink"/>
                  <w:strike w:val="false"/>
                  <w:dstrike w:val="false"/>
                  <w:color w:val="0000FF"/>
                  <w:u w:val="single"/>
                  <w:effect w:val="none"/>
                </w:rPr>
                <w:t> </w:t>
              </w:r>
            </w:hyperlink>
            <w:hyperlink w:anchor="bm_fd09fb8b0c2c7b55">
              <w:r>
                <w:rPr>
                  <w:rStyle w:val="InternetLink"/>
                  <w:strike w:val="false"/>
                  <w:dstrike w:val="false"/>
                  <w:color w:val="0000FF"/>
                  <w:sz w:val="20"/>
                  <w:u w:val="single"/>
                  <w:effect w:val="none"/>
                </w:rPr>
                <w:t>Basis of Preparation</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56</w:t>
            </w:r>
          </w:p>
        </w:tc>
      </w:tr>
      <w:tr>
        <w:trPr/>
        <w:tc>
          <w:tcPr>
            <w:tcW w:w="6200" w:type="dxa"/>
            <w:tcBorders/>
            <w:vAlign w:val="center"/>
          </w:tcPr>
          <w:p>
            <w:pPr>
              <w:pStyle w:val="TableContents"/>
              <w:bidi w:val="0"/>
              <w:spacing w:before="0" w:after="0"/>
              <w:jc w:val="left"/>
              <w:rPr/>
            </w:pPr>
            <w:hyperlink w:anchor="bm_636e7a3dacbae40b">
              <w:r>
                <w:rPr>
                  <w:rStyle w:val="InternetLink"/>
                  <w:strike w:val="false"/>
                  <w:dstrike w:val="false"/>
                  <w:color w:val="0000FF"/>
                  <w:sz w:val="20"/>
                  <w:u w:val="single"/>
                  <w:effect w:val="none"/>
                </w:rPr>
                <w:t>(3)</w:t>
              </w:r>
            </w:hyperlink>
            <w:hyperlink w:anchor="bm_636e7a3dacbae40b">
              <w:r>
                <w:rPr>
                  <w:rStyle w:val="InternetLink"/>
                  <w:strike w:val="false"/>
                  <w:dstrike w:val="false"/>
                  <w:color w:val="0000FF"/>
                  <w:u w:val="single"/>
                  <w:effect w:val="none"/>
                </w:rPr>
                <w:t> </w:t>
              </w:r>
            </w:hyperlink>
            <w:hyperlink w:anchor="bm_636e7a3dacbae40b">
              <w:r>
                <w:rPr>
                  <w:rStyle w:val="InternetLink"/>
                  <w:strike w:val="false"/>
                  <w:dstrike w:val="false"/>
                  <w:color w:val="0000FF"/>
                  <w:sz w:val="20"/>
                  <w:u w:val="single"/>
                  <w:effect w:val="none"/>
                </w:rPr>
                <w:t>Summary of Significant Accounting Policies and Practices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56</w:t>
            </w:r>
          </w:p>
        </w:tc>
      </w:tr>
      <w:tr>
        <w:trPr/>
        <w:tc>
          <w:tcPr>
            <w:tcW w:w="6200" w:type="dxa"/>
            <w:tcBorders/>
            <w:vAlign w:val="center"/>
          </w:tcPr>
          <w:p>
            <w:pPr>
              <w:pStyle w:val="TableContents"/>
              <w:bidi w:val="0"/>
              <w:spacing w:before="0" w:after="0"/>
              <w:jc w:val="left"/>
              <w:rPr/>
            </w:pPr>
            <w:hyperlink w:anchor="bm_eb694d14c75092b5">
              <w:r>
                <w:rPr>
                  <w:rStyle w:val="InternetLink"/>
                  <w:strike w:val="false"/>
                  <w:dstrike w:val="false"/>
                  <w:color w:val="0000FF"/>
                  <w:sz w:val="20"/>
                  <w:u w:val="single"/>
                  <w:effect w:val="none"/>
                </w:rPr>
                <w:t>(4)</w:t>
              </w:r>
            </w:hyperlink>
            <w:hyperlink w:anchor="bm_eb694d14c75092b5">
              <w:r>
                <w:rPr>
                  <w:rStyle w:val="InternetLink"/>
                  <w:strike w:val="false"/>
                  <w:dstrike w:val="false"/>
                  <w:color w:val="0000FF"/>
                  <w:u w:val="single"/>
                  <w:effect w:val="none"/>
                </w:rPr>
                <w:t> </w:t>
              </w:r>
            </w:hyperlink>
            <w:hyperlink w:anchor="bm_eb694d14c75092b5">
              <w:r>
                <w:rPr>
                  <w:rStyle w:val="InternetLink"/>
                  <w:strike w:val="false"/>
                  <w:dstrike w:val="false"/>
                  <w:color w:val="0000FF"/>
                  <w:sz w:val="20"/>
                  <w:u w:val="single"/>
                  <w:effect w:val="none"/>
                </w:rPr>
                <w:t xml:space="preserve">Settlement Assets and Obligations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62</w:t>
            </w:r>
          </w:p>
        </w:tc>
      </w:tr>
      <w:tr>
        <w:trPr/>
        <w:tc>
          <w:tcPr>
            <w:tcW w:w="6200" w:type="dxa"/>
            <w:tcBorders/>
            <w:vAlign w:val="center"/>
          </w:tcPr>
          <w:p>
            <w:pPr>
              <w:pStyle w:val="TableContents"/>
              <w:bidi w:val="0"/>
              <w:spacing w:before="0" w:after="0"/>
              <w:jc w:val="left"/>
              <w:rPr/>
            </w:pPr>
            <w:hyperlink w:anchor="bm_6546e555ed7cca61">
              <w:r>
                <w:rPr>
                  <w:rStyle w:val="InternetLink"/>
                  <w:strike w:val="false"/>
                  <w:dstrike w:val="false"/>
                  <w:color w:val="0000FF"/>
                  <w:sz w:val="20"/>
                  <w:u w:val="single"/>
                  <w:effect w:val="none"/>
                </w:rPr>
                <w:t xml:space="preserve">(5) Stockholders' Equity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63</w:t>
            </w:r>
          </w:p>
        </w:tc>
      </w:tr>
      <w:tr>
        <w:trPr/>
        <w:tc>
          <w:tcPr>
            <w:tcW w:w="6200" w:type="dxa"/>
            <w:tcBorders/>
            <w:vAlign w:val="center"/>
          </w:tcPr>
          <w:p>
            <w:pPr>
              <w:pStyle w:val="TableContents"/>
              <w:bidi w:val="0"/>
              <w:spacing w:before="0" w:after="0"/>
              <w:jc w:val="left"/>
              <w:rPr/>
            </w:pPr>
            <w:hyperlink w:anchor="bm_2bd07dc3e396e41d">
              <w:r>
                <w:rPr>
                  <w:rStyle w:val="InternetLink"/>
                  <w:strike w:val="false"/>
                  <w:dstrike w:val="false"/>
                  <w:color w:val="0000FF"/>
                  <w:sz w:val="20"/>
                  <w:u w:val="single"/>
                  <w:effect w:val="none"/>
                </w:rPr>
                <w:t>(6) Acquisitions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64</w:t>
            </w:r>
          </w:p>
        </w:tc>
      </w:tr>
      <w:tr>
        <w:trPr/>
        <w:tc>
          <w:tcPr>
            <w:tcW w:w="6200" w:type="dxa"/>
            <w:tcBorders/>
            <w:vAlign w:val="center"/>
          </w:tcPr>
          <w:p>
            <w:pPr>
              <w:pStyle w:val="TableContents"/>
              <w:bidi w:val="0"/>
              <w:spacing w:before="0" w:after="0"/>
              <w:jc w:val="left"/>
              <w:rPr/>
            </w:pPr>
            <w:hyperlink w:anchor="bm_aa1c4f7d0bed0067">
              <w:r>
                <w:rPr>
                  <w:rStyle w:val="InternetLink"/>
                  <w:strike w:val="false"/>
                  <w:dstrike w:val="false"/>
                  <w:color w:val="0000FF"/>
                  <w:sz w:val="20"/>
                  <w:u w:val="single"/>
                  <w:effect w:val="none"/>
                </w:rPr>
                <w:t>(7) Restricted Cash</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66</w:t>
            </w:r>
          </w:p>
        </w:tc>
      </w:tr>
      <w:tr>
        <w:trPr/>
        <w:tc>
          <w:tcPr>
            <w:tcW w:w="6200" w:type="dxa"/>
            <w:tcBorders/>
            <w:vAlign w:val="center"/>
          </w:tcPr>
          <w:p>
            <w:pPr>
              <w:pStyle w:val="TableContents"/>
              <w:bidi w:val="0"/>
              <w:spacing w:before="0" w:after="0"/>
              <w:jc w:val="left"/>
              <w:rPr/>
            </w:pPr>
            <w:hyperlink w:anchor="bm_e498bfd7133923bd">
              <w:r>
                <w:rPr>
                  <w:rStyle w:val="InternetLink"/>
                  <w:strike w:val="false"/>
                  <w:dstrike w:val="false"/>
                  <w:color w:val="0000FF"/>
                  <w:sz w:val="20"/>
                  <w:u w:val="single"/>
                  <w:effect w:val="none"/>
                </w:rPr>
                <w:t>(8) Property and Equipment, Net</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67</w:t>
            </w:r>
          </w:p>
        </w:tc>
      </w:tr>
      <w:tr>
        <w:trPr/>
        <w:tc>
          <w:tcPr>
            <w:tcW w:w="6200" w:type="dxa"/>
            <w:tcBorders/>
            <w:vAlign w:val="center"/>
          </w:tcPr>
          <w:p>
            <w:pPr>
              <w:pStyle w:val="TableContents"/>
              <w:bidi w:val="0"/>
              <w:spacing w:before="0" w:after="0"/>
              <w:jc w:val="left"/>
              <w:rPr/>
            </w:pPr>
            <w:hyperlink w:anchor="bm_55faf220d1d58fbe">
              <w:r>
                <w:rPr>
                  <w:rStyle w:val="InternetLink"/>
                  <w:strike w:val="false"/>
                  <w:dstrike w:val="false"/>
                  <w:color w:val="0000FF"/>
                  <w:sz w:val="20"/>
                  <w:u w:val="single"/>
                  <w:effect w:val="none"/>
                </w:rPr>
                <w:t>(9) Goodwill and Acquired Intangible Assets, Net</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67</w:t>
            </w:r>
          </w:p>
        </w:tc>
      </w:tr>
      <w:tr>
        <w:trPr/>
        <w:tc>
          <w:tcPr>
            <w:tcW w:w="6200" w:type="dxa"/>
            <w:tcBorders/>
            <w:vAlign w:val="center"/>
          </w:tcPr>
          <w:p>
            <w:pPr>
              <w:pStyle w:val="TableContents"/>
              <w:bidi w:val="0"/>
              <w:spacing w:before="0" w:after="0"/>
              <w:jc w:val="left"/>
              <w:rPr/>
            </w:pPr>
            <w:hyperlink w:anchor="bm_8ef584b385da3bb7">
              <w:r>
                <w:rPr>
                  <w:rStyle w:val="InternetLink"/>
                  <w:strike w:val="false"/>
                  <w:dstrike w:val="false"/>
                  <w:color w:val="0000FF"/>
                  <w:sz w:val="20"/>
                  <w:u w:val="single"/>
                  <w:effect w:val="none"/>
                </w:rPr>
                <w:t>(10) Convertible Notes Receivable</w:t>
              </w:r>
            </w:hyperlink>
            <w:r>
              <w:rPr/>
              <w:t xml:space="preserve"> </w:t>
            </w:r>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68</w:t>
            </w:r>
          </w:p>
        </w:tc>
      </w:tr>
      <w:tr>
        <w:trPr/>
        <w:tc>
          <w:tcPr>
            <w:tcW w:w="6200" w:type="dxa"/>
            <w:tcBorders/>
            <w:vAlign w:val="center"/>
          </w:tcPr>
          <w:p>
            <w:pPr>
              <w:pStyle w:val="TableContents"/>
              <w:bidi w:val="0"/>
              <w:spacing w:before="0" w:after="0"/>
              <w:jc w:val="left"/>
              <w:rPr/>
            </w:pPr>
            <w:hyperlink w:anchor="bm_76ff711b8d0b3d06">
              <w:r>
                <w:rPr>
                  <w:rStyle w:val="InternetLink"/>
                  <w:strike w:val="false"/>
                  <w:dstrike w:val="false"/>
                  <w:color w:val="0000FF"/>
                  <w:sz w:val="20"/>
                  <w:u w:val="single"/>
                  <w:effect w:val="none"/>
                </w:rPr>
                <w:t>(11) Accrued Expenses and Other Current Liabilities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68</w:t>
            </w:r>
          </w:p>
        </w:tc>
      </w:tr>
      <w:tr>
        <w:trPr/>
        <w:tc>
          <w:tcPr>
            <w:tcW w:w="6200" w:type="dxa"/>
            <w:tcBorders/>
            <w:vAlign w:val="center"/>
          </w:tcPr>
          <w:p>
            <w:pPr>
              <w:pStyle w:val="TableContents"/>
              <w:bidi w:val="0"/>
              <w:spacing w:before="0" w:after="0"/>
              <w:jc w:val="left"/>
              <w:rPr/>
            </w:pPr>
            <w:hyperlink w:anchor="bm_bb23c9381af8a78a">
              <w:r>
                <w:rPr>
                  <w:rStyle w:val="InternetLink"/>
                  <w:strike w:val="false"/>
                  <w:dstrike w:val="false"/>
                  <w:color w:val="0000FF"/>
                  <w:sz w:val="20"/>
                  <w:u w:val="single"/>
                  <w:effect w:val="none"/>
                </w:rPr>
                <w:t xml:space="preserve">(12) Debt Obligations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69</w:t>
            </w:r>
          </w:p>
        </w:tc>
      </w:tr>
      <w:tr>
        <w:trPr/>
        <w:tc>
          <w:tcPr>
            <w:tcW w:w="6200" w:type="dxa"/>
            <w:tcBorders/>
            <w:vAlign w:val="center"/>
          </w:tcPr>
          <w:p>
            <w:pPr>
              <w:pStyle w:val="TableContents"/>
              <w:bidi w:val="0"/>
              <w:spacing w:before="0" w:after="0"/>
              <w:jc w:val="left"/>
              <w:rPr/>
            </w:pPr>
            <w:hyperlink w:anchor="bm_38f9ecbf435ef87a">
              <w:r>
                <w:rPr>
                  <w:rStyle w:val="InternetLink"/>
                  <w:strike w:val="false"/>
                  <w:dstrike w:val="false"/>
                  <w:color w:val="0000FF"/>
                  <w:sz w:val="20"/>
                  <w:u w:val="single"/>
                  <w:effect w:val="none"/>
                </w:rPr>
                <w:t>(13) Derivative Instruments and Hedging Activities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71</w:t>
            </w:r>
          </w:p>
        </w:tc>
      </w:tr>
      <w:tr>
        <w:trPr/>
        <w:tc>
          <w:tcPr>
            <w:tcW w:w="6200" w:type="dxa"/>
            <w:tcBorders/>
            <w:vAlign w:val="center"/>
          </w:tcPr>
          <w:p>
            <w:pPr>
              <w:pStyle w:val="TableContents"/>
              <w:bidi w:val="0"/>
              <w:spacing w:before="0" w:after="0"/>
              <w:jc w:val="left"/>
              <w:rPr/>
            </w:pPr>
            <w:hyperlink w:anchor="bm_2098e7bbf2fa58ce">
              <w:r>
                <w:rPr>
                  <w:rStyle w:val="InternetLink"/>
                  <w:strike w:val="false"/>
                  <w:dstrike w:val="false"/>
                  <w:color w:val="0000FF"/>
                  <w:sz w:val="20"/>
                  <w:u w:val="single"/>
                  <w:effect w:val="none"/>
                </w:rPr>
                <w:t xml:space="preserve">(14) Leases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73</w:t>
            </w:r>
          </w:p>
        </w:tc>
      </w:tr>
      <w:tr>
        <w:trPr/>
        <w:tc>
          <w:tcPr>
            <w:tcW w:w="6200" w:type="dxa"/>
            <w:tcBorders/>
            <w:vAlign w:val="center"/>
          </w:tcPr>
          <w:p>
            <w:pPr>
              <w:pStyle w:val="TableContents"/>
              <w:bidi w:val="0"/>
              <w:spacing w:before="0" w:after="0"/>
              <w:jc w:val="left"/>
              <w:rPr/>
            </w:pPr>
            <w:hyperlink w:anchor="bm_7b6a1e2f50963678">
              <w:r>
                <w:rPr>
                  <w:rStyle w:val="InternetLink"/>
                  <w:strike w:val="false"/>
                  <w:dstrike w:val="false"/>
                  <w:color w:val="0000FF"/>
                  <w:sz w:val="20"/>
                  <w:u w:val="single"/>
                  <w:effect w:val="none"/>
                </w:rPr>
                <w:t>(15) Income Taxes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74</w:t>
            </w:r>
          </w:p>
        </w:tc>
      </w:tr>
      <w:tr>
        <w:trPr/>
        <w:tc>
          <w:tcPr>
            <w:tcW w:w="6200" w:type="dxa"/>
            <w:tcBorders/>
            <w:vAlign w:val="center"/>
          </w:tcPr>
          <w:p>
            <w:pPr>
              <w:pStyle w:val="TableContents"/>
              <w:bidi w:val="0"/>
              <w:spacing w:before="0" w:after="0"/>
              <w:jc w:val="left"/>
              <w:rPr/>
            </w:pPr>
            <w:hyperlink w:anchor="bm_6494a12967b34807">
              <w:r>
                <w:rPr>
                  <w:rStyle w:val="InternetLink"/>
                  <w:strike w:val="false"/>
                  <w:dstrike w:val="false"/>
                  <w:color w:val="0000FF"/>
                  <w:sz w:val="20"/>
                  <w:u w:val="single"/>
                  <w:effect w:val="none"/>
                </w:rPr>
                <w:t xml:space="preserve">(16) Valuation and Qualifying Accounts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78</w:t>
            </w:r>
          </w:p>
        </w:tc>
      </w:tr>
      <w:tr>
        <w:trPr/>
        <w:tc>
          <w:tcPr>
            <w:tcW w:w="6200" w:type="dxa"/>
            <w:tcBorders/>
            <w:vAlign w:val="center"/>
          </w:tcPr>
          <w:p>
            <w:pPr>
              <w:pStyle w:val="TableContents"/>
              <w:bidi w:val="0"/>
              <w:spacing w:before="0" w:after="0"/>
              <w:jc w:val="left"/>
              <w:rPr/>
            </w:pPr>
            <w:hyperlink w:anchor="bm_4ac9b36c5b34d6f2">
              <w:r>
                <w:rPr>
                  <w:rStyle w:val="InternetLink"/>
                  <w:strike w:val="false"/>
                  <w:dstrike w:val="false"/>
                  <w:color w:val="0000FF"/>
                  <w:sz w:val="20"/>
                  <w:u w:val="single"/>
                  <w:effect w:val="none"/>
                </w:rPr>
                <w:t>(17) Stock Plans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78</w:t>
            </w:r>
          </w:p>
        </w:tc>
      </w:tr>
      <w:tr>
        <w:trPr/>
        <w:tc>
          <w:tcPr>
            <w:tcW w:w="6200" w:type="dxa"/>
            <w:tcBorders/>
            <w:vAlign w:val="center"/>
          </w:tcPr>
          <w:p>
            <w:pPr>
              <w:pStyle w:val="TableContents"/>
              <w:bidi w:val="0"/>
              <w:spacing w:before="0" w:after="0"/>
              <w:jc w:val="left"/>
              <w:rPr/>
            </w:pPr>
            <w:hyperlink w:anchor="bm_9c5156aad326a8a5">
              <w:r>
                <w:rPr>
                  <w:rStyle w:val="InternetLink"/>
                  <w:strike w:val="false"/>
                  <w:dstrike w:val="false"/>
                  <w:color w:val="0000FF"/>
                  <w:sz w:val="20"/>
                  <w:u w:val="single"/>
                  <w:effect w:val="none"/>
                </w:rPr>
                <w:t>(18) Business Segment Information</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79</w:t>
            </w:r>
          </w:p>
        </w:tc>
      </w:tr>
      <w:tr>
        <w:trPr/>
        <w:tc>
          <w:tcPr>
            <w:tcW w:w="6200" w:type="dxa"/>
            <w:tcBorders/>
            <w:vAlign w:val="center"/>
          </w:tcPr>
          <w:p>
            <w:pPr>
              <w:pStyle w:val="TableContents"/>
              <w:bidi w:val="0"/>
              <w:spacing w:before="0" w:after="0"/>
              <w:jc w:val="left"/>
              <w:rPr/>
            </w:pPr>
            <w:hyperlink w:anchor="bm_05ceff27a96c8f71">
              <w:r>
                <w:rPr>
                  <w:rStyle w:val="InternetLink"/>
                  <w:strike w:val="false"/>
                  <w:dstrike w:val="false"/>
                  <w:color w:val="0000FF"/>
                  <w:sz w:val="20"/>
                  <w:u w:val="single"/>
                  <w:effect w:val="none"/>
                </w:rPr>
                <w:t>(19) Financial Instruments and Fair Value Measurements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81</w:t>
            </w:r>
          </w:p>
        </w:tc>
      </w:tr>
      <w:tr>
        <w:trPr/>
        <w:tc>
          <w:tcPr>
            <w:tcW w:w="6200" w:type="dxa"/>
            <w:tcBorders/>
            <w:vAlign w:val="center"/>
          </w:tcPr>
          <w:p>
            <w:pPr>
              <w:pStyle w:val="TableContents"/>
              <w:bidi w:val="0"/>
              <w:spacing w:before="0" w:after="0"/>
              <w:jc w:val="left"/>
              <w:rPr/>
            </w:pPr>
            <w:hyperlink w:anchor="bm_728280f05aa396da">
              <w:r>
                <w:rPr>
                  <w:rStyle w:val="InternetLink"/>
                  <w:strike w:val="false"/>
                  <w:dstrike w:val="false"/>
                  <w:color w:val="0000FF"/>
                  <w:sz w:val="20"/>
                  <w:u w:val="single"/>
                  <w:effect w:val="none"/>
                </w:rPr>
                <w:t>(20) Litigation and Contingencies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82</w:t>
            </w:r>
          </w:p>
        </w:tc>
      </w:tr>
      <w:tr>
        <w:trPr/>
        <w:tc>
          <w:tcPr>
            <w:tcW w:w="6200" w:type="dxa"/>
            <w:tcBorders/>
            <w:vAlign w:val="center"/>
          </w:tcPr>
          <w:p>
            <w:pPr>
              <w:pStyle w:val="TableContents"/>
              <w:bidi w:val="0"/>
              <w:spacing w:before="0" w:after="0"/>
              <w:jc w:val="left"/>
              <w:rPr/>
            </w:pPr>
            <w:hyperlink w:anchor="bm_3f8382d5eecb0bc8">
              <w:r>
                <w:rPr>
                  <w:rStyle w:val="InternetLink"/>
                  <w:strike w:val="false"/>
                  <w:dstrike w:val="false"/>
                  <w:color w:val="0000FF"/>
                  <w:sz w:val="20"/>
                  <w:u w:val="single"/>
                  <w:effect w:val="none"/>
                </w:rPr>
                <w:t xml:space="preserve">(21) Commitments </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83</w:t>
            </w:r>
          </w:p>
        </w:tc>
      </w:tr>
      <w:tr>
        <w:trPr/>
        <w:tc>
          <w:tcPr>
            <w:tcW w:w="6200" w:type="dxa"/>
            <w:tcBorders/>
            <w:vAlign w:val="center"/>
          </w:tcPr>
          <w:p>
            <w:pPr>
              <w:pStyle w:val="TableContents"/>
              <w:bidi w:val="0"/>
              <w:spacing w:before="0" w:after="0"/>
              <w:jc w:val="left"/>
              <w:rPr/>
            </w:pPr>
            <w:hyperlink w:anchor="bm_769e8b0edab8f287">
              <w:r>
                <w:rPr>
                  <w:rStyle w:val="InternetLink"/>
                  <w:strike w:val="false"/>
                  <w:dstrike w:val="false"/>
                  <w:color w:val="0000FF"/>
                  <w:sz w:val="20"/>
                  <w:u w:val="single"/>
                  <w:effect w:val="none"/>
                </w:rPr>
                <w:t>(22) Related Party Transactions</w:t>
              </w:r>
            </w:hyperlink>
          </w:p>
        </w:tc>
        <w:tc>
          <w:tcPr>
            <w:tcW w:w="4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83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bookmarkStart w:id="25" w:name="bm_7eaa08d0a85b7fff"/>
      <w:bookmarkStart w:id="26" w:name="BReport_of_Independent_48E9ZAYANK0000000"/>
      <w:bookmarkEnd w:id="25"/>
      <w:bookmarkEnd w:id="26"/>
      <w:r>
        <w:rPr>
          <w:b/>
          <w:sz w:val="20"/>
        </w:rPr>
        <w:t>Report of Independent Registered Public Accounting Firm</w:t>
      </w:r>
      <w:r>
        <w:rPr/>
        <w:t xml:space="preserve"> </w:t>
      </w:r>
    </w:p>
    <w:p>
      <w:pPr>
        <w:pStyle w:val="TextBody"/>
        <w:bidi w:val="0"/>
        <w:spacing w:lineRule="atLeast" w:line="240" w:before="0" w:after="0"/>
        <w:jc w:val="center"/>
        <w:rPr/>
      </w:pPr>
      <w:r>
        <w:rPr/>
        <w:t> </w:t>
      </w:r>
    </w:p>
    <w:p>
      <w:pPr>
        <w:pStyle w:val="TextBody"/>
        <w:bidi w:val="0"/>
        <w:spacing w:lineRule="atLeast" w:line="240" w:before="0" w:after="0"/>
        <w:jc w:val="left"/>
        <w:rPr/>
      </w:pPr>
      <w:r>
        <w:rPr>
          <w:sz w:val="20"/>
        </w:rPr>
        <w:t>To the Stockholders and Board of Directors</w:t>
      </w:r>
      <w:r>
        <w:rPr/>
        <w:br/>
      </w:r>
      <w:r>
        <w:rPr>
          <w:sz w:val="20"/>
        </w:rPr>
        <w:t>Euronet Worldwide, Inc.:</w:t>
      </w:r>
    </w:p>
    <w:p>
      <w:pPr>
        <w:pStyle w:val="TextBody"/>
        <w:bidi w:val="0"/>
        <w:spacing w:lineRule="atLeast" w:line="240" w:before="0" w:after="0"/>
        <w:jc w:val="both"/>
        <w:rPr/>
      </w:pPr>
      <w:r>
        <w:rPr/>
        <w:t> </w:t>
      </w:r>
    </w:p>
    <w:p>
      <w:pPr>
        <w:pStyle w:val="TextBody"/>
        <w:bidi w:val="0"/>
        <w:spacing w:lineRule="atLeast" w:line="240" w:before="0" w:after="0"/>
        <w:jc w:val="both"/>
        <w:rPr>
          <w:b/>
          <w:i/>
          <w:sz w:val="20"/>
        </w:rPr>
      </w:pPr>
      <w:r>
        <w:rPr>
          <w:b/>
          <w:i/>
          <w:sz w:val="20"/>
        </w:rPr>
        <w:t>Opinions on the Consolidated Financial Statements and Internal Control Over Financial Reporting</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We have audited the accompanying consolidated balance sheets</w:t>
      </w:r>
      <w:r>
        <w:rPr/>
        <w:t xml:space="preserve"> </w:t>
      </w:r>
      <w:r>
        <w:rPr>
          <w:sz w:val="20"/>
        </w:rPr>
        <w:t>of Euronet Worldwide, Inc.</w:t>
      </w:r>
      <w:r>
        <w:rPr/>
        <w:t> </w:t>
      </w:r>
      <w:r>
        <w:rPr>
          <w:sz w:val="20"/>
        </w:rPr>
        <w:t>and subsidiaries (the Company) as of December 31, 2025</w:t>
      </w:r>
      <w:r>
        <w:rPr/>
        <w:t xml:space="preserve"> </w:t>
      </w:r>
      <w:r>
        <w:rPr>
          <w:sz w:val="20"/>
        </w:rPr>
        <w:t>and</w:t>
      </w:r>
      <w:r>
        <w:rPr/>
        <w:t xml:space="preserve"> </w:t>
      </w:r>
      <w:r>
        <w:rPr>
          <w:sz w:val="20"/>
        </w:rPr>
        <w:t xml:space="preserve">2024, the related consolidated statements of operations, comprehensive (loss) income, changes in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i/>
          <w:sz w:val="20"/>
        </w:rPr>
        <w:t>Internal Control – Integrated Framework (2013)</w:t>
      </w:r>
      <w:r>
        <w:rPr/>
        <w:t xml:space="preserve"> </w:t>
      </w:r>
      <w:r>
        <w:rPr>
          <w:sz w:val="20"/>
        </w:rPr>
        <w:t>issued by the Committee of Sponsoring Organizations of the Treadway Commission.</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In our opinion, the consolidated financial statements referred to above present fairly, in all material respects, the financial position of the Company as of December 31, 2025 and</w:t>
      </w:r>
      <w:r>
        <w:rPr/>
        <w:t xml:space="preserve"> </w:t>
      </w:r>
      <w:r>
        <w:rPr>
          <w:sz w:val="20"/>
        </w:rPr>
        <w:t xml:space="preserve">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i/>
          <w:sz w:val="20"/>
        </w:rPr>
        <w:t>Internal Control – Integrated Framework (2013)</w:t>
      </w:r>
      <w:r>
        <w:rPr/>
        <w:t xml:space="preserve"> </w:t>
      </w:r>
      <w:r>
        <w:rPr>
          <w:sz w:val="20"/>
        </w:rPr>
        <w:t>issued by the Committee of Sponsoring Organizations of the Treadway Commission.</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The Company acquired CoreCard Corporation</w:t>
      </w:r>
      <w:r>
        <w:rPr/>
        <w:t> </w:t>
      </w:r>
      <w:r>
        <w:rPr>
          <w:sz w:val="20"/>
        </w:rPr>
        <w:t xml:space="preserve">during </w:t>
      </w:r>
      <w:r>
        <w:rPr>
          <w:rFonts w:ascii="Times New Roman" w:hAnsi="Times New Roman"/>
          <w:sz w:val="20"/>
        </w:rPr>
        <w:t>2025</w:t>
      </w:r>
      <w:r>
        <w:rPr>
          <w:sz w:val="20"/>
        </w:rPr>
        <w:t xml:space="preserve">, and management excluded from its assessment of the effectiveness of the Company’s internal control over financial reporting as of </w:t>
      </w:r>
      <w:r>
        <w:rPr>
          <w:rFonts w:ascii="Times New Roman" w:hAnsi="Times New Roman"/>
          <w:sz w:val="20"/>
        </w:rPr>
        <w:t>December 31, 2025</w:t>
      </w:r>
      <w:r>
        <w:rPr>
          <w:sz w:val="20"/>
        </w:rPr>
        <w:t>, CoreCard Corporation’s</w:t>
      </w:r>
      <w:r>
        <w:rPr/>
        <w:t> </w:t>
      </w:r>
      <w:r>
        <w:rPr>
          <w:sz w:val="20"/>
        </w:rPr>
        <w:t xml:space="preserve">internal control over financial reporting associated with total assets of $221.8 million and total revenues of $12.7 million included in the consolidated financial statements of the Company as of and for the year ended </w:t>
      </w:r>
      <w:r>
        <w:rPr>
          <w:rFonts w:ascii="Times New Roman" w:hAnsi="Times New Roman"/>
          <w:sz w:val="20"/>
        </w:rPr>
        <w:t>December 31, 2025</w:t>
      </w:r>
      <w:r>
        <w:rPr>
          <w:sz w:val="20"/>
        </w:rPr>
        <w:t>. Our audit of internal control over financial reporting of the Company also excluded an evaluation of the internal control over financial reporting of CoreCard Corporation.</w:t>
      </w:r>
    </w:p>
    <w:p>
      <w:pPr>
        <w:pStyle w:val="TextBody"/>
        <w:bidi w:val="0"/>
        <w:spacing w:lineRule="atLeast" w:line="240" w:before="0" w:after="0"/>
        <w:jc w:val="both"/>
        <w:rPr/>
      </w:pPr>
      <w:r>
        <w:rPr/>
        <w:t> </w:t>
      </w:r>
    </w:p>
    <w:p>
      <w:pPr>
        <w:pStyle w:val="TextBody"/>
        <w:bidi w:val="0"/>
        <w:spacing w:lineRule="atLeast" w:line="240" w:before="0" w:after="0"/>
        <w:jc w:val="both"/>
        <w:rPr>
          <w:b/>
          <w:i/>
          <w:sz w:val="20"/>
        </w:rPr>
      </w:pPr>
      <w:r>
        <w:rPr>
          <w:b/>
          <w:i/>
          <w:sz w:val="20"/>
        </w:rPr>
        <w:t>Basis for Opinions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tLeast" w:line="240" w:before="0" w:after="0"/>
        <w:jc w:val="both"/>
        <w:rPr/>
      </w:pPr>
      <w:r>
        <w:rPr/>
        <w:t> </w:t>
      </w:r>
    </w:p>
    <w:p>
      <w:pPr>
        <w:pStyle w:val="TextBody"/>
        <w:bidi w:val="0"/>
        <w:spacing w:lineRule="atLeast" w:line="240" w:before="0" w:after="0"/>
        <w:jc w:val="both"/>
        <w:rPr>
          <w:b/>
          <w:i/>
          <w:sz w:val="20"/>
        </w:rPr>
      </w:pPr>
      <w:r>
        <w:rPr>
          <w:b/>
          <w:i/>
          <w:sz w:val="20"/>
        </w:rPr>
        <w:t>Definition and Limitations of Internal Control Over Financial Reporting</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tLeast" w:line="240" w:before="0" w:after="0"/>
        <w:jc w:val="both"/>
        <w:rPr/>
      </w:pPr>
      <w:r>
        <w:rPr/>
        <w:t> </w:t>
      </w:r>
    </w:p>
    <w:p>
      <w:pPr>
        <w:pStyle w:val="TextBody"/>
        <w:bidi w:val="0"/>
        <w:spacing w:lineRule="atLeast" w:line="240" w:before="0" w:after="0"/>
        <w:jc w:val="both"/>
        <w:rPr>
          <w:b/>
          <w:i/>
          <w:sz w:val="20"/>
        </w:rPr>
      </w:pPr>
      <w:r>
        <w:rPr>
          <w:b/>
          <w:i/>
          <w:sz w:val="20"/>
        </w:rPr>
        <w:t>Critical Audit Matter</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r>
        <w:rPr>
          <w:b/>
          <w:sz w:val="20"/>
        </w:rPr>
        <w:t>Sufficiency of audit evidence over revenue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As discussed in Note 3 to the consolidated financial statements, the Company earned $4.2 billion of revenue in 2025. The Company earned revenue by payment and transaction processing and distribution solutions to financial institutions, retailers, service providers and individual consumers (collectively services). The services were provided to customers in numerous countries through various worldwide offices within 3 different reportable operating segments.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The following are the primary procedures we performed to address this critical audit matter. We applied auditor judgment to determine the nature and extent of procedures to be performed over revenue, including the determination of locations at which those procedures were to be performed. At each Company location selected, we: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evaluated the design and tested the operating effectiveness of certain internal controls related to the Company’s revenue process, including controls over the accurate recording of revenue amounts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assessed the training and experience of the auditors on our audit team that were in countries other than the United States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 tested a sample of individual revenue transactions by comparing amounts recognized by the Company to relevant contracts and or payment and transaction support. We also performed a software-assisted data analysis to test relationships among certain revenue transactions.</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evaluated the sufficiency of audit evidence obtained over revenue by assessing the results of procedures performed, including the appropriateness of such evidence.</w:t>
      </w:r>
    </w:p>
    <w:p>
      <w:pPr>
        <w:pStyle w:val="TextBody"/>
        <w:bidi w:val="0"/>
        <w:spacing w:lineRule="atLeast" w:line="240" w:before="0" w:after="0"/>
        <w:jc w:val="both"/>
        <w:rPr/>
      </w:pPr>
      <w:r>
        <w:rPr/>
        <w:t> </w:t>
      </w:r>
    </w:p>
    <w:p>
      <w:pPr>
        <w:pStyle w:val="TextBody"/>
        <w:bidi w:val="0"/>
        <w:spacing w:lineRule="atLeast" w:line="240" w:before="0" w:after="0"/>
        <w:ind w:left="4320" w:right="0" w:hanging="0"/>
        <w:jc w:val="both"/>
        <w:rPr/>
      </w:pPr>
      <w:r>
        <w:rPr>
          <w:sz w:val="20"/>
        </w:rPr>
        <w:t xml:space="preserve">/s/ </w:t>
      </w:r>
      <w:r>
        <w:rPr>
          <w:rFonts w:ascii="Times New Roman" w:hAnsi="Times New Roman"/>
          <w:sz w:val="20"/>
        </w:rPr>
        <w:t>KPMG LLP</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We have served as the Company’s </w:t>
      </w:r>
      <w:r>
        <w:rPr>
          <w:rFonts w:ascii="Times New Roman" w:hAnsi="Times New Roman"/>
          <w:sz w:val="20"/>
        </w:rPr>
        <w:t>auditor</w:t>
      </w:r>
      <w:r>
        <w:rPr/>
        <w:t xml:space="preserve"> </w:t>
      </w:r>
      <w:r>
        <w:rPr>
          <w:sz w:val="20"/>
        </w:rPr>
        <w:t>since 2003.</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Kansas City, Missouri</w:t>
      </w:r>
    </w:p>
    <w:p>
      <w:pPr>
        <w:pStyle w:val="TextBody"/>
        <w:bidi w:val="0"/>
        <w:spacing w:lineRule="atLeast" w:line="240" w:before="0" w:after="0"/>
        <w:jc w:val="both"/>
        <w:rPr>
          <w:sz w:val="20"/>
        </w:rPr>
      </w:pPr>
      <w:r>
        <w:rPr>
          <w:sz w:val="20"/>
        </w:rPr>
        <w:t>February 26, 2026</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spacing w:before="0" w:after="0"/>
        <w:jc w:val="center"/>
        <w:rPr/>
      </w:pPr>
      <w:bookmarkStart w:id="27" w:name="bm_320f3d8092b2bc71"/>
      <w:bookmarkEnd w:id="27"/>
      <w:r>
        <w:rPr>
          <w:b/>
          <w:sz w:val="20"/>
        </w:rPr>
        <w:t>CONSOLIDATED FINANCIAL STATEMENTS</w:t>
      </w:r>
      <w:r>
        <w:rPr/>
        <w:br/>
      </w:r>
      <w:r>
        <w:rPr>
          <w:b/>
          <w:sz w:val="20"/>
        </w:rPr>
        <w:t>EURONET WORLDWIDE, INC. AND SUBSIDIARIES</w:t>
      </w:r>
      <w:r>
        <w:rPr/>
        <w:t> </w:t>
      </w:r>
      <w:bookmarkStart w:id="28" w:name="bm_d0cdb261844bd346"/>
      <w:bookmarkEnd w:id="28"/>
      <w:r>
        <w:rPr>
          <w:b/>
          <w:sz w:val="20"/>
        </w:rPr>
        <w:t>CONSOLIDATED BALANCE SHEETS</w:t>
      </w:r>
    </w:p>
    <w:p>
      <w:pPr>
        <w:pStyle w:val="TextBody"/>
        <w:bidi w:val="0"/>
        <w:spacing w:lineRule="auto" w:line="288" w:before="0" w:after="120"/>
        <w:jc w:val="center"/>
        <w:rPr>
          <w:b/>
          <w:sz w:val="20"/>
        </w:rPr>
      </w:pPr>
      <w:r>
        <w:rPr>
          <w:b/>
          <w:sz w:val="20"/>
        </w:rPr>
        <w:t>(in millions, except share and per share data)</w:t>
      </w:r>
    </w:p>
    <w:tbl>
      <w:tblPr>
        <w:tblW w:w="10205" w:type="dxa"/>
        <w:jc w:val="left"/>
        <w:tblInd w:w="0" w:type="dxa"/>
        <w:tblLayout w:type="fixed"/>
        <w:tblCellMar>
          <w:top w:w="0" w:type="dxa"/>
          <w:left w:w="0" w:type="dxa"/>
          <w:bottom w:w="0" w:type="dxa"/>
          <w:right w:w="0" w:type="dxa"/>
        </w:tblCellMar>
      </w:tblPr>
      <w:tblGrid>
        <w:gridCol w:w="8373"/>
        <w:gridCol w:w="125"/>
        <w:gridCol w:w="753"/>
        <w:gridCol w:w="60"/>
        <w:gridCol w:w="125"/>
        <w:gridCol w:w="769"/>
      </w:tblGrid>
      <w:tr>
        <w:trPr/>
        <w:tc>
          <w:tcPr>
            <w:tcW w:w="8373" w:type="dxa"/>
            <w:tcBorders/>
            <w:vAlign w:val="center"/>
          </w:tcPr>
          <w:p>
            <w:pPr>
              <w:pStyle w:val="TableContents"/>
              <w:bidi w:val="0"/>
              <w:spacing w:before="0" w:after="0"/>
              <w:jc w:val="left"/>
              <w:rPr/>
            </w:pPr>
            <w:r>
              <w:rPr/>
              <w:t> </w:t>
            </w:r>
          </w:p>
        </w:tc>
        <w:tc>
          <w:tcPr>
            <w:tcW w:w="1832"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w:t>
            </w:r>
          </w:p>
        </w:tc>
      </w:tr>
      <w:tr>
        <w:trPr/>
        <w:tc>
          <w:tcPr>
            <w:tcW w:w="8373" w:type="dxa"/>
            <w:tcBorders/>
            <w:vAlign w:val="center"/>
          </w:tcPr>
          <w:p>
            <w:pPr>
              <w:pStyle w:val="TableContents"/>
              <w:bidi w:val="0"/>
              <w:spacing w:before="0" w:after="0"/>
              <w:jc w:val="left"/>
              <w:rPr/>
            </w:pPr>
            <w:r>
              <w:rPr/>
              <w:t> </w:t>
            </w:r>
          </w:p>
        </w:tc>
        <w:tc>
          <w:tcPr>
            <w:tcW w:w="878"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89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83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6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left"/>
              <w:rPr/>
            </w:pPr>
            <w:r>
              <w:rPr/>
              <w:t> </w:t>
            </w:r>
          </w:p>
        </w:tc>
      </w:tr>
      <w:tr>
        <w:trPr/>
        <w:tc>
          <w:tcPr>
            <w:tcW w:w="8373"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Cash and cash equivalents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1,040.3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1,278.8</w:t>
            </w:r>
          </w:p>
        </w:tc>
      </w:tr>
      <w:tr>
        <w:trPr/>
        <w:tc>
          <w:tcPr>
            <w:tcW w:w="8373"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ATM cash</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650.3</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643.8</w:t>
            </w:r>
          </w:p>
        </w:tc>
      </w:tr>
      <w:tr>
        <w:trPr/>
        <w:tc>
          <w:tcPr>
            <w:tcW w:w="8373"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Restricted cash</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9.2</w:t>
            </w:r>
          </w:p>
        </w:tc>
      </w:tr>
      <w:tr>
        <w:trPr/>
        <w:tc>
          <w:tcPr>
            <w:tcW w:w="8373"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Settlement assets</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1,910.4</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1,522.7</w:t>
            </w:r>
          </w:p>
        </w:tc>
      </w:tr>
      <w:tr>
        <w:trPr/>
        <w:tc>
          <w:tcPr>
            <w:tcW w:w="8373" w:type="dxa"/>
            <w:tcBorders/>
            <w:shd w:fill="CCEEFF" w:val="clear"/>
            <w:vAlign w:val="center"/>
          </w:tcPr>
          <w:p>
            <w:pPr>
              <w:pStyle w:val="TableContents"/>
              <w:bidi w:val="0"/>
              <w:spacing w:before="0" w:after="0"/>
              <w:ind w:left="288" w:right="0" w:hanging="0"/>
              <w:jc w:val="left"/>
              <w:rPr>
                <w:sz w:val="20"/>
              </w:rPr>
            </w:pPr>
            <w:r>
              <w:rPr>
                <w:rFonts w:ascii="Times New Roman" w:hAnsi="Times New Roman"/>
                <w:sz w:val="20"/>
              </w:rPr>
              <w:t>Trade accounts receivable, net of credit losses of $8.2</w:t>
            </w:r>
            <w:r>
              <w:rPr>
                <w:sz w:val="20"/>
              </w:rPr>
              <w:t xml:space="preserve"> </w:t>
            </w:r>
            <w:r>
              <w:rPr>
                <w:rFonts w:ascii="Times New Roman" w:hAnsi="Times New Roman"/>
                <w:sz w:val="20"/>
              </w:rPr>
              <w:t>and $4.2</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334.5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284.9</w:t>
            </w:r>
          </w:p>
        </w:tc>
      </w:tr>
      <w:tr>
        <w:trPr/>
        <w:tc>
          <w:tcPr>
            <w:tcW w:w="8373"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Prepaid expenses and other current assets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311.5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297.1</w:t>
            </w:r>
          </w:p>
        </w:tc>
      </w:tr>
      <w:tr>
        <w:trPr/>
        <w:tc>
          <w:tcPr>
            <w:tcW w:w="8373"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Total current assets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4,270.2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6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4,036.5</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w:t>
              <w:noBreakHyphen/>
              <w:t>of</w:t>
              <w:noBreakHyphen/>
              <w:t>use assets – operating leases, net of amortization</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153.9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132.1</w:t>
            </w:r>
          </w:p>
        </w:tc>
      </w:tr>
      <w:tr>
        <w:trPr/>
        <w:tc>
          <w:tcPr>
            <w:tcW w:w="8373" w:type="dxa"/>
            <w:tcBorders/>
            <w:shd w:fill="CCEEFF" w:val="clear"/>
            <w:vAlign w:val="center"/>
          </w:tcPr>
          <w:p>
            <w:pPr>
              <w:pStyle w:val="TableContents"/>
              <w:bidi w:val="0"/>
              <w:spacing w:before="0" w:after="0"/>
              <w:jc w:val="left"/>
              <w:rPr>
                <w:sz w:val="20"/>
              </w:rPr>
            </w:pPr>
            <w:r>
              <w:rPr>
                <w:rFonts w:ascii="Times New Roman" w:hAnsi="Times New Roman"/>
                <w:sz w:val="20"/>
              </w:rPr>
              <w:t>Property and equipment, net of accumulated depreciation of $702.7</w:t>
            </w:r>
            <w:r>
              <w:rPr>
                <w:sz w:val="20"/>
              </w:rPr>
              <w:t xml:space="preserve"> </w:t>
            </w:r>
            <w:r>
              <w:rPr>
                <w:rFonts w:ascii="Times New Roman" w:hAnsi="Times New Roman"/>
                <w:sz w:val="20"/>
              </w:rPr>
              <w:t>and $589.6</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375.3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329.7</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1,042.3</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859.2</w:t>
            </w:r>
          </w:p>
        </w:tc>
      </w:tr>
      <w:tr>
        <w:trPr/>
        <w:tc>
          <w:tcPr>
            <w:tcW w:w="8373" w:type="dxa"/>
            <w:tcBorders/>
            <w:shd w:fill="CCEEFF" w:val="clear"/>
            <w:vAlign w:val="center"/>
          </w:tcPr>
          <w:p>
            <w:pPr>
              <w:pStyle w:val="TableContents"/>
              <w:bidi w:val="0"/>
              <w:spacing w:before="0" w:after="0"/>
              <w:jc w:val="left"/>
              <w:rPr>
                <w:sz w:val="20"/>
              </w:rPr>
            </w:pPr>
            <w:r>
              <w:rPr>
                <w:rFonts w:ascii="Times New Roman" w:hAnsi="Times New Roman"/>
                <w:sz w:val="20"/>
              </w:rPr>
              <w:t>Acquired intangible assets, net of accumulated amortization of $266.4</w:t>
            </w:r>
            <w:r>
              <w:rPr>
                <w:sz w:val="20"/>
              </w:rPr>
              <w:t xml:space="preserve"> </w:t>
            </w:r>
            <w:r>
              <w:rPr>
                <w:rFonts w:ascii="Times New Roman" w:hAnsi="Times New Roman"/>
                <w:sz w:val="20"/>
              </w:rPr>
              <w:t>and $226.5</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261.2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188.9</w:t>
            </w:r>
          </w:p>
        </w:tc>
      </w:tr>
      <w:tr>
        <w:trPr/>
        <w:tc>
          <w:tcPr>
            <w:tcW w:w="8373" w:type="dxa"/>
            <w:tcBorders/>
            <w:shd w:fill="FFFFFF" w:val="clear"/>
            <w:vAlign w:val="center"/>
          </w:tcPr>
          <w:p>
            <w:pPr>
              <w:pStyle w:val="TableContents"/>
              <w:bidi w:val="0"/>
              <w:spacing w:before="0" w:after="0"/>
              <w:jc w:val="left"/>
              <w:rPr>
                <w:sz w:val="20"/>
              </w:rPr>
            </w:pPr>
            <w:r>
              <w:rPr>
                <w:rFonts w:ascii="Times New Roman" w:hAnsi="Times New Roman"/>
                <w:sz w:val="20"/>
              </w:rPr>
              <w:t>Other assets, net of accumulated amortization of $96.9</w:t>
            </w:r>
            <w:r>
              <w:rPr>
                <w:sz w:val="20"/>
              </w:rPr>
              <w:t xml:space="preserve"> </w:t>
            </w:r>
            <w:r>
              <w:rPr>
                <w:rFonts w:ascii="Times New Roman" w:hAnsi="Times New Roman"/>
                <w:sz w:val="20"/>
              </w:rPr>
              <w:t>and $82.6</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297.8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226.7</w:t>
            </w:r>
          </w:p>
        </w:tc>
      </w:tr>
      <w:tr>
        <w:trPr/>
        <w:tc>
          <w:tcPr>
            <w:tcW w:w="83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61.4</w:t>
            </w:r>
          </w:p>
        </w:tc>
      </w:tr>
      <w:tr>
        <w:trPr/>
        <w:tc>
          <w:tcPr>
            <w:tcW w:w="8373"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assets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9" w:type="dxa"/>
            <w:tcBorders>
              <w:top w:val="single" w:sz="8" w:space="0" w:color="000000"/>
              <w:bottom w:val="double" w:sz="6"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r>
        <w:trPr/>
        <w:tc>
          <w:tcPr>
            <w:tcW w:w="83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53"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69"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pPr>
            <w:r>
              <w:rPr/>
              <w:t> </w:t>
            </w:r>
          </w:p>
        </w:tc>
      </w:tr>
      <w:tr>
        <w:trPr/>
        <w:tc>
          <w:tcPr>
            <w:tcW w:w="8373"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Settlement obligations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1,910.4</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rFonts w:ascii="Times New Roman" w:hAnsi="Times New Roman"/>
                <w:color w:val="333333"/>
                <w:sz w:val="20"/>
              </w:rPr>
            </w:pPr>
            <w:r>
              <w:rPr>
                <w:rFonts w:ascii="Times New Roman" w:hAnsi="Times New Roman"/>
                <w:color w:val="333333"/>
                <w:sz w:val="20"/>
              </w:rPr>
              <w:t>$</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1,522.7</w:t>
            </w:r>
          </w:p>
        </w:tc>
      </w:tr>
      <w:tr>
        <w:trPr/>
        <w:tc>
          <w:tcPr>
            <w:tcW w:w="8373"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payable</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223.8</w:t>
            </w:r>
          </w:p>
        </w:tc>
      </w:tr>
      <w:tr>
        <w:trPr/>
        <w:tc>
          <w:tcPr>
            <w:tcW w:w="8373"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Accrued expenses and other current liabilities</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494.9</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475.7</w:t>
            </w:r>
          </w:p>
        </w:tc>
      </w:tr>
      <w:tr>
        <w:trPr/>
        <w:tc>
          <w:tcPr>
            <w:tcW w:w="8373"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Current portion of operating lease obligations</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48.3</w:t>
            </w:r>
          </w:p>
        </w:tc>
      </w:tr>
      <w:tr>
        <w:trPr/>
        <w:tc>
          <w:tcPr>
            <w:tcW w:w="8373"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Short-term debt obligations and current maturities of long-term debt obligations</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983.2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812.7</w:t>
            </w:r>
          </w:p>
        </w:tc>
      </w:tr>
      <w:tr>
        <w:trPr/>
        <w:tc>
          <w:tcPr>
            <w:tcW w:w="8373"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Income taxes payable</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86.4</w:t>
            </w:r>
          </w:p>
        </w:tc>
      </w:tr>
      <w:tr>
        <w:trPr/>
        <w:tc>
          <w:tcPr>
            <w:tcW w:w="8373"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Deferred revenue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56.4</w:t>
            </w:r>
          </w:p>
        </w:tc>
      </w:tr>
      <w:tr>
        <w:trPr/>
        <w:tc>
          <w:tcPr>
            <w:tcW w:w="8373"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Total current liabilities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3,854.7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6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3,226.0</w:t>
            </w:r>
          </w:p>
        </w:tc>
      </w:tr>
      <w:tr>
        <w:trPr/>
        <w:tc>
          <w:tcPr>
            <w:tcW w:w="83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obligations, net of current portion</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1,037.6</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1,134.4</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obligations, net of current portion</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87.4</w:t>
            </w:r>
          </w:p>
        </w:tc>
      </w:tr>
      <w:tr>
        <w:trPr/>
        <w:tc>
          <w:tcPr>
            <w:tcW w:w="83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71.8</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85.7</w:t>
            </w:r>
          </w:p>
        </w:tc>
      </w:tr>
      <w:tr>
        <w:trPr/>
        <w:tc>
          <w:tcPr>
            <w:tcW w:w="8373"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liabilities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5,166.2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4,605.3</w:t>
            </w:r>
          </w:p>
        </w:tc>
      </w:tr>
      <w:tr>
        <w:trPr/>
        <w:tc>
          <w:tcPr>
            <w:tcW w:w="837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69"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83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Euronet Worldwide, Inc. stockholders’ equity:</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pPr>
            <w:r>
              <w:rPr/>
              <w:t> </w:t>
            </w:r>
          </w:p>
        </w:tc>
      </w:tr>
      <w:tr>
        <w:trPr/>
        <w:tc>
          <w:tcPr>
            <w:tcW w:w="8373" w:type="dxa"/>
            <w:tcBorders/>
            <w:shd w:fill="FFFFFF" w:val="clear"/>
            <w:vAlign w:val="center"/>
          </w:tcPr>
          <w:p>
            <w:pPr>
              <w:pStyle w:val="TableContents"/>
              <w:bidi w:val="0"/>
              <w:spacing w:before="0" w:after="0"/>
              <w:ind w:left="432" w:right="0" w:hanging="0"/>
              <w:jc w:val="left"/>
              <w:rPr>
                <w:sz w:val="20"/>
              </w:rPr>
            </w:pPr>
            <w:r>
              <w:rPr>
                <w:rFonts w:ascii="Times New Roman" w:hAnsi="Times New Roman"/>
                <w:sz w:val="20"/>
              </w:rPr>
              <w:t>Preferred Stock, $0.02</w:t>
            </w:r>
            <w:r>
              <w:rPr>
                <w:sz w:val="20"/>
              </w:rPr>
              <w:t xml:space="preserve"> </w:t>
            </w:r>
            <w:r>
              <w:rPr>
                <w:rFonts w:ascii="Times New Roman" w:hAnsi="Times New Roman"/>
                <w:sz w:val="20"/>
              </w:rPr>
              <w:t>par value. 10,000,000</w:t>
            </w:r>
            <w:r>
              <w:rPr>
                <w:sz w:val="20"/>
              </w:rPr>
              <w:t xml:space="preserve"> </w:t>
            </w:r>
            <w:r>
              <w:rPr>
                <w:rFonts w:ascii="Times New Roman" w:hAnsi="Times New Roman"/>
                <w:sz w:val="20"/>
              </w:rPr>
              <w:t>shares authorized; none</w:t>
            </w:r>
            <w:r>
              <w:rPr>
                <w:sz w:val="20"/>
              </w:rPr>
              <w:t xml:space="preserve"> </w:t>
            </w:r>
            <w:r>
              <w:rPr>
                <w:rFonts w:ascii="Times New Roman" w:hAnsi="Times New Roman"/>
                <w:sz w:val="20"/>
              </w:rPr>
              <w:t>issued</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pPr>
            <w:r>
              <w:rPr/>
              <w:t>—</w:t>
            </w:r>
          </w:p>
        </w:tc>
      </w:tr>
      <w:tr>
        <w:trPr/>
        <w:tc>
          <w:tcPr>
            <w:tcW w:w="8373" w:type="dxa"/>
            <w:tcBorders/>
            <w:shd w:fill="CCEEFF" w:val="clear"/>
            <w:vAlign w:val="center"/>
          </w:tcPr>
          <w:p>
            <w:pPr>
              <w:pStyle w:val="TableContents"/>
              <w:bidi w:val="0"/>
              <w:spacing w:before="0" w:after="0"/>
              <w:ind w:left="432" w:right="0" w:hanging="0"/>
              <w:jc w:val="left"/>
              <w:rPr>
                <w:sz w:val="20"/>
              </w:rPr>
            </w:pPr>
            <w:r>
              <w:rPr>
                <w:rFonts w:ascii="Times New Roman" w:hAnsi="Times New Roman"/>
                <w:sz w:val="20"/>
              </w:rPr>
              <w:t>Common Stock, $0.02</w:t>
            </w:r>
            <w:r>
              <w:rPr>
                <w:sz w:val="20"/>
              </w:rPr>
              <w:t xml:space="preserve"> </w:t>
            </w:r>
            <w:r>
              <w:rPr>
                <w:rFonts w:ascii="Times New Roman" w:hAnsi="Times New Roman"/>
                <w:sz w:val="20"/>
              </w:rPr>
              <w:t>par value. 90,000,000</w:t>
            </w:r>
            <w:r>
              <w:rPr>
                <w:sz w:val="20"/>
              </w:rPr>
              <w:t xml:space="preserve"> </w:t>
            </w:r>
            <w:r>
              <w:rPr>
                <w:rFonts w:ascii="Times New Roman" w:hAnsi="Times New Roman"/>
                <w:sz w:val="20"/>
              </w:rPr>
              <w:t>shares authorized; shares issued 67,635,309</w:t>
            </w:r>
            <w:r>
              <w:rPr>
                <w:sz w:val="20"/>
              </w:rPr>
              <w:t xml:space="preserve"> </w:t>
            </w:r>
            <w:r>
              <w:rPr>
                <w:rFonts w:ascii="Times New Roman" w:hAnsi="Times New Roman"/>
                <w:sz w:val="20"/>
              </w:rPr>
              <w:t>and 64,788,755</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1.4</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1.3</w:t>
            </w:r>
          </w:p>
        </w:tc>
      </w:tr>
      <w:tr>
        <w:trPr/>
        <w:tc>
          <w:tcPr>
            <w:tcW w:w="8373"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Additional paid-in-capital</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1,549.8</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1,370.1</w:t>
            </w:r>
          </w:p>
        </w:tc>
      </w:tr>
      <w:tr>
        <w:trPr/>
        <w:tc>
          <w:tcPr>
            <w:tcW w:w="8373" w:type="dxa"/>
            <w:tcBorders/>
            <w:shd w:fill="CCEEFF" w:val="clear"/>
            <w:vAlign w:val="center"/>
          </w:tcPr>
          <w:p>
            <w:pPr>
              <w:pStyle w:val="TableContents"/>
              <w:bidi w:val="0"/>
              <w:spacing w:before="0" w:after="0"/>
              <w:ind w:left="432" w:right="0" w:hanging="0"/>
              <w:jc w:val="left"/>
              <w:rPr>
                <w:sz w:val="20"/>
              </w:rPr>
            </w:pPr>
            <w:r>
              <w:rPr>
                <w:rFonts w:ascii="Times New Roman" w:hAnsi="Times New Roman"/>
                <w:sz w:val="20"/>
              </w:rPr>
              <w:t>Treasury stock, at cost, shares issued 28,305,376</w:t>
            </w:r>
            <w:r>
              <w:rPr>
                <w:sz w:val="20"/>
              </w:rPr>
              <w:t xml:space="preserve"> </w:t>
            </w:r>
            <w:r>
              <w:rPr>
                <w:rFonts w:ascii="Times New Roman" w:hAnsi="Times New Roman"/>
                <w:sz w:val="20"/>
              </w:rPr>
              <w:t>and 21,061,140</w:t>
            </w:r>
          </w:p>
        </w:tc>
        <w:tc>
          <w:tcPr>
            <w:tcW w:w="125"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(2,425.4)</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769"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(1,755.2)</w:t>
            </w:r>
          </w:p>
        </w:tc>
      </w:tr>
      <w:tr>
        <w:trPr/>
        <w:tc>
          <w:tcPr>
            <w:tcW w:w="8373"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Retained earnings</w:t>
            </w:r>
          </w:p>
        </w:tc>
        <w:tc>
          <w:tcPr>
            <w:tcW w:w="125" w:type="dxa"/>
            <w:tcBorders/>
            <w:shd w:fill="FFFFFF" w:val="clear"/>
            <w:vAlign w:val="center"/>
          </w:tcPr>
          <w:p>
            <w:pPr>
              <w:pStyle w:val="TableContents"/>
              <w:bidi w:val="0"/>
              <w:spacing w:before="0" w:after="0"/>
              <w:jc w:val="left"/>
              <w:rPr/>
            </w:pPr>
            <w:r>
              <w:rPr/>
              <w:t> </w:t>
            </w:r>
          </w:p>
        </w:tc>
        <w:tc>
          <w:tcPr>
            <w:tcW w:w="75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2,243.4</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769"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1,934.0</w:t>
            </w:r>
          </w:p>
        </w:tc>
      </w:tr>
      <w:tr>
        <w:trPr/>
        <w:tc>
          <w:tcPr>
            <w:tcW w:w="8373" w:type="dxa"/>
            <w:tcBorders/>
            <w:shd w:fill="CCEE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Accumulated other comprehensive loss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(61.7)</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(321.5)</w:t>
            </w:r>
          </w:p>
        </w:tc>
      </w:tr>
      <w:tr>
        <w:trPr/>
        <w:tc>
          <w:tcPr>
            <w:tcW w:w="8373"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Euronet Worldwide, Inc. stockholders’ equity</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1,307.5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6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1,228.7</w:t>
            </w:r>
          </w:p>
        </w:tc>
      </w:tr>
      <w:tr>
        <w:trPr/>
        <w:tc>
          <w:tcPr>
            <w:tcW w:w="837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Noncontrolling interests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15.0</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0.5</w:t>
            </w:r>
          </w:p>
        </w:tc>
      </w:tr>
      <w:tr>
        <w:trPr/>
        <w:tc>
          <w:tcPr>
            <w:tcW w:w="8373"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equity</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5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1,322.5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6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8373"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 and equity</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lineRule="auto" w:line="288" w:before="0" w:after="0"/>
        <w:jc w:val="center"/>
        <w:rPr/>
      </w:pPr>
      <w:r>
        <w:rPr/>
        <w:t> </w:t>
      </w:r>
    </w:p>
    <w:p>
      <w:pPr>
        <w:pStyle w:val="TextBody"/>
        <w:bidi w:val="0"/>
        <w:spacing w:lineRule="auto" w:line="288" w:before="0" w:after="0"/>
        <w:jc w:val="center"/>
        <w:rPr>
          <w:sz w:val="20"/>
        </w:rPr>
      </w:pPr>
      <w:r>
        <w:rPr>
          <w:sz w:val="20"/>
        </w:rPr>
        <w:t>See accompanying notes to the Consolidated Financial Statements.</w:t>
      </w:r>
    </w:p>
    <w:p>
      <w:pPr>
        <w:pStyle w:val="TextBody"/>
        <w:bidi w:val="0"/>
        <w:spacing w:lineRule="auto" w:line="288"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spacing w:lineRule="auto" w:line="288" w:before="0" w:after="0"/>
        <w:jc w:val="center"/>
        <w:rPr>
          <w:b/>
          <w:sz w:val="20"/>
        </w:rPr>
      </w:pPr>
      <w:r>
        <w:rPr>
          <w:b/>
          <w:sz w:val="20"/>
        </w:rPr>
        <w:t>EURONET WORLDWIDE, INC. AND SUBSIDIARIES</w:t>
      </w:r>
    </w:p>
    <w:p>
      <w:pPr>
        <w:pStyle w:val="TextBody"/>
        <w:bidi w:val="0"/>
        <w:spacing w:lineRule="auto" w:line="288" w:before="0" w:after="0"/>
        <w:jc w:val="center"/>
        <w:rPr>
          <w:b/>
          <w:sz w:val="20"/>
        </w:rPr>
      </w:pPr>
      <w:bookmarkStart w:id="29" w:name="bm_14802208bfa6b77c"/>
      <w:bookmarkStart w:id="30" w:name="BConsolidated_Statements_of_Income_83LOH"/>
      <w:bookmarkEnd w:id="29"/>
      <w:bookmarkEnd w:id="30"/>
      <w:r>
        <w:rPr>
          <w:b/>
          <w:sz w:val="20"/>
        </w:rPr>
        <w:t>CONSOLIDATED STATEMENTS OF OPERATIONS</w:t>
      </w:r>
    </w:p>
    <w:p>
      <w:pPr>
        <w:pStyle w:val="TextBody"/>
        <w:bidi w:val="0"/>
        <w:spacing w:lineRule="auto" w:line="288" w:before="0" w:after="120"/>
        <w:jc w:val="center"/>
        <w:rPr>
          <w:b/>
          <w:sz w:val="20"/>
        </w:rPr>
      </w:pPr>
      <w:r>
        <w:rPr>
          <w:b/>
          <w:sz w:val="20"/>
        </w:rPr>
        <w:t>(in millions, except share and per share data)</w:t>
      </w:r>
    </w:p>
    <w:tbl>
      <w:tblPr>
        <w:tblW w:w="9245" w:type="dxa"/>
        <w:jc w:val="left"/>
        <w:tblInd w:w="0" w:type="dxa"/>
        <w:tblLayout w:type="fixed"/>
        <w:tblCellMar>
          <w:top w:w="0" w:type="dxa"/>
          <w:left w:w="0" w:type="dxa"/>
          <w:bottom w:w="0" w:type="dxa"/>
          <w:right w:w="0" w:type="dxa"/>
        </w:tblCellMar>
      </w:tblPr>
      <w:tblGrid>
        <w:gridCol w:w="5885"/>
        <w:gridCol w:w="125"/>
        <w:gridCol w:w="950"/>
        <w:gridCol w:w="60"/>
        <w:gridCol w:w="125"/>
        <w:gridCol w:w="950"/>
        <w:gridCol w:w="60"/>
        <w:gridCol w:w="125"/>
        <w:gridCol w:w="965"/>
      </w:tblGrid>
      <w:tr>
        <w:trPr/>
        <w:tc>
          <w:tcPr>
            <w:tcW w:w="5885" w:type="dxa"/>
            <w:tcBorders/>
            <w:vAlign w:val="center"/>
          </w:tcPr>
          <w:p>
            <w:pPr>
              <w:pStyle w:val="TableContents"/>
              <w:bidi w:val="0"/>
              <w:spacing w:before="0" w:after="0"/>
              <w:jc w:val="left"/>
              <w:rPr/>
            </w:pPr>
            <w:r>
              <w:rPr/>
              <w:t> </w:t>
            </w:r>
          </w:p>
        </w:tc>
        <w:tc>
          <w:tcPr>
            <w:tcW w:w="3360"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5885" w:type="dxa"/>
            <w:tcBorders/>
            <w:vAlign w:val="center"/>
          </w:tcPr>
          <w:p>
            <w:pPr>
              <w:pStyle w:val="TableContents"/>
              <w:bidi w:val="0"/>
              <w:spacing w:before="0" w:after="0"/>
              <w:jc w:val="left"/>
              <w:rPr/>
            </w:pPr>
            <w:r>
              <w:rPr/>
              <w:t> </w:t>
            </w:r>
          </w:p>
        </w:tc>
        <w:tc>
          <w:tcPr>
            <w:tcW w:w="107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7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9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4,244.2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3,989.8</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3,688.0</w:t>
            </w:r>
          </w:p>
        </w:tc>
      </w:tr>
      <w:tr>
        <w:trPr/>
        <w:tc>
          <w:tcPr>
            <w:tcW w:w="5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2,490.6</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2,389.3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2,222.8</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Contract asset impairment</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pPr>
            <w:r>
              <w:rPr/>
              <w:t>—</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712.9</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650.2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602.9</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372.2</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315.3</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296.8</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138.5</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131.8</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132.9</w:t>
            </w:r>
          </w:p>
        </w:tc>
      </w:tr>
      <w:tr>
        <w:trPr/>
        <w:tc>
          <w:tcPr>
            <w:tcW w:w="5885"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Total operating expenses</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3,714.4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3,486.6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3,255.4</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529.8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432.6</w:t>
            </w:r>
          </w:p>
        </w:tc>
      </w:tr>
      <w:tr>
        <w:trPr/>
        <w:tc>
          <w:tcPr>
            <w:tcW w:w="5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income</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23.8</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15.2</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expense</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(84.5)</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(80.5)</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(55.6)</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Foreign currency exchange (loss) gains, net</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(25.2)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(19.1)</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8.0</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gains, net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4.9</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21.5</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0.2</w:t>
            </w:r>
          </w:p>
        </w:tc>
      </w:tr>
      <w:tr>
        <w:trPr/>
        <w:tc>
          <w:tcPr>
            <w:tcW w:w="5885"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Other income (expense), net</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(81.6)</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(54.3)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(32.2)</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448.2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448.9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400.4</w:t>
            </w:r>
          </w:p>
        </w:tc>
      </w:tr>
      <w:tr>
        <w:trPr/>
        <w:tc>
          <w:tcPr>
            <w:tcW w:w="5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(135.2)</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(142.6)</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(120.9)</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306.3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279.5</w:t>
            </w:r>
          </w:p>
        </w:tc>
      </w:tr>
      <w:tr>
        <w:trPr/>
        <w:tc>
          <w:tcPr>
            <w:tcW w:w="5885" w:type="dxa"/>
            <w:tcBorders/>
            <w:shd w:fill="CCEE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Net loss attributable to noncontrolling interests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Net income attributable to Euronet Worldwide, Inc.</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309.5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306.0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279.7</w:t>
            </w:r>
          </w:p>
        </w:tc>
      </w:tr>
      <w:tr>
        <w:trPr/>
        <w:tc>
          <w:tcPr>
            <w:tcW w:w="5885"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5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attributable to Euronet Worldwide, Inc. stockholders:</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pPr>
            <w:r>
              <w:rPr/>
              <w:t> </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7.40</w:t>
            </w:r>
          </w:p>
        </w:tc>
        <w:tc>
          <w:tcPr>
            <w:tcW w:w="60" w:type="dxa"/>
            <w:tcBorders/>
            <w:shd w:fill="CCEEFF" w:val="clear"/>
            <w:vAlign w:val="center"/>
          </w:tcPr>
          <w:p>
            <w:pPr>
              <w:pStyle w:val="TableContents"/>
              <w:bidi w:val="0"/>
              <w:spacing w:before="0" w:after="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6.82</w:t>
            </w:r>
          </w:p>
        </w:tc>
        <w:tc>
          <w:tcPr>
            <w:tcW w:w="60" w:type="dxa"/>
            <w:tcBorders/>
            <w:shd w:fill="CCEEFF" w:val="clear"/>
            <w:vAlign w:val="center"/>
          </w:tcPr>
          <w:p>
            <w:pPr>
              <w:pStyle w:val="TableContents"/>
              <w:bidi w:val="0"/>
              <w:spacing w:before="0" w:after="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5.77</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6.84</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6.45</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5.50</w:t>
            </w:r>
          </w:p>
        </w:tc>
      </w:tr>
      <w:tr>
        <w:trPr/>
        <w:tc>
          <w:tcPr>
            <w:tcW w:w="5885"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5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pPr>
            <w:r>
              <w:rPr/>
              <w:t> </w:t>
            </w:r>
          </w:p>
        </w:tc>
      </w:tr>
      <w:tr>
        <w:trPr/>
        <w:tc>
          <w:tcPr>
            <w:tcW w:w="588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41,813,424</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44,896,711</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48,482,006</w:t>
            </w:r>
          </w:p>
        </w:tc>
      </w:tr>
      <w:tr>
        <w:trPr/>
        <w:tc>
          <w:tcPr>
            <w:tcW w:w="588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45,782,801</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48,082,766</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65"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51,599,633</w:t>
            </w:r>
          </w:p>
        </w:tc>
      </w:tr>
    </w:tbl>
    <w:p>
      <w:pPr>
        <w:pStyle w:val="TextBody"/>
        <w:bidi w:val="0"/>
        <w:spacing w:lineRule="auto" w:line="288" w:before="0" w:after="0"/>
        <w:jc w:val="left"/>
        <w:rPr/>
      </w:pPr>
      <w:r>
        <w:rPr/>
        <w:t>                    </w:t>
      </w:r>
    </w:p>
    <w:p>
      <w:pPr>
        <w:pStyle w:val="TextBody"/>
        <w:bidi w:val="0"/>
        <w:spacing w:lineRule="auto" w:line="288" w:before="0" w:after="0"/>
        <w:jc w:val="center"/>
        <w:rPr>
          <w:sz w:val="20"/>
        </w:rPr>
      </w:pPr>
      <w:r>
        <w:rPr>
          <w:sz w:val="20"/>
        </w:rPr>
        <w:t>See accompanying notes to the Consolidated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spacing w:lineRule="auto" w:line="288" w:before="0" w:after="0"/>
        <w:jc w:val="center"/>
        <w:rPr>
          <w:b/>
          <w:sz w:val="20"/>
        </w:rPr>
      </w:pPr>
      <w:r>
        <w:rPr>
          <w:b/>
          <w:sz w:val="20"/>
        </w:rPr>
        <w:t>EURONET WORLDWIDE, INC. AND SUBSIDIARIES</w:t>
      </w:r>
    </w:p>
    <w:p>
      <w:pPr>
        <w:pStyle w:val="TextBody"/>
        <w:bidi w:val="0"/>
        <w:spacing w:lineRule="auto" w:line="288" w:before="0" w:after="0"/>
        <w:jc w:val="center"/>
        <w:rPr>
          <w:b/>
          <w:sz w:val="20"/>
        </w:rPr>
      </w:pPr>
      <w:bookmarkStart w:id="31" w:name="BConsolidated_Statements_of_Comprehensiv"/>
      <w:bookmarkStart w:id="32" w:name="bm_375edb75fd071b59"/>
      <w:bookmarkEnd w:id="31"/>
      <w:bookmarkEnd w:id="32"/>
      <w:r>
        <w:rPr>
          <w:b/>
          <w:sz w:val="20"/>
        </w:rPr>
        <w:t>CONSOLIDATED STATEMENTS OF COMPREHENSIVE (LOSS) INCOME</w:t>
      </w:r>
    </w:p>
    <w:p>
      <w:pPr>
        <w:pStyle w:val="TextBody"/>
        <w:bidi w:val="0"/>
        <w:spacing w:lineRule="auto" w:line="288" w:before="0" w:after="120"/>
        <w:jc w:val="center"/>
        <w:rPr>
          <w:b/>
          <w:sz w:val="20"/>
        </w:rPr>
      </w:pPr>
      <w:r>
        <w:rPr>
          <w:b/>
          <w:sz w:val="20"/>
        </w:rPr>
        <w:t>(in millions)</w:t>
      </w:r>
    </w:p>
    <w:tbl>
      <w:tblPr>
        <w:tblW w:w="8225" w:type="dxa"/>
        <w:jc w:val="left"/>
        <w:tblInd w:w="0" w:type="dxa"/>
        <w:tblLayout w:type="fixed"/>
        <w:tblCellMar>
          <w:top w:w="0" w:type="dxa"/>
          <w:left w:w="0" w:type="dxa"/>
          <w:bottom w:w="0" w:type="dxa"/>
          <w:right w:w="0" w:type="dxa"/>
        </w:tblCellMar>
      </w:tblPr>
      <w:tblGrid>
        <w:gridCol w:w="6140"/>
        <w:gridCol w:w="125"/>
        <w:gridCol w:w="485"/>
        <w:gridCol w:w="60"/>
        <w:gridCol w:w="125"/>
        <w:gridCol w:w="605"/>
        <w:gridCol w:w="60"/>
        <w:gridCol w:w="125"/>
        <w:gridCol w:w="500"/>
      </w:tblGrid>
      <w:tr>
        <w:trPr/>
        <w:tc>
          <w:tcPr>
            <w:tcW w:w="6140" w:type="dxa"/>
            <w:tcBorders/>
            <w:vAlign w:val="center"/>
          </w:tcPr>
          <w:p>
            <w:pPr>
              <w:pStyle w:val="TableContents"/>
              <w:bidi w:val="0"/>
              <w:spacing w:before="0" w:after="0"/>
              <w:jc w:val="left"/>
              <w:rPr/>
            </w:pPr>
            <w:r>
              <w:rPr/>
              <w:t> </w:t>
            </w:r>
          </w:p>
        </w:tc>
        <w:tc>
          <w:tcPr>
            <w:tcW w:w="208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614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306.3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279.5</w:t>
            </w:r>
          </w:p>
        </w:tc>
      </w:tr>
      <w:tr>
        <w:trPr/>
        <w:tc>
          <w:tcPr>
            <w:tcW w:w="61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0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00" w:type="dxa"/>
            <w:tcBorders/>
            <w:shd w:fill="FFFFFF" w:val="clear"/>
            <w:vAlign w:val="center"/>
          </w:tcPr>
          <w:p>
            <w:pPr>
              <w:pStyle w:val="TableContents"/>
              <w:bidi w:val="0"/>
              <w:spacing w:before="0" w:after="0"/>
              <w:jc w:val="right"/>
              <w:rPr/>
            </w:pPr>
            <w:r>
              <w:rPr/>
              <w:t> </w:t>
            </w:r>
          </w:p>
        </w:tc>
      </w:tr>
      <w:tr>
        <w:trPr/>
        <w:tc>
          <w:tcPr>
            <w:tcW w:w="6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 net of tax</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258.7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47.9</w:t>
            </w:r>
          </w:p>
        </w:tc>
      </w:tr>
      <w:tr>
        <w:trPr/>
        <w:tc>
          <w:tcPr>
            <w:tcW w:w="614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Comprehensive (loss) income</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571.7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50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327.4</w:t>
            </w:r>
          </w:p>
        </w:tc>
      </w:tr>
      <w:tr>
        <w:trPr/>
        <w:tc>
          <w:tcPr>
            <w:tcW w:w="6140" w:type="dxa"/>
            <w:tcBorders/>
            <w:shd w:fill="CCEEFF" w:val="clear"/>
            <w:vAlign w:val="center"/>
          </w:tcPr>
          <w:p>
            <w:pPr>
              <w:pStyle w:val="TableContents"/>
              <w:bidi w:val="0"/>
              <w:spacing w:before="0" w:after="0"/>
              <w:jc w:val="left"/>
              <w:rPr/>
            </w:pPr>
            <w:r>
              <w:rPr/>
              <w:t xml:space="preserve">     </w:t>
            </w:r>
            <w:r>
              <w:rPr>
                <w:rFonts w:ascii="Times New Roman" w:hAnsi="Times New Roman"/>
                <w:sz w:val="20"/>
              </w:rPr>
              <w:t>Comprehensive loss (income) attributable to noncontrolling interests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r>
      <w:tr>
        <w:trPr/>
        <w:tc>
          <w:tcPr>
            <w:tcW w:w="6140" w:type="dxa"/>
            <w:tcBorders/>
            <w:shd w:fill="FFFFFF" w:val="clear"/>
            <w:vAlign w:val="center"/>
          </w:tcPr>
          <w:p>
            <w:pPr>
              <w:pStyle w:val="TableContents"/>
              <w:bidi w:val="0"/>
              <w:spacing w:before="0" w:after="0"/>
              <w:jc w:val="left"/>
              <w:rPr/>
            </w:pPr>
            <w:r>
              <w:rPr/>
              <w:t xml:space="preserve">        </w:t>
            </w:r>
            <w:r>
              <w:rPr>
                <w:rFonts w:ascii="Times New Roman" w:hAnsi="Times New Roman"/>
                <w:sz w:val="20"/>
              </w:rPr>
              <w:t>Comprehensive (loss) income attributable to Euronet Worldwide, Inc.</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574.2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327.4</w:t>
            </w:r>
          </w:p>
        </w:tc>
      </w:tr>
    </w:tbl>
    <w:p>
      <w:pPr>
        <w:pStyle w:val="TextBody"/>
        <w:bidi w:val="0"/>
        <w:spacing w:lineRule="auto" w:line="288" w:before="0" w:after="0"/>
        <w:jc w:val="center"/>
        <w:rPr>
          <w:sz w:val="20"/>
        </w:rPr>
      </w:pPr>
      <w:r>
        <w:rPr>
          <w:sz w:val="20"/>
        </w:rPr>
        <w:br/>
        <w:t>See accompanying notes to the Consolidated Financial Statements.</w:t>
      </w:r>
    </w:p>
    <w:p>
      <w:pPr>
        <w:pStyle w:val="TextBody"/>
        <w:bidi w:val="0"/>
        <w:spacing w:lineRule="auto" w:line="288"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bookmarkStart w:id="33" w:name="bm_e70955393e46104d"/>
      <w:bookmarkStart w:id="34" w:name="BConsolidated_Statements_of_Changes_in_E"/>
      <w:bookmarkEnd w:id="33"/>
      <w:bookmarkEnd w:id="34"/>
      <w:r>
        <w:rPr>
          <w:b/>
          <w:sz w:val="20"/>
        </w:rPr>
        <w:t>CONSOLIDATED STATEMENTS OF CHANGES IN EQUITY</w:t>
      </w:r>
    </w:p>
    <w:p>
      <w:pPr>
        <w:pStyle w:val="TextBody"/>
        <w:bidi w:val="0"/>
        <w:spacing w:lineRule="atLeast" w:line="240" w:before="0" w:after="0"/>
        <w:jc w:val="center"/>
        <w:rPr>
          <w:b/>
          <w:sz w:val="20"/>
        </w:rPr>
      </w:pPr>
      <w:r>
        <w:rPr>
          <w:b/>
          <w:sz w:val="20"/>
        </w:rPr>
        <w:t>(in millions, except share data)</w:t>
      </w:r>
    </w:p>
    <w:p>
      <w:pPr>
        <w:pStyle w:val="TextBody"/>
        <w:bidi w:val="0"/>
        <w:spacing w:lineRule="atLeast" w:line="240" w:before="0" w:after="0"/>
        <w:jc w:val="center"/>
        <w:rPr/>
      </w:pPr>
      <w:r>
        <w:rPr/>
        <w:t> </w:t>
      </w:r>
    </w:p>
    <w:tbl>
      <w:tblPr>
        <w:tblW w:w="8095" w:type="dxa"/>
        <w:jc w:val="left"/>
        <w:tblInd w:w="0" w:type="dxa"/>
        <w:tblLayout w:type="fixed"/>
        <w:tblCellMar>
          <w:top w:w="0" w:type="dxa"/>
          <w:left w:w="0" w:type="dxa"/>
          <w:bottom w:w="0" w:type="dxa"/>
          <w:right w:w="0" w:type="dxa"/>
        </w:tblCellMar>
      </w:tblPr>
      <w:tblGrid>
        <w:gridCol w:w="3935"/>
        <w:gridCol w:w="1055"/>
        <w:gridCol w:w="60"/>
        <w:gridCol w:w="125"/>
        <w:gridCol w:w="800"/>
        <w:gridCol w:w="60"/>
        <w:gridCol w:w="125"/>
        <w:gridCol w:w="920"/>
        <w:gridCol w:w="60"/>
        <w:gridCol w:w="125"/>
        <w:gridCol w:w="830"/>
      </w:tblGrid>
      <w:tr>
        <w:trPr/>
        <w:tc>
          <w:tcPr>
            <w:tcW w:w="3935"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sz w:val="20"/>
              </w:rPr>
            </w:pPr>
            <w:r>
              <w:rPr>
                <w:rFonts w:ascii="Times New Roman" w:hAnsi="Times New Roman"/>
                <w:b/>
                <w:sz w:val="20"/>
              </w:rPr>
              <w:t>Number</w:t>
            </w:r>
            <w:r>
              <w:rPr>
                <w:sz w:val="20"/>
              </w:rPr>
              <w:t xml:space="preserve">  </w:t>
            </w:r>
            <w:r>
              <w:rPr>
                <w:rFonts w:ascii="Times New Roman" w:hAnsi="Times New Roman"/>
                <w:b/>
                <w:sz w:val="20"/>
              </w:rPr>
              <w:t>of</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Additional</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3935"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Common</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Paid-in</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Treasury</w:t>
            </w:r>
          </w:p>
        </w:tc>
      </w:tr>
      <w:tr>
        <w:trPr/>
        <w:tc>
          <w:tcPr>
            <w:tcW w:w="3935"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Stock</w:t>
            </w:r>
          </w:p>
        </w:tc>
      </w:tr>
      <w:tr>
        <w:trPr/>
        <w:tc>
          <w:tcPr>
            <w:tcW w:w="39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0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49,822,707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1,251.8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(1,105.8)</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0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pPr>
            <w:r>
              <w:rPr/>
              <w:t>—</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Adoption of ASU-2020-60 on Convertible bond</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292,151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05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(4,336,896)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(378.4)</w:t>
            </w:r>
          </w:p>
        </w:tc>
      </w:tr>
      <w:tr>
        <w:trPr/>
        <w:tc>
          <w:tcPr>
            <w:tcW w:w="393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05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45,777,962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1,311.6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(1,487.7)</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0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pPr>
            <w:r>
              <w:rPr/>
              <w:t>—</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425,186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05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(2,475,533)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(265.2)</w:t>
            </w:r>
          </w:p>
        </w:tc>
      </w:tr>
      <w:tr>
        <w:trPr/>
        <w:tc>
          <w:tcPr>
            <w:tcW w:w="393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05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43,727,615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1,370.1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(1,755.2)</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0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pPr>
            <w:r>
              <w:rPr/>
              <w:t>—</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Acquisitions</w:t>
            </w:r>
          </w:p>
        </w:tc>
        <w:tc>
          <w:tcPr>
            <w:tcW w:w="10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2,551,683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pPr>
            <w:r>
              <w:rPr/>
              <w:t>—</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0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294,284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Capped call, net of taxes</w:t>
            </w:r>
          </w:p>
        </w:tc>
        <w:tc>
          <w:tcPr>
            <w:tcW w:w="10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pPr>
            <w:r>
              <w:rPr/>
              <w:t>—</w:t>
            </w:r>
          </w:p>
        </w:tc>
      </w:tr>
      <w:tr>
        <w:trPr/>
        <w:tc>
          <w:tcPr>
            <w:tcW w:w="39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0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pPr>
            <w:r>
              <w:rPr/>
              <w:t>—</w:t>
            </w:r>
          </w:p>
        </w:tc>
      </w:tr>
      <w:tr>
        <w:trPr/>
        <w:tc>
          <w:tcPr>
            <w:tcW w:w="3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 including taxes</w:t>
            </w:r>
          </w:p>
        </w:tc>
        <w:tc>
          <w:tcPr>
            <w:tcW w:w="105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(7,243,649)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(669.6)</w:t>
            </w:r>
          </w:p>
        </w:tc>
      </w:tr>
      <w:tr>
        <w:trPr/>
        <w:tc>
          <w:tcPr>
            <w:tcW w:w="393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05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39,329,933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1,549.8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(2,425.4)</w:t>
            </w:r>
          </w:p>
        </w:tc>
      </w:tr>
    </w:tbl>
    <w:p>
      <w:pPr>
        <w:pStyle w:val="TextBody"/>
        <w:bidi w:val="0"/>
        <w:spacing w:lineRule="atLeast" w:line="240" w:before="0" w:after="0"/>
        <w:jc w:val="left"/>
        <w:rPr/>
      </w:pPr>
      <w:r>
        <w:rPr/>
        <w:t> </w:t>
      </w:r>
    </w:p>
    <w:p>
      <w:pPr>
        <w:pStyle w:val="TextBody"/>
        <w:bidi w:val="0"/>
        <w:spacing w:lineRule="atLeast" w:line="240" w:before="0" w:after="0"/>
        <w:jc w:val="center"/>
        <w:rPr>
          <w:sz w:val="20"/>
        </w:rPr>
      </w:pPr>
      <w:r>
        <w:rPr>
          <w:sz w:val="20"/>
        </w:rPr>
        <w:t>See accompanying notes to the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r>
        <w:rPr>
          <w:b/>
          <w:sz w:val="20"/>
        </w:rPr>
        <w:t>CONSOLIDATED STATEMENT OF CHANGES IN EQUITY (CONTINUED)</w:t>
      </w:r>
    </w:p>
    <w:p>
      <w:pPr>
        <w:pStyle w:val="TextBody"/>
        <w:bidi w:val="0"/>
        <w:spacing w:lineRule="atLeast" w:line="240" w:before="0" w:after="120"/>
        <w:jc w:val="center"/>
        <w:rPr>
          <w:b/>
          <w:sz w:val="20"/>
        </w:rPr>
      </w:pPr>
      <w:r>
        <w:rPr>
          <w:b/>
          <w:sz w:val="20"/>
        </w:rPr>
        <w:t>(in millions)</w:t>
      </w:r>
    </w:p>
    <w:tbl>
      <w:tblPr>
        <w:tblW w:w="10205" w:type="dxa"/>
        <w:jc w:val="left"/>
        <w:tblInd w:w="0" w:type="dxa"/>
        <w:tblLayout w:type="fixed"/>
        <w:tblCellMar>
          <w:top w:w="0" w:type="dxa"/>
          <w:left w:w="0" w:type="dxa"/>
          <w:bottom w:w="0" w:type="dxa"/>
          <w:right w:w="0" w:type="dxa"/>
        </w:tblCellMar>
      </w:tblPr>
      <w:tblGrid>
        <w:gridCol w:w="3550"/>
        <w:gridCol w:w="125"/>
        <w:gridCol w:w="812"/>
        <w:gridCol w:w="60"/>
        <w:gridCol w:w="125"/>
        <w:gridCol w:w="3163"/>
        <w:gridCol w:w="60"/>
        <w:gridCol w:w="125"/>
        <w:gridCol w:w="1348"/>
        <w:gridCol w:w="60"/>
        <w:gridCol w:w="125"/>
        <w:gridCol w:w="652"/>
      </w:tblGrid>
      <w:tr>
        <w:trPr/>
        <w:tc>
          <w:tcPr>
            <w:tcW w:w="355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81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Retained </w:t>
            </w:r>
          </w:p>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16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4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Noncontrolling </w:t>
            </w:r>
          </w:p>
          <w:p>
            <w:pPr>
              <w:pStyle w:val="TableContents"/>
              <w:bidi w:val="0"/>
              <w:spacing w:before="0" w:after="0"/>
              <w:jc w:val="center"/>
              <w:rPr>
                <w:rFonts w:ascii="Times New Roman" w:hAnsi="Times New Roman"/>
                <w:b/>
                <w:sz w:val="20"/>
              </w:rPr>
            </w:pPr>
            <w:r>
              <w:rPr>
                <w:rFonts w:ascii="Times New Roman" w:hAnsi="Times New Roman"/>
                <w:b/>
                <w:sz w:val="20"/>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r>
      <w:tr>
        <w:trPr/>
        <w:tc>
          <w:tcPr>
            <w:tcW w:w="35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1,348.3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16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1,244.4</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279.5</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47.9</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Adoption of ASU-2020-60 on Convertible bond</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pPr>
            <w:r>
              <w:rPr/>
              <w:t>—</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163"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(378.4)</w:t>
            </w:r>
          </w:p>
        </w:tc>
      </w:tr>
      <w:tr>
        <w:trPr/>
        <w:tc>
          <w:tcPr>
            <w:tcW w:w="355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1,627.9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16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(203.2)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1,249.7</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306.0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306.3</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(118.3)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(117.8)</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12.3</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43.9</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163"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(265.2)</w:t>
            </w:r>
          </w:p>
        </w:tc>
      </w:tr>
      <w:tr>
        <w:trPr/>
        <w:tc>
          <w:tcPr>
            <w:tcW w:w="355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1,934.0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16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313.0</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259.8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258.7</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Acquisitions</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204.7</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Capped call, net of taxes</w:t>
            </w:r>
          </w:p>
        </w:tc>
        <w:tc>
          <w:tcPr>
            <w:tcW w:w="125"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3163"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4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(73.9)</w:t>
            </w:r>
          </w:p>
        </w:tc>
      </w:tr>
      <w:tr>
        <w:trPr/>
        <w:tc>
          <w:tcPr>
            <w:tcW w:w="355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81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31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4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55.1</w:t>
            </w:r>
          </w:p>
        </w:tc>
      </w:tr>
      <w:tr>
        <w:trPr/>
        <w:tc>
          <w:tcPr>
            <w:tcW w:w="3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 including taxes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163"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(669.6)</w:t>
            </w:r>
          </w:p>
        </w:tc>
      </w:tr>
      <w:tr>
        <w:trPr/>
        <w:tc>
          <w:tcPr>
            <w:tcW w:w="355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2,243.4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16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1,322.5</w:t>
            </w:r>
          </w:p>
        </w:tc>
      </w:tr>
    </w:tbl>
    <w:p>
      <w:pPr>
        <w:pStyle w:val="TextBody"/>
        <w:bidi w:val="0"/>
        <w:spacing w:lineRule="atLeast" w:line="240" w:before="0" w:after="0"/>
        <w:jc w:val="center"/>
        <w:rPr/>
      </w:pPr>
      <w:r>
        <w:rPr/>
        <w:t> </w:t>
      </w:r>
    </w:p>
    <w:p>
      <w:pPr>
        <w:pStyle w:val="TextBody"/>
        <w:bidi w:val="0"/>
        <w:spacing w:lineRule="atLeast" w:line="240" w:before="0" w:after="0"/>
        <w:jc w:val="center"/>
        <w:rPr>
          <w:sz w:val="20"/>
        </w:rPr>
      </w:pPr>
      <w:r>
        <w:rPr>
          <w:sz w:val="20"/>
        </w:rPr>
        <w:t>See accompanying notes to the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spacing w:lineRule="auto" w:line="288" w:before="0" w:after="0"/>
        <w:jc w:val="center"/>
        <w:rPr>
          <w:b/>
          <w:sz w:val="20"/>
        </w:rPr>
      </w:pPr>
      <w:r>
        <w:rPr>
          <w:b/>
          <w:sz w:val="20"/>
        </w:rPr>
        <w:t>EURONET WORLDWIDE, INC. AND SUBSIDIARIES</w:t>
      </w:r>
    </w:p>
    <w:p>
      <w:pPr>
        <w:pStyle w:val="TextBody"/>
        <w:bidi w:val="0"/>
        <w:spacing w:lineRule="auto" w:line="288" w:before="0" w:after="0"/>
        <w:jc w:val="center"/>
        <w:rPr>
          <w:b/>
          <w:sz w:val="20"/>
        </w:rPr>
      </w:pPr>
      <w:bookmarkStart w:id="35" w:name="bm_77af5ac5be060c54"/>
      <w:bookmarkStart w:id="36" w:name="BConsolidated_Statements_of_Cash_Flows_Q"/>
      <w:bookmarkEnd w:id="35"/>
      <w:bookmarkEnd w:id="36"/>
      <w:r>
        <w:rPr>
          <w:b/>
          <w:sz w:val="20"/>
        </w:rPr>
        <w:t>CONSOLIDATED STATEMENTS OF CASH FLOWS</w:t>
      </w:r>
    </w:p>
    <w:p>
      <w:pPr>
        <w:pStyle w:val="TextBody"/>
        <w:bidi w:val="0"/>
        <w:spacing w:lineRule="auto" w:line="288" w:before="0" w:after="120"/>
        <w:jc w:val="center"/>
        <w:rPr>
          <w:b/>
          <w:sz w:val="20"/>
        </w:rPr>
      </w:pPr>
      <w:r>
        <w:rPr>
          <w:b/>
          <w:sz w:val="20"/>
        </w:rPr>
        <w:t>(in millions)</w:t>
      </w:r>
    </w:p>
    <w:tbl>
      <w:tblPr>
        <w:tblW w:w="10205" w:type="dxa"/>
        <w:jc w:val="left"/>
        <w:tblInd w:w="0" w:type="dxa"/>
        <w:tblLayout w:type="fixed"/>
        <w:tblCellMar>
          <w:top w:w="0" w:type="dxa"/>
          <w:left w:w="0" w:type="dxa"/>
          <w:bottom w:w="0" w:type="dxa"/>
          <w:right w:w="0" w:type="dxa"/>
        </w:tblCellMar>
      </w:tblPr>
      <w:tblGrid>
        <w:gridCol w:w="7430"/>
        <w:gridCol w:w="125"/>
        <w:gridCol w:w="755"/>
        <w:gridCol w:w="60"/>
        <w:gridCol w:w="125"/>
        <w:gridCol w:w="755"/>
        <w:gridCol w:w="60"/>
        <w:gridCol w:w="125"/>
        <w:gridCol w:w="770"/>
      </w:tblGrid>
      <w:tr>
        <w:trPr/>
        <w:tc>
          <w:tcPr>
            <w:tcW w:w="7430" w:type="dxa"/>
            <w:tcBorders/>
            <w:vAlign w:val="center"/>
          </w:tcPr>
          <w:p>
            <w:pPr>
              <w:pStyle w:val="TableContents"/>
              <w:bidi w:val="0"/>
              <w:spacing w:before="0" w:after="0"/>
              <w:jc w:val="left"/>
              <w:rPr/>
            </w:pPr>
            <w:r>
              <w:rPr/>
              <w:t> </w:t>
            </w:r>
          </w:p>
        </w:tc>
        <w:tc>
          <w:tcPr>
            <w:tcW w:w="277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743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7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306.3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279.5</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138.5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131.8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132.9</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foreign exchange loss (gain), net</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Receivable write down</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working capital, net of amounts acquired:</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accounts receivable, including amounts in settlement assets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(128.2)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269.8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(190.9)</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 including amounts in settlement assets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42.4</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accounts payable, including amounts in settlement obligations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242.0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53.6</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(10.3)</w:t>
            </w:r>
          </w:p>
        </w:tc>
      </w:tr>
      <w:tr>
        <w:trPr/>
        <w:tc>
          <w:tcPr>
            <w:tcW w:w="7430" w:type="dxa"/>
            <w:tcBorders/>
            <w:shd w:fill="CCEEFF" w:val="clear"/>
            <w:vAlign w:val="center"/>
          </w:tcPr>
          <w:p>
            <w:pPr>
              <w:pStyle w:val="TableContents"/>
              <w:bidi w:val="0"/>
              <w:spacing w:before="0" w:after="0"/>
              <w:jc w:val="left"/>
              <w:rPr>
                <w:sz w:val="20"/>
              </w:rPr>
            </w:pPr>
            <w:r>
              <w:rPr>
                <w:rFonts w:ascii="Times New Roman" w:hAnsi="Times New Roman"/>
                <w:sz w:val="20"/>
              </w:rPr>
              <w:t>Accrued expenses and other current liabilities,</w:t>
            </w:r>
            <w:r>
              <w:rPr>
                <w:sz w:val="20"/>
              </w:rPr>
              <w:t> </w:t>
            </w:r>
            <w:r>
              <w:rPr>
                <w:rFonts w:ascii="Times New Roman" w:hAnsi="Times New Roman"/>
                <w:sz w:val="20"/>
              </w:rPr>
              <w:t>including amounts in settlement obligations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238.7</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non-current assets and liabilities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22.2</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559.8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732.8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7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643.1</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70"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Acquisitions, net of cash acquired</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7430" w:type="dxa"/>
            <w:tcBorders/>
            <w:shd w:fill="CCEEFF" w:val="clear"/>
            <w:vAlign w:val="center"/>
          </w:tcPr>
          <w:p>
            <w:pPr>
              <w:pStyle w:val="TableContents"/>
              <w:bidi w:val="0"/>
              <w:spacing w:before="0" w:after="0"/>
              <w:jc w:val="left"/>
              <w:rPr>
                <w:sz w:val="20"/>
              </w:rPr>
            </w:pPr>
            <w:r>
              <w:rPr>
                <w:rFonts w:ascii="Times New Roman" w:hAnsi="Times New Roman"/>
                <w:sz w:val="20"/>
              </w:rPr>
              <w:t>Purchases of property and equipment and proceeds from</w:t>
            </w:r>
            <w:r>
              <w:rPr>
                <w:sz w:val="20"/>
              </w:rPr>
              <w:t> </w:t>
            </w:r>
            <w:r>
              <w:rPr>
                <w:rFonts w:ascii="Times New Roman" w:hAnsi="Times New Roman"/>
                <w:sz w:val="20"/>
              </w:rPr>
              <w:t>sale property and equipment</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(94.4)</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Convertible Notes Receivable</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(60.0)</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other long-term assets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(223.3)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7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(157.6)</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5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7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shares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(667.7)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(378.4)</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from revolving credit agreements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9,159.4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7,971.0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7,925.8</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revolving credit agreements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(9,655.8)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(7,988.1)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(7,393.6)</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borrowings (repayments) from short-term debt obligations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(302.8)</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convertible senior notes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jc w:val="left"/>
              <w:rPr>
                <w:sz w:val="20"/>
              </w:rPr>
            </w:pPr>
            <w:r>
              <w:rPr>
                <w:rFonts w:ascii="Times New Roman" w:hAnsi="Times New Roman"/>
                <w:sz w:val="20"/>
              </w:rPr>
              <w:t>Repayment of</w:t>
            </w:r>
            <w:r>
              <w:rPr>
                <w:sz w:val="20"/>
              </w:rPr>
              <w:t xml:space="preserve">  </w:t>
            </w:r>
            <w:r>
              <w:rPr>
                <w:rFonts w:ascii="Times New Roman" w:hAnsi="Times New Roman"/>
                <w:sz w:val="20"/>
              </w:rPr>
              <w:t>convertible senior notes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(491.8)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capital lease obligations</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received from minority interest stockholders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Capped call</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(788.6)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7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(143.2)</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 and restricted cash</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77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(86.1)</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cash and cash equivalents and restricted cash</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256.2</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period</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1,990.8</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2,362.8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r>
      <w:tr>
        <w:trPr/>
        <w:tc>
          <w:tcPr>
            <w:tcW w:w="743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Disclosures:</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75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755"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770"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 during the period</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53.2</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 during the period</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94.5</w:t>
            </w:r>
          </w:p>
        </w:tc>
      </w:tr>
    </w:tbl>
    <w:p>
      <w:pPr>
        <w:pStyle w:val="TextBody"/>
        <w:bidi w:val="0"/>
        <w:spacing w:before="0" w:after="0"/>
        <w:jc w:val="center"/>
        <w:rPr/>
      </w:pPr>
      <w:r>
        <w:rPr/>
        <w:t> </w:t>
      </w:r>
    </w:p>
    <w:p>
      <w:pPr>
        <w:pStyle w:val="TextBody"/>
        <w:bidi w:val="0"/>
        <w:spacing w:lineRule="auto" w:line="288" w:before="0" w:after="120"/>
        <w:jc w:val="center"/>
        <w:rPr>
          <w:sz w:val="20"/>
        </w:rPr>
      </w:pPr>
      <w:r>
        <w:rPr>
          <w:sz w:val="20"/>
        </w:rPr>
        <w:t>See accompanying notes to the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b/>
          <w:sz w:val="20"/>
        </w:rPr>
      </w:pPr>
      <w:r>
        <w:rPr>
          <w:b/>
          <w:sz w:val="20"/>
        </w:rPr>
        <w:t>EURONET WORLDWIDE, INC. AND SUBSIDIARIES</w:t>
      </w:r>
    </w:p>
    <w:p>
      <w:pPr>
        <w:pStyle w:val="TextBody"/>
        <w:bidi w:val="0"/>
        <w:spacing w:lineRule="atLeast" w:line="240" w:before="0" w:after="0"/>
        <w:jc w:val="center"/>
        <w:rPr>
          <w:b/>
          <w:sz w:val="20"/>
        </w:rPr>
      </w:pPr>
      <w:bookmarkStart w:id="37" w:name="bm_622acade8503241e"/>
      <w:bookmarkEnd w:id="37"/>
      <w:r>
        <w:rPr>
          <w:b/>
          <w:sz w:val="20"/>
        </w:rPr>
        <w:t>NOTES TO CONSOLIDATED FINANCIAL STATEMENTS</w:t>
      </w:r>
    </w:p>
    <w:p>
      <w:pPr>
        <w:pStyle w:val="TextBody"/>
        <w:bidi w:val="0"/>
        <w:spacing w:lineRule="atLeast" w:line="240" w:before="0" w:after="0"/>
        <w:jc w:val="left"/>
        <w:rPr/>
      </w:pPr>
      <w:r>
        <w:rPr/>
        <w:t> </w:t>
      </w:r>
    </w:p>
    <w:p>
      <w:pPr>
        <w:pStyle w:val="TextBody"/>
        <w:bidi w:val="0"/>
        <w:spacing w:lineRule="atLeast" w:line="240" w:before="0" w:after="0"/>
        <w:jc w:val="both"/>
        <w:rPr/>
      </w:pPr>
      <w:hyperlink w:anchor="TOC">
        <w:bookmarkStart w:id="38" w:name="bm_0c28af5bad81428a"/>
        <w:bookmarkEnd w:id="38"/>
        <w:r>
          <w:rPr>
            <w:rStyle w:val="InternetLink"/>
            <w:rFonts w:ascii="Times New Roman" w:hAnsi="Times New Roman"/>
            <w:b/>
            <w:strike w:val="false"/>
            <w:dstrike w:val="false"/>
            <w:color w:val="000000"/>
            <w:sz w:val="20"/>
            <w:u w:val="none"/>
            <w:effect w:val="none"/>
          </w:rPr>
          <w:t>(1) Organization</w:t>
        </w:r>
      </w:hyperlink>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Euronet Worldwide, Inc. (the "Company" or "Euronet") was established as a Delaware corporation on December 13, 1996 and succeeded Euronet Holding N.V. as the group holding company, which was founded and established in 1994. Euronet is a leading financial technology solutions and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pStyle w:val="TextBody"/>
        <w:bidi w:val="0"/>
        <w:spacing w:lineRule="atLeast" w:line="240" w:before="0" w:after="0"/>
        <w:jc w:val="both"/>
        <w:rPr/>
      </w:pPr>
      <w:r>
        <w:rPr/>
        <w:t> </w:t>
      </w:r>
    </w:p>
    <w:p>
      <w:pPr>
        <w:pStyle w:val="TextBody"/>
        <w:bidi w:val="0"/>
        <w:spacing w:lineRule="atLeast" w:line="240" w:before="0" w:after="0"/>
        <w:jc w:val="both"/>
        <w:rPr/>
      </w:pPr>
      <w:bookmarkStart w:id="39" w:name="bm_fd09fb8b0c2c7b55"/>
      <w:bookmarkEnd w:id="39"/>
      <w:r>
        <w:rPr>
          <w:rFonts w:ascii="Times New Roman" w:hAnsi="Times New Roman"/>
          <w:b/>
          <w:sz w:val="20"/>
        </w:rPr>
        <w:t>(2)</w:t>
      </w:r>
      <w:r>
        <w:rPr/>
        <w:t> </w:t>
      </w:r>
      <w:r>
        <w:rPr>
          <w:rFonts w:ascii="Times New Roman" w:hAnsi="Times New Roman"/>
          <w:b/>
          <w:sz w:val="20"/>
        </w:rPr>
        <w:t>Basis of Preparation</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has no variable interest entities. Results from operations related to entities acquired during the periods covered by the Consolidated Financial Statements are reflected from the effective date of acquisition.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i/>
          <w:sz w:val="20"/>
        </w:rPr>
        <w:t>Seasonality</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Euronet’s</w:t>
      </w:r>
      <w:r>
        <w:rPr/>
        <w:t> </w:t>
      </w:r>
      <w:r>
        <w:rPr>
          <w:rFonts w:ascii="Times New Roman" w:hAnsi="Times New Roman"/>
          <w:sz w:val="20"/>
        </w:rPr>
        <w:t>EFT Processing Segment normally experiences its heaviest demand for Dynamic Currency Conversion (DCC) services during the third quarter of the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hyperlink w:anchor="TOC">
        <w:bookmarkStart w:id="40" w:name="bm_636e7a3dacbae40b"/>
        <w:bookmarkEnd w:id="40"/>
        <w:r>
          <w:rPr>
            <w:rStyle w:val="InternetLink"/>
            <w:rFonts w:ascii="Times New Roman" w:hAnsi="Times New Roman"/>
            <w:b/>
            <w:strike w:val="false"/>
            <w:dstrike w:val="false"/>
            <w:color w:val="000000"/>
            <w:sz w:val="20"/>
            <w:u w:val="none"/>
            <w:effect w:val="none"/>
          </w:rPr>
          <w:t>(3)</w:t>
        </w:r>
      </w:hyperlink>
      <w:hyperlink w:anchor="TOC">
        <w:r>
          <w:rPr>
            <w:rStyle w:val="InternetLink"/>
            <w:strike w:val="false"/>
            <w:dstrike w:val="false"/>
            <w:color w:val="000000"/>
            <w:u w:val="none"/>
            <w:effect w:val="none"/>
          </w:rPr>
          <w:t> </w:t>
        </w:r>
      </w:hyperlink>
      <w:hyperlink w:anchor="TOC">
        <w:r>
          <w:rPr>
            <w:rStyle w:val="InternetLink"/>
            <w:rFonts w:ascii="Times New Roman" w:hAnsi="Times New Roman"/>
            <w:b/>
            <w:strike w:val="false"/>
            <w:dstrike w:val="false"/>
            <w:color w:val="000000"/>
            <w:sz w:val="20"/>
            <w:u w:val="none"/>
            <w:effect w:val="none"/>
          </w:rPr>
          <w:t>Summary of Significant Accounting Policies and Practices</w:t>
        </w:r>
      </w:hyperlink>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Foreign currencies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 The majority of our foreign currency exchange gains or losses are due to the</w:t>
      </w:r>
      <w:r>
        <w:rPr/>
        <w:t> </w:t>
      </w:r>
      <w:r>
        <w:rPr>
          <w:rFonts w:ascii="Times New Roman" w:hAnsi="Times New Roman"/>
          <w:sz w:val="20"/>
        </w:rPr>
        <w:t>remeasurement</w:t>
      </w:r>
      <w:r>
        <w:rPr/>
        <w:t> </w:t>
      </w:r>
      <w:r>
        <w:rPr>
          <w:rFonts w:ascii="Times New Roman" w:hAnsi="Times New Roman"/>
          <w:sz w:val="20"/>
        </w:rPr>
        <w:t>of intercompany loans which are not considered a long-term investment in nature and are in a currency other than the functional currency of one of the parties to the loan.</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(loss) income as a separate component of consolidated equity.</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i/>
          <w:sz w:val="20"/>
        </w:rPr>
        <w:t>Cash equivalents</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considers all highly liquid investments, with an original maturity of three months or less, and certificates of deposit, which may be withdrawn at any time at the discretion of the Company without penalty, to be cash equivalents.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ATM cash</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ATM cash represents cash within the ATM network either included within ATMs, within dedicated accounts, or in-transit to ATMs.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Settlement assets and obligations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Settlement assets represent funds received or to be received from agents for unsettled money transfers and from merchants for unsettled prepaid transactions.</w:t>
      </w:r>
      <w:r>
        <w:rPr/>
        <w:t> </w:t>
      </w:r>
      <w:r>
        <w:rPr>
          <w:rFonts w:ascii="Times New Roman" w:hAnsi="Times New Roman"/>
          <w:sz w:val="20"/>
        </w:rPr>
        <w:t>See</w:t>
      </w:r>
      <w:r>
        <w:rPr/>
        <w:t> </w:t>
      </w:r>
      <w:r>
        <w:rPr>
          <w:rFonts w:ascii="Times New Roman" w:hAnsi="Times New Roman"/>
          <w:sz w:val="20"/>
        </w:rPr>
        <w:t>Note 4, Settlement Assets and Obligations, to the Consolidated Financial Statements for further discussion on settlement assets and obligations.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Property and equipment</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Property and equipment are stated at cost, less accumulated depreciation. Property and equipment acquired in acquisitions have been recorded at estimated fair values as of the acquisition date.</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Depreciation is generally calculated using the straight-line method over the estimated useful lives of the respective assets.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Depreciation and amortization rates are generally as follows:</w:t>
      </w:r>
    </w:p>
    <w:p>
      <w:pPr>
        <w:pStyle w:val="TextBody"/>
        <w:bidi w:val="0"/>
        <w:spacing w:lineRule="atLeast" w:line="240" w:before="0" w:after="0"/>
        <w:jc w:val="both"/>
        <w:rPr/>
      </w:pPr>
      <w:r>
        <w:rPr/>
        <w:t> </w:t>
      </w:r>
    </w:p>
    <w:tbl>
      <w:tblPr>
        <w:tblW w:w="7045" w:type="dxa"/>
        <w:jc w:val="left"/>
        <w:tblInd w:w="0" w:type="dxa"/>
        <w:tblLayout w:type="fixed"/>
        <w:tblCellMar>
          <w:top w:w="0" w:type="dxa"/>
          <w:left w:w="0" w:type="dxa"/>
          <w:bottom w:w="0" w:type="dxa"/>
          <w:right w:w="0" w:type="dxa"/>
        </w:tblCellMar>
      </w:tblPr>
      <w:tblGrid>
        <w:gridCol w:w="2510"/>
        <w:gridCol w:w="60"/>
        <w:gridCol w:w="4475"/>
      </w:tblGrid>
      <w:tr>
        <w:trPr/>
        <w:tc>
          <w:tcPr>
            <w:tcW w:w="251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ATMs or ATM upgrades</w:t>
            </w:r>
          </w:p>
        </w:tc>
        <w:tc>
          <w:tcPr>
            <w:tcW w:w="60" w:type="dxa"/>
            <w:tcBorders/>
            <w:shd w:fill="CCEEFF" w:val="clear"/>
            <w:vAlign w:val="center"/>
          </w:tcPr>
          <w:p>
            <w:pPr>
              <w:pStyle w:val="TableContents"/>
              <w:bidi w:val="0"/>
              <w:spacing w:lineRule="atLeast" w:line="240" w:before="0" w:after="0"/>
              <w:jc w:val="left"/>
              <w:rPr/>
            </w:pPr>
            <w:r>
              <w:rPr/>
              <w:t> </w:t>
            </w:r>
          </w:p>
        </w:tc>
        <w:tc>
          <w:tcPr>
            <w:tcW w:w="4475" w:type="dxa"/>
            <w:tcBorders/>
            <w:shd w:fill="CCEEFF" w:val="clear"/>
            <w:vAlign w:val="center"/>
          </w:tcPr>
          <w:p>
            <w:pPr>
              <w:pStyle w:val="TableContents"/>
              <w:bidi w:val="0"/>
              <w:spacing w:lineRule="atLeast" w:line="240" w:before="0" w:after="0"/>
              <w:jc w:val="right"/>
              <w:rPr/>
            </w:pPr>
            <w:r>
              <w:rPr>
                <w:rFonts w:ascii="Times New Roman" w:hAnsi="Times New Roman"/>
                <w:sz w:val="20"/>
              </w:rPr>
              <w:t>5</w:t>
            </w:r>
            <w:r>
              <w:rPr/>
              <w:t xml:space="preserve"> </w:t>
            </w:r>
            <w:r>
              <w:rPr>
                <w:rFonts w:ascii="Times New Roman" w:hAnsi="Times New Roman"/>
                <w:sz w:val="20"/>
              </w:rPr>
              <w:t>- 8</w:t>
            </w:r>
            <w:r>
              <w:rPr/>
              <w:t xml:space="preserve"> </w:t>
            </w:r>
            <w:r>
              <w:rPr>
                <w:rFonts w:ascii="Times New Roman" w:hAnsi="Times New Roman"/>
                <w:sz w:val="20"/>
              </w:rPr>
              <w:t>years</w:t>
            </w:r>
          </w:p>
        </w:tc>
      </w:tr>
      <w:tr>
        <w:trPr/>
        <w:tc>
          <w:tcPr>
            <w:tcW w:w="251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Computers and software</w:t>
            </w:r>
          </w:p>
        </w:tc>
        <w:tc>
          <w:tcPr>
            <w:tcW w:w="60" w:type="dxa"/>
            <w:tcBorders/>
            <w:shd w:fill="FFFFFF" w:val="clear"/>
            <w:vAlign w:val="center"/>
          </w:tcPr>
          <w:p>
            <w:pPr>
              <w:pStyle w:val="TableContents"/>
              <w:bidi w:val="0"/>
              <w:spacing w:lineRule="atLeast" w:line="240" w:before="0" w:after="0"/>
              <w:jc w:val="left"/>
              <w:rPr/>
            </w:pPr>
            <w:r>
              <w:rPr/>
              <w:t> </w:t>
            </w:r>
          </w:p>
        </w:tc>
        <w:tc>
          <w:tcPr>
            <w:tcW w:w="4475" w:type="dxa"/>
            <w:tcBorders/>
            <w:shd w:fill="FFFFFF" w:val="clear"/>
            <w:vAlign w:val="center"/>
          </w:tcPr>
          <w:p>
            <w:pPr>
              <w:pStyle w:val="TableContents"/>
              <w:bidi w:val="0"/>
              <w:spacing w:lineRule="atLeast" w:line="240" w:before="0" w:after="0"/>
              <w:jc w:val="right"/>
              <w:rPr/>
            </w:pPr>
            <w:r>
              <w:rPr>
                <w:rFonts w:ascii="Times New Roman" w:hAnsi="Times New Roman"/>
                <w:sz w:val="20"/>
              </w:rPr>
              <w:t>3</w:t>
            </w:r>
            <w:r>
              <w:rPr/>
              <w:t xml:space="preserve"> </w:t>
            </w:r>
            <w:r>
              <w:rPr>
                <w:rFonts w:ascii="Times New Roman" w:hAnsi="Times New Roman"/>
                <w:sz w:val="20"/>
              </w:rPr>
              <w:t>- 5</w:t>
            </w:r>
            <w:r>
              <w:rPr/>
              <w:t xml:space="preserve"> </w:t>
            </w:r>
            <w:r>
              <w:rPr>
                <w:rFonts w:ascii="Times New Roman" w:hAnsi="Times New Roman"/>
                <w:sz w:val="20"/>
              </w:rPr>
              <w:t>years</w:t>
            </w:r>
          </w:p>
        </w:tc>
      </w:tr>
      <w:tr>
        <w:trPr/>
        <w:tc>
          <w:tcPr>
            <w:tcW w:w="251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POS terminals</w:t>
            </w:r>
          </w:p>
        </w:tc>
        <w:tc>
          <w:tcPr>
            <w:tcW w:w="60" w:type="dxa"/>
            <w:tcBorders/>
            <w:shd w:fill="CCEEFF" w:val="clear"/>
            <w:vAlign w:val="center"/>
          </w:tcPr>
          <w:p>
            <w:pPr>
              <w:pStyle w:val="TableContents"/>
              <w:bidi w:val="0"/>
              <w:spacing w:lineRule="atLeast" w:line="240" w:before="0" w:after="0"/>
              <w:jc w:val="left"/>
              <w:rPr/>
            </w:pPr>
            <w:r>
              <w:rPr/>
              <w:t> </w:t>
            </w:r>
          </w:p>
        </w:tc>
        <w:tc>
          <w:tcPr>
            <w:tcW w:w="4475" w:type="dxa"/>
            <w:tcBorders/>
            <w:shd w:fill="CCEEFF" w:val="clear"/>
            <w:vAlign w:val="center"/>
          </w:tcPr>
          <w:p>
            <w:pPr>
              <w:pStyle w:val="TableContents"/>
              <w:bidi w:val="0"/>
              <w:spacing w:lineRule="atLeast" w:line="240" w:before="0" w:after="0"/>
              <w:jc w:val="right"/>
              <w:rPr/>
            </w:pPr>
            <w:r>
              <w:rPr>
                <w:rFonts w:ascii="Times New Roman" w:hAnsi="Times New Roman"/>
                <w:sz w:val="20"/>
              </w:rPr>
              <w:t>3</w:t>
            </w:r>
            <w:r>
              <w:rPr/>
              <w:t xml:space="preserve"> </w:t>
            </w:r>
            <w:r>
              <w:rPr>
                <w:rFonts w:ascii="Times New Roman" w:hAnsi="Times New Roman"/>
                <w:sz w:val="20"/>
              </w:rPr>
              <w:t>- 5</w:t>
            </w:r>
            <w:r>
              <w:rPr/>
              <w:t xml:space="preserve"> </w:t>
            </w:r>
            <w:r>
              <w:rPr>
                <w:rFonts w:ascii="Times New Roman" w:hAnsi="Times New Roman"/>
                <w:sz w:val="20"/>
              </w:rPr>
              <w:t>years</w:t>
            </w:r>
          </w:p>
        </w:tc>
      </w:tr>
      <w:tr>
        <w:trPr/>
        <w:tc>
          <w:tcPr>
            <w:tcW w:w="251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Vehicles and office equipment</w:t>
            </w:r>
          </w:p>
        </w:tc>
        <w:tc>
          <w:tcPr>
            <w:tcW w:w="60" w:type="dxa"/>
            <w:tcBorders/>
            <w:shd w:fill="FFFFFF" w:val="clear"/>
            <w:vAlign w:val="center"/>
          </w:tcPr>
          <w:p>
            <w:pPr>
              <w:pStyle w:val="TableContents"/>
              <w:bidi w:val="0"/>
              <w:spacing w:lineRule="atLeast" w:line="240" w:before="0" w:after="0"/>
              <w:jc w:val="left"/>
              <w:rPr/>
            </w:pPr>
            <w:r>
              <w:rPr/>
              <w:t> </w:t>
            </w:r>
          </w:p>
        </w:tc>
        <w:tc>
          <w:tcPr>
            <w:tcW w:w="4475" w:type="dxa"/>
            <w:tcBorders/>
            <w:shd w:fill="FFFFFF" w:val="clear"/>
            <w:vAlign w:val="center"/>
          </w:tcPr>
          <w:p>
            <w:pPr>
              <w:pStyle w:val="TableContents"/>
              <w:bidi w:val="0"/>
              <w:spacing w:lineRule="atLeast" w:line="240" w:before="0" w:after="0"/>
              <w:jc w:val="right"/>
              <w:rPr/>
            </w:pPr>
            <w:r>
              <w:rPr>
                <w:rFonts w:ascii="Times New Roman" w:hAnsi="Times New Roman"/>
                <w:sz w:val="20"/>
              </w:rPr>
              <w:t>3</w:t>
            </w:r>
            <w:r>
              <w:rPr/>
              <w:t xml:space="preserve"> </w:t>
            </w:r>
            <w:r>
              <w:rPr>
                <w:rFonts w:ascii="Times New Roman" w:hAnsi="Times New Roman"/>
                <w:sz w:val="20"/>
              </w:rPr>
              <w:t>- 10</w:t>
            </w:r>
            <w:r>
              <w:rPr/>
              <w:t xml:space="preserve"> </w:t>
            </w:r>
            <w:r>
              <w:rPr>
                <w:rFonts w:ascii="Times New Roman" w:hAnsi="Times New Roman"/>
                <w:sz w:val="20"/>
              </w:rPr>
              <w:t>years</w:t>
            </w:r>
          </w:p>
        </w:tc>
      </w:tr>
      <w:tr>
        <w:trPr/>
        <w:tc>
          <w:tcPr>
            <w:tcW w:w="251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Leasehold improvements</w:t>
            </w:r>
          </w:p>
        </w:tc>
        <w:tc>
          <w:tcPr>
            <w:tcW w:w="60" w:type="dxa"/>
            <w:tcBorders/>
            <w:shd w:fill="CCEEFF" w:val="clear"/>
            <w:vAlign w:val="center"/>
          </w:tcPr>
          <w:p>
            <w:pPr>
              <w:pStyle w:val="TableContents"/>
              <w:bidi w:val="0"/>
              <w:spacing w:lineRule="atLeast" w:line="240" w:before="0" w:after="0"/>
              <w:jc w:val="left"/>
              <w:rPr/>
            </w:pPr>
            <w:r>
              <w:rPr/>
              <w:t> </w:t>
            </w:r>
          </w:p>
        </w:tc>
        <w:tc>
          <w:tcPr>
            <w:tcW w:w="44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Over the lesser of the lease term or estimated useful life</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Goodwill and other intangible assets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u w:val="single"/>
        </w:rPr>
        <w:t>Goodwill</w:t>
      </w:r>
      <w:r>
        <w:rPr/>
        <w:t xml:space="preserve"> </w:t>
      </w:r>
      <w:r>
        <w:rPr>
          <w:rFonts w:ascii="Times New Roman" w:hAnsi="Times New Roman"/>
          <w:sz w:val="20"/>
        </w:rPr>
        <w:t xml:space="preserve">- The Company accounts for goodwill and other intangible assets in accordance with Financial Accounting Standards Board ("FASB") Accounting Standards Codification ("ASC") Topic 350, </w:t>
      </w:r>
      <w:r>
        <w:rPr>
          <w:rFonts w:ascii="Times New Roman" w:hAnsi="Times New Roman"/>
          <w:i/>
          <w:sz w:val="20"/>
        </w:rPr>
        <w:t>Intangibles - Goodwill and Other</w:t>
      </w:r>
      <w:r>
        <w:rPr/>
        <w:t xml:space="preserve"> </w:t>
      </w:r>
      <w:r>
        <w:rPr>
          <w:rFonts w:ascii="Times New Roman" w:hAnsi="Times New Roman"/>
          <w:sz w:val="20"/>
        </w:rPr>
        <w:t>("ASC 350"). In accordance with the requirements of ASC 350</w:t>
      </w:r>
      <w:r>
        <w:rPr/>
        <w:t> </w:t>
      </w:r>
      <w:r>
        <w:rPr>
          <w:rFonts w:ascii="Times New Roman" w:hAnsi="Times New Roman"/>
          <w:sz w:val="20"/>
        </w:rPr>
        <w:t>the Company tests for impairment on an annual basis in the fourth quarter and whenever events or circumstances dictate. Goodwill is allocated among and evaluated for impairment at the reporting unit level, which is defined as an operating segment or one level below an operating segment.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 The DCF Model and Market Approach Model utilize Level 3 inputs in the fair value hierarchy as they include unobservable inputs that require significant management assumptions.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u w:val="single"/>
        </w:rPr>
        <w:t>Other Intangible Assets</w:t>
      </w:r>
      <w:r>
        <w:rPr/>
        <w:t xml:space="preserve"> </w:t>
      </w:r>
      <w:r>
        <w:rPr>
          <w:rFonts w:ascii="Times New Roman" w:hAnsi="Times New Roman"/>
          <w:sz w:val="20"/>
        </w:rPr>
        <w:t>- In accordance with ASC 350, intangible assets with finite lives are amortized over their estimated useful lives. Unless otherwise noted, amortization is calculated using the straight-line method over the estimated useful lives of the assets as follows:</w:t>
      </w:r>
    </w:p>
    <w:p>
      <w:pPr>
        <w:pStyle w:val="TextBody"/>
        <w:bidi w:val="0"/>
        <w:spacing w:lineRule="atLeast" w:line="240" w:before="0" w:after="0"/>
        <w:jc w:val="both"/>
        <w:rPr/>
      </w:pPr>
      <w:r>
        <w:rPr/>
        <w:t> </w:t>
      </w:r>
    </w:p>
    <w:tbl>
      <w:tblPr>
        <w:tblW w:w="3385" w:type="dxa"/>
        <w:jc w:val="left"/>
        <w:tblInd w:w="0" w:type="dxa"/>
        <w:tblLayout w:type="fixed"/>
        <w:tblCellMar>
          <w:top w:w="0" w:type="dxa"/>
          <w:left w:w="0" w:type="dxa"/>
          <w:bottom w:w="0" w:type="dxa"/>
          <w:right w:w="0" w:type="dxa"/>
        </w:tblCellMar>
      </w:tblPr>
      <w:tblGrid>
        <w:gridCol w:w="2330"/>
        <w:gridCol w:w="60"/>
        <w:gridCol w:w="995"/>
      </w:tblGrid>
      <w:tr>
        <w:trPr/>
        <w:tc>
          <w:tcPr>
            <w:tcW w:w="233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Non-compete agreements</w:t>
            </w:r>
          </w:p>
        </w:tc>
        <w:tc>
          <w:tcPr>
            <w:tcW w:w="60" w:type="dxa"/>
            <w:tcBorders/>
            <w:shd w:fill="CCEEFF" w:val="clear"/>
            <w:vAlign w:val="center"/>
          </w:tcPr>
          <w:p>
            <w:pPr>
              <w:pStyle w:val="TableContents"/>
              <w:bidi w:val="0"/>
              <w:spacing w:lineRule="atLeast" w:line="240" w:before="0" w:after="0"/>
              <w:jc w:val="left"/>
              <w:rPr/>
            </w:pPr>
            <w:r>
              <w:rPr/>
              <w:t> </w:t>
            </w:r>
          </w:p>
        </w:tc>
        <w:tc>
          <w:tcPr>
            <w:tcW w:w="995" w:type="dxa"/>
            <w:tcBorders/>
            <w:shd w:fill="CCEEFF" w:val="clear"/>
            <w:vAlign w:val="center"/>
          </w:tcPr>
          <w:p>
            <w:pPr>
              <w:pStyle w:val="TableContents"/>
              <w:bidi w:val="0"/>
              <w:spacing w:lineRule="atLeast" w:line="240" w:before="0" w:after="0"/>
              <w:jc w:val="right"/>
              <w:rPr/>
            </w:pPr>
            <w:r>
              <w:rPr>
                <w:rFonts w:ascii="Times New Roman" w:hAnsi="Times New Roman"/>
                <w:sz w:val="20"/>
              </w:rPr>
              <w:t>2</w:t>
            </w:r>
            <w:r>
              <w:rPr/>
              <w:t xml:space="preserve"> </w:t>
            </w:r>
            <w:r>
              <w:rPr>
                <w:rFonts w:ascii="Times New Roman" w:hAnsi="Times New Roman"/>
                <w:sz w:val="20"/>
              </w:rPr>
              <w:t>- 5</w:t>
            </w:r>
            <w:r>
              <w:rPr/>
              <w:t xml:space="preserve"> </w:t>
            </w:r>
            <w:r>
              <w:rPr>
                <w:rFonts w:ascii="Times New Roman" w:hAnsi="Times New Roman"/>
                <w:sz w:val="20"/>
              </w:rPr>
              <w:t>years</w:t>
            </w:r>
          </w:p>
        </w:tc>
      </w:tr>
      <w:tr>
        <w:trPr/>
        <w:tc>
          <w:tcPr>
            <w:tcW w:w="2330" w:type="dxa"/>
            <w:tcBorders/>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Trademarks and trade names</w:t>
            </w:r>
          </w:p>
        </w:tc>
        <w:tc>
          <w:tcPr>
            <w:tcW w:w="60" w:type="dxa"/>
            <w:tcBorders/>
            <w:shd w:fill="FFFFFF" w:val="clear"/>
            <w:vAlign w:val="center"/>
          </w:tcPr>
          <w:p>
            <w:pPr>
              <w:pStyle w:val="TableContents"/>
              <w:bidi w:val="0"/>
              <w:spacing w:lineRule="atLeast" w:line="240" w:before="0" w:after="0"/>
              <w:jc w:val="left"/>
              <w:rPr/>
            </w:pPr>
            <w:r>
              <w:rPr/>
              <w:t> </w:t>
            </w:r>
          </w:p>
        </w:tc>
        <w:tc>
          <w:tcPr>
            <w:tcW w:w="995" w:type="dxa"/>
            <w:tcBorders/>
            <w:vAlign w:val="center"/>
          </w:tcPr>
          <w:p>
            <w:pPr>
              <w:pStyle w:val="TableContents"/>
              <w:bidi w:val="0"/>
              <w:spacing w:lineRule="atLeast" w:line="240" w:before="0" w:after="0"/>
              <w:jc w:val="right"/>
              <w:rPr/>
            </w:pPr>
            <w:r>
              <w:rPr>
                <w:rFonts w:ascii="Times New Roman" w:hAnsi="Times New Roman"/>
                <w:sz w:val="20"/>
              </w:rPr>
              <w:t>2</w:t>
            </w:r>
            <w:r>
              <w:rPr/>
              <w:t xml:space="preserve"> </w:t>
            </w:r>
            <w:r>
              <w:rPr>
                <w:rFonts w:ascii="Times New Roman" w:hAnsi="Times New Roman"/>
                <w:sz w:val="20"/>
              </w:rPr>
              <w:t>- 20</w:t>
            </w:r>
            <w:r>
              <w:rPr/>
              <w:t xml:space="preserve"> </w:t>
            </w:r>
            <w:r>
              <w:rPr>
                <w:rFonts w:ascii="Times New Roman" w:hAnsi="Times New Roman"/>
                <w:sz w:val="20"/>
              </w:rPr>
              <w:t>years</w:t>
            </w:r>
          </w:p>
        </w:tc>
      </w:tr>
      <w:tr>
        <w:trPr/>
        <w:tc>
          <w:tcPr>
            <w:tcW w:w="233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Software</w:t>
            </w:r>
          </w:p>
        </w:tc>
        <w:tc>
          <w:tcPr>
            <w:tcW w:w="60" w:type="dxa"/>
            <w:tcBorders/>
            <w:shd w:fill="CCEEFF" w:val="clear"/>
            <w:vAlign w:val="center"/>
          </w:tcPr>
          <w:p>
            <w:pPr>
              <w:pStyle w:val="TableContents"/>
              <w:bidi w:val="0"/>
              <w:spacing w:lineRule="atLeast" w:line="240" w:before="0" w:after="0"/>
              <w:jc w:val="left"/>
              <w:rPr/>
            </w:pPr>
            <w:r>
              <w:rPr/>
              <w:t> </w:t>
            </w:r>
          </w:p>
        </w:tc>
        <w:tc>
          <w:tcPr>
            <w:tcW w:w="995" w:type="dxa"/>
            <w:tcBorders/>
            <w:shd w:fill="CCEEFF" w:val="clear"/>
            <w:vAlign w:val="center"/>
          </w:tcPr>
          <w:p>
            <w:pPr>
              <w:pStyle w:val="TableContents"/>
              <w:bidi w:val="0"/>
              <w:spacing w:lineRule="atLeast" w:line="240" w:before="0" w:after="0"/>
              <w:jc w:val="right"/>
              <w:rPr/>
            </w:pPr>
            <w:r>
              <w:rPr>
                <w:rFonts w:ascii="Times New Roman" w:hAnsi="Times New Roman"/>
                <w:sz w:val="20"/>
              </w:rPr>
              <w:t>3</w:t>
            </w:r>
            <w:r>
              <w:rPr/>
              <w:t xml:space="preserve"> </w:t>
            </w:r>
            <w:r>
              <w:rPr>
                <w:rFonts w:ascii="Times New Roman" w:hAnsi="Times New Roman"/>
                <w:sz w:val="20"/>
              </w:rPr>
              <w:t>- 10</w:t>
            </w:r>
            <w:r>
              <w:rPr/>
              <w:t xml:space="preserve"> </w:t>
            </w:r>
            <w:r>
              <w:rPr>
                <w:rFonts w:ascii="Times New Roman" w:hAnsi="Times New Roman"/>
                <w:sz w:val="20"/>
              </w:rPr>
              <w:t>years</w:t>
            </w:r>
          </w:p>
        </w:tc>
      </w:tr>
      <w:tr>
        <w:trPr/>
        <w:tc>
          <w:tcPr>
            <w:tcW w:w="2330" w:type="dxa"/>
            <w:tcBorders/>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Customer relationships</w:t>
            </w:r>
          </w:p>
        </w:tc>
        <w:tc>
          <w:tcPr>
            <w:tcW w:w="60" w:type="dxa"/>
            <w:tcBorders/>
            <w:vAlign w:val="center"/>
          </w:tcPr>
          <w:p>
            <w:pPr>
              <w:pStyle w:val="TableContents"/>
              <w:bidi w:val="0"/>
              <w:spacing w:lineRule="atLeast" w:line="240" w:before="0" w:after="0"/>
              <w:jc w:val="left"/>
              <w:rPr/>
            </w:pPr>
            <w:r>
              <w:rPr/>
              <w:t> </w:t>
            </w:r>
          </w:p>
        </w:tc>
        <w:tc>
          <w:tcPr>
            <w:tcW w:w="995" w:type="dxa"/>
            <w:tcBorders/>
            <w:vAlign w:val="center"/>
          </w:tcPr>
          <w:p>
            <w:pPr>
              <w:pStyle w:val="TableContents"/>
              <w:bidi w:val="0"/>
              <w:spacing w:lineRule="atLeast" w:line="240" w:before="0" w:after="0"/>
              <w:jc w:val="right"/>
              <w:rPr/>
            </w:pPr>
            <w:r>
              <w:rPr>
                <w:rFonts w:ascii="Times New Roman" w:hAnsi="Times New Roman"/>
                <w:sz w:val="20"/>
              </w:rPr>
              <w:t>2</w:t>
            </w:r>
            <w:r>
              <w:rPr/>
              <w:t xml:space="preserve"> </w:t>
            </w:r>
            <w:r>
              <w:rPr>
                <w:rFonts w:ascii="Times New Roman" w:hAnsi="Times New Roman"/>
                <w:sz w:val="20"/>
              </w:rPr>
              <w:t>- 20</w:t>
            </w:r>
            <w:r>
              <w:rPr/>
              <w:t xml:space="preserve"> </w:t>
            </w:r>
            <w:r>
              <w:rPr>
                <w:rFonts w:ascii="Times New Roman" w:hAnsi="Times New Roman"/>
                <w:sz w:val="20"/>
              </w:rPr>
              <w:t>years</w:t>
            </w:r>
          </w:p>
        </w:tc>
      </w:tr>
    </w:tbl>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w:t>
      </w:r>
      <w:r>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See Note 9, Goodwill and Acquired Intangible Assets, Net, to the Consolidated Financial Statements for additional information regarding the impairment of goodwill and other intangible assets.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Other assets</w:t>
      </w:r>
    </w:p>
    <w:p>
      <w:pPr>
        <w:pStyle w:val="TextBody"/>
        <w:bidi w:val="0"/>
        <w:spacing w:lineRule="atLeast" w:line="240" w:before="0" w:after="0"/>
        <w:jc w:val="both"/>
        <w:rPr/>
      </w:pPr>
      <w:r>
        <w:rPr/>
        <w:t> </w:t>
      </w:r>
    </w:p>
    <w:p>
      <w:pPr>
        <w:pStyle w:val="TextBody"/>
        <w:bidi w:val="0"/>
        <w:spacing w:lineRule="atLeast" w:line="240" w:before="0" w:after="160"/>
        <w:jc w:val="both"/>
        <w:rPr>
          <w:rFonts w:ascii="Times New Roman" w:hAnsi="Times New Roman"/>
          <w:sz w:val="20"/>
        </w:rPr>
      </w:pPr>
      <w:r>
        <w:rPr>
          <w:rFonts w:ascii="Times New Roman" w:hAnsi="Times New Roman"/>
          <w:sz w:val="20"/>
        </w:rPr>
        <w:t xml:space="preserve">Other assets include capitalized software development costs and capitalized payments for new or renewed contracts. </w:t>
      </w:r>
    </w:p>
    <w:p>
      <w:pPr>
        <w:pStyle w:val="TextBody"/>
        <w:bidi w:val="0"/>
        <w:spacing w:lineRule="atLeast" w:line="240" w:before="0" w:after="160"/>
        <w:jc w:val="both"/>
        <w:rPr>
          <w:rFonts w:ascii="Times New Roman" w:hAnsi="Times New Roman"/>
          <w:sz w:val="20"/>
        </w:rPr>
      </w:pPr>
      <w:r>
        <w:rPr>
          <w:rFonts w:ascii="Times New Roman" w:hAnsi="Times New Roman"/>
          <w:sz w:val="20"/>
        </w:rPr>
        <w:t>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pStyle w:val="TextBody"/>
        <w:bidi w:val="0"/>
        <w:spacing w:lineRule="atLeast" w:line="240" w:before="0" w:after="0"/>
        <w:jc w:val="both"/>
        <w:rPr/>
      </w:pPr>
      <w:r>
        <w:rPr>
          <w:rFonts w:ascii="Times New Roman" w:hAnsi="Times New Roman"/>
          <w:sz w:val="20"/>
        </w:rPr>
        <w:t xml:space="preserve">ASC Topic 340, </w:t>
      </w:r>
      <w:r>
        <w:rPr>
          <w:rFonts w:ascii="Times New Roman" w:hAnsi="Times New Roman"/>
          <w:i/>
          <w:sz w:val="20"/>
        </w:rPr>
        <w:t>Other Assets and Deferred Costs</w:t>
      </w:r>
      <w:r>
        <w:rPr/>
        <w:t xml:space="preserve"> </w:t>
      </w:r>
      <w:r>
        <w:rPr>
          <w:rFonts w:ascii="Times New Roman" w:hAnsi="Times New Roman"/>
          <w:sz w:val="20"/>
        </w:rPr>
        <w:t>("ASC 340") requires the deferral of incremental costs to fulfill customer contracts, known as contract assets, which are then amortized to expense as part of direct operating costs over the respective periods of expected benefit. Deferred contract costs are reported on our</w:t>
      </w:r>
      <w:r>
        <w:rPr/>
        <w:t> </w:t>
      </w:r>
      <w:r>
        <w:rPr>
          <w:rFonts w:ascii="Times New Roman" w:hAnsi="Times New Roman"/>
          <w:sz w:val="20"/>
        </w:rPr>
        <w:t>balance sheet within current or non-current other assets based on the expected life of the related contract. At December 31, 2025</w:t>
      </w:r>
      <w:r>
        <w:rPr/>
        <w:t xml:space="preserve"> </w:t>
      </w:r>
      <w:r>
        <w:rPr>
          <w:rFonts w:ascii="Times New Roman" w:hAnsi="Times New Roman"/>
          <w:sz w:val="20"/>
        </w:rPr>
        <w:t>and 2024, we had $97.9</w:t>
      </w:r>
      <w:r>
        <w:rPr/>
        <w:t> </w:t>
      </w:r>
      <w:r>
        <w:rPr>
          <w:rFonts w:ascii="Times New Roman" w:hAnsi="Times New Roman"/>
          <w:sz w:val="20"/>
        </w:rPr>
        <w:t>million and $97.4</w:t>
      </w:r>
      <w:r>
        <w:rPr/>
        <w:t> </w:t>
      </w:r>
      <w:r>
        <w:rPr>
          <w:rFonts w:ascii="Times New Roman" w:hAnsi="Times New Roman"/>
          <w:sz w:val="20"/>
        </w:rPr>
        <w:t>million, respectively, of deferred contract costs. For the years ended December 31, 2025, 2024</w:t>
      </w:r>
      <w:r>
        <w:rPr/>
        <w:t> </w:t>
      </w:r>
      <w:r>
        <w:rPr>
          <w:rFonts w:ascii="Times New Roman" w:hAnsi="Times New Roman"/>
          <w:sz w:val="20"/>
        </w:rPr>
        <w:t xml:space="preserve">and </w:t>
      </w:r>
      <w:r>
        <w:rPr>
          <w:rFonts w:ascii="Times New Roman" w:hAnsi="Times New Roman"/>
          <w:sz w:val="20"/>
          <w:shd w:fill="FFFFFF" w:val="clear"/>
        </w:rPr>
        <w:t>2023</w:t>
      </w:r>
      <w:r>
        <w:rPr>
          <w:rFonts w:ascii="Times New Roman" w:hAnsi="Times New Roman"/>
          <w:sz w:val="20"/>
        </w:rPr>
        <w:t>, we had $29.8</w:t>
      </w:r>
      <w:r>
        <w:rPr/>
        <w:t> </w:t>
      </w:r>
      <w:r>
        <w:rPr>
          <w:rFonts w:ascii="Times New Roman" w:hAnsi="Times New Roman"/>
          <w:sz w:val="20"/>
        </w:rPr>
        <w:t>million, $23.4</w:t>
      </w:r>
      <w:r>
        <w:rPr/>
        <w:t> </w:t>
      </w:r>
      <w:r>
        <w:rPr>
          <w:rFonts w:ascii="Times New Roman" w:hAnsi="Times New Roman"/>
          <w:sz w:val="20"/>
        </w:rPr>
        <w:t>million, and $17.1</w:t>
      </w:r>
      <w:r>
        <w:rPr/>
        <w:t> </w:t>
      </w:r>
      <w:r>
        <w:rPr>
          <w:rFonts w:ascii="Times New Roman" w:hAnsi="Times New Roman"/>
          <w:sz w:val="20"/>
        </w:rPr>
        <w:t>million of amortization related to these costs, respectively. On a quarterly basis we evaluate the carrying amount of contract assets recognized to determine if there are contracts that may have a carrying amount in excess of the remaining future consideration to be received from the contract.</w:t>
      </w:r>
    </w:p>
    <w:p>
      <w:pPr>
        <w:pStyle w:val="TextBody"/>
        <w:bidi w:val="0"/>
        <w:spacing w:lineRule="atLeast" w:line="240" w:before="0" w:after="0"/>
        <w:jc w:val="both"/>
        <w:rPr/>
      </w:pPr>
      <w:r>
        <w:rPr/>
        <w:t> </w:t>
      </w:r>
    </w:p>
    <w:p>
      <w:pPr>
        <w:pStyle w:val="TextBody"/>
        <w:bidi w:val="0"/>
        <w:spacing w:lineRule="atLeast" w:line="240" w:before="0" w:after="160"/>
        <w:jc w:val="both"/>
        <w:rPr>
          <w:rFonts w:ascii="Times New Roman" w:hAnsi="Times New Roman"/>
          <w:b/>
          <w:i/>
          <w:sz w:val="20"/>
        </w:rPr>
      </w:pPr>
      <w:r>
        <w:rPr>
          <w:rFonts w:ascii="Times New Roman" w:hAnsi="Times New Roman"/>
          <w:b/>
          <w:i/>
          <w:sz w:val="20"/>
        </w:rPr>
        <w:t>Income taxes</w:t>
      </w:r>
    </w:p>
    <w:p>
      <w:pPr>
        <w:pStyle w:val="TextBody"/>
        <w:bidi w:val="0"/>
        <w:spacing w:lineRule="atLeast" w:line="240" w:before="0" w:after="0"/>
        <w:jc w:val="both"/>
        <w:rPr>
          <w:rFonts w:ascii="Times New Roman" w:hAnsi="Times New Roman"/>
          <w:sz w:val="20"/>
        </w:rPr>
      </w:pPr>
      <w:r>
        <w:rPr>
          <w:rFonts w:ascii="Times New Roman" w:hAnsi="Times New Roman"/>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 xml:space="preserve">In accordance with ASC Topic 740, </w:t>
      </w:r>
      <w:r>
        <w:rPr>
          <w:rFonts w:ascii="Times New Roman" w:hAnsi="Times New Roman"/>
          <w:i/>
          <w:sz w:val="20"/>
        </w:rPr>
        <w:t>Income Taxes</w:t>
      </w:r>
      <w:r>
        <w:rPr/>
        <w:t xml:space="preserve"> </w:t>
      </w:r>
      <w:r>
        <w:rPr>
          <w:rFonts w:ascii="Times New Roman" w:hAnsi="Times New Roman"/>
          <w:sz w:val="20"/>
        </w:rPr>
        <w:t>("ASC 740"), the Company's policy is to record estimated interest and penalties related to the underpayment of income taxes as income tax expense in the Consolidated Statements of Operations. See Note 15, Income Taxes, to the Consolidated Financial Statements for further discussion regarding these provisions.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Presentation of taxes collected and remitted to governmental authorities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presents taxes collected and remitted to governmental authorities on a net basis in the accompanying Consolidated Statements of Operations.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Fair value measurements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 xml:space="preserve">The Company applies the provisions of ASC Topic 820, </w:t>
      </w:r>
      <w:r>
        <w:rPr>
          <w:rFonts w:ascii="Times New Roman" w:hAnsi="Times New Roman"/>
          <w:i/>
          <w:sz w:val="20"/>
        </w:rPr>
        <w:t>Fair Value Measurements</w:t>
      </w:r>
      <w:r>
        <w:rPr/>
        <w:t xml:space="preserve"> </w:t>
      </w:r>
      <w:r>
        <w:rPr>
          <w:rFonts w:ascii="Times New Roman" w:hAnsi="Times New Roman"/>
          <w:i/>
          <w:sz w:val="20"/>
        </w:rPr>
        <w:t xml:space="preserve">and Disclosures </w:t>
      </w:r>
      <w:r>
        <w:rPr>
          <w:rFonts w:ascii="Times New Roman" w:hAnsi="Times New Roman"/>
          <w:sz w:val="20"/>
        </w:rPr>
        <w:t>("ASC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19, Financial Instruments and Fair Value Measurements, to the Consolidated Financial Statements for the required fair value disclosures.</w:t>
      </w:r>
    </w:p>
    <w:p>
      <w:pPr>
        <w:pStyle w:val="TextBody"/>
        <w:bidi w:val="0"/>
        <w:spacing w:lineRule="atLeast" w:line="240" w:before="0" w:after="0"/>
        <w:jc w:val="both"/>
        <w:rPr/>
      </w:pPr>
      <w:r>
        <w:rPr/>
        <w:t> </w:t>
      </w:r>
    </w:p>
    <w:p>
      <w:pPr>
        <w:pStyle w:val="TextBody"/>
        <w:bidi w:val="0"/>
        <w:spacing w:lineRule="atLeast" w:line="240" w:before="0" w:after="160"/>
        <w:jc w:val="both"/>
        <w:rPr>
          <w:rFonts w:ascii="Times New Roman" w:hAnsi="Times New Roman"/>
          <w:b/>
          <w:i/>
          <w:sz w:val="20"/>
        </w:rPr>
      </w:pPr>
      <w:r>
        <w:rPr>
          <w:rFonts w:ascii="Times New Roman" w:hAnsi="Times New Roman"/>
          <w:b/>
          <w:i/>
          <w:sz w:val="20"/>
        </w:rPr>
        <w:t>Accounting for derivative instruments and hedging activities</w:t>
      </w:r>
    </w:p>
    <w:p>
      <w:pPr>
        <w:pStyle w:val="TextBody"/>
        <w:bidi w:val="0"/>
        <w:spacing w:lineRule="atLeast" w:line="240" w:before="0" w:after="160"/>
        <w:jc w:val="both"/>
        <w:rPr/>
      </w:pPr>
      <w:r>
        <w:rPr>
          <w:rFonts w:ascii="Times New Roman" w:hAnsi="Times New Roman"/>
          <w:sz w:val="20"/>
        </w:rPr>
        <w:t xml:space="preserve">The Company accounts for derivative instruments and hedging activities in accordance with ASC Topic 815, </w:t>
      </w:r>
      <w:r>
        <w:rPr>
          <w:rFonts w:ascii="Times New Roman" w:hAnsi="Times New Roman"/>
          <w:i/>
          <w:sz w:val="20"/>
        </w:rPr>
        <w:t xml:space="preserve">Derivatives and Hedging </w:t>
      </w:r>
      <w:r>
        <w:rPr>
          <w:rFonts w:ascii="Times New Roman" w:hAnsi="Times New Roman"/>
          <w:sz w:val="20"/>
        </w:rPr>
        <w:t>("ASC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Operations.</w:t>
      </w:r>
    </w:p>
    <w:p>
      <w:pPr>
        <w:pStyle w:val="TextBody"/>
        <w:bidi w:val="0"/>
        <w:spacing w:lineRule="atLeast" w:line="240" w:before="0" w:after="0"/>
        <w:jc w:val="both"/>
        <w:rPr>
          <w:rFonts w:ascii="Times New Roman" w:hAnsi="Times New Roman"/>
          <w:sz w:val="20"/>
        </w:rPr>
      </w:pPr>
      <w:r>
        <w:rPr>
          <w:rFonts w:ascii="Times New Roman" w:hAnsi="Times New Roman"/>
          <w:sz w:val="20"/>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13, Derivative Instruments and Hedging Activities, to the Consolidated Financial Statements for further discussion of derivative instruments.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i/>
          <w:sz w:val="20"/>
        </w:rPr>
        <w:t>Share</w:t>
      </w:r>
      <w:r>
        <w:rPr/>
        <w:noBreakHyphen/>
      </w:r>
      <w:r>
        <w:rPr>
          <w:rFonts w:ascii="Times New Roman" w:hAnsi="Times New Roman"/>
          <w:b/>
          <w:i/>
          <w:sz w:val="20"/>
        </w:rPr>
        <w:t>Based Compensation (ASC 718)</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 xml:space="preserve">The Company follows the provisions of ASC Topic 718, Compensation - Stock Compensation ("ASC 718"), for equity classified awards, which requires the determination of the fair value of the share-based compensation at the grant date and subsequent recognition of the related expense over the period in which the share-based compensation is earned ("requisite service period").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adjusted for any changes in probability of achievement of performance condition. The Company has elected to use the "with and without method" when calculating the income tax benefit associated with its share-based payment arrangements. See Note 17, Stock Plans, for further disclosure.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Revenue recognition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recognizes revenue when control of the promised goods or services is transferred to customers in an amount that reflects the consideration the Company expects to be entitled to in exchange for those goods or services. Depending on the nature of the underlying arrangements, revenue may be earned from transaction</w:t>
      </w:r>
      <w:r>
        <w:rPr/>
        <w:noBreakHyphen/>
      </w:r>
      <w:r>
        <w:rPr>
          <w:rFonts w:ascii="Times New Roman" w:hAnsi="Times New Roman"/>
          <w:sz w:val="20"/>
        </w:rPr>
        <w:t>based fees, commissions, foreign exchange margins, or the sale of prepaid products. Sales and usage</w:t>
      </w:r>
      <w:r>
        <w:rPr/>
        <w:noBreakHyphen/>
      </w:r>
      <w:r>
        <w:rPr>
          <w:rFonts w:ascii="Times New Roman" w:hAnsi="Times New Roman"/>
          <w:sz w:val="20"/>
        </w:rPr>
        <w:t>based taxes collected from customers and remitted to governmental authorities are excluded from revenues. The nature of the Company’s performance obligations varies by business segment based on the products and services provided. A description of the major components of revenue and the related performance obligations for each segment is as follows:</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 xml:space="preserve">EFT </w:t>
      </w:r>
    </w:p>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b/>
          <w:sz w:val="20"/>
        </w:rPr>
      </w:pPr>
      <w:r>
        <w:rPr>
          <w:rFonts w:ascii="Times New Roman" w:hAnsi="Times New Roman"/>
          <w:b/>
          <w:sz w:val="20"/>
        </w:rPr>
        <w:t>Nature of performance obligations</w:t>
      </w:r>
    </w:p>
    <w:p>
      <w:pPr>
        <w:pStyle w:val="TextBody"/>
        <w:bidi w:val="0"/>
        <w:spacing w:lineRule="atLeast" w:line="240" w:before="0" w:after="0"/>
        <w:jc w:val="both"/>
        <w:rPr/>
      </w:pPr>
      <w:r>
        <w:rPr>
          <w:rFonts w:ascii="Times New Roman" w:hAnsi="Times New Roman"/>
          <w:sz w:val="20"/>
        </w:rPr>
        <w:t>The Company provides electronic funds transfer processing services, which include routing, authorizing, switching, and completing ATM, POS, and card</w:t>
      </w:r>
      <w:r>
        <w:rPr/>
        <w:noBreakHyphen/>
      </w:r>
      <w:r>
        <w:rPr>
          <w:rFonts w:ascii="Times New Roman" w:hAnsi="Times New Roman"/>
          <w:sz w:val="20"/>
        </w:rPr>
        <w:t>based electronic transactions, as well as operating ATM networks and providing outsourced ATM and card management services. Depending on the arrangement, the Company may also provide ATM monitoring, maintenance, and EFT software solutions.</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For transaction</w:t>
      </w:r>
      <w:r>
        <w:rPr/>
        <w:noBreakHyphen/>
      </w:r>
      <w:r>
        <w:rPr>
          <w:rFonts w:ascii="Times New Roman" w:hAnsi="Times New Roman"/>
          <w:sz w:val="20"/>
        </w:rPr>
        <w:t>based services, the various activities involved in processing a transaction (e.g., authorization, routing, settlement, and related value</w:t>
      </w:r>
      <w:r>
        <w:rPr/>
        <w:noBreakHyphen/>
      </w:r>
      <w:r>
        <w:rPr>
          <w:rFonts w:ascii="Times New Roman" w:hAnsi="Times New Roman"/>
          <w:sz w:val="20"/>
        </w:rPr>
        <w:t>added services) are inputs to a single integrated service that customers cannot benefit from independently. For outsourcing arrangements, ATM management and related services are provided continuously over the contract term and represent a series of distinct periods of service that are substantially the same.</w:t>
      </w:r>
    </w:p>
    <w:p>
      <w:pPr>
        <w:pStyle w:val="TextBody"/>
        <w:bidi w:val="0"/>
        <w:spacing w:lineRule="atLeast" w:line="240" w:before="0" w:after="0"/>
        <w:jc w:val="left"/>
        <w:rPr/>
      </w:pPr>
      <w:r>
        <w:rPr/>
        <w:t> </w:t>
      </w:r>
    </w:p>
    <w:p>
      <w:pPr>
        <w:pStyle w:val="TextBody"/>
        <w:bidi w:val="0"/>
        <w:spacing w:lineRule="atLeast" w:line="240" w:before="0" w:after="120"/>
        <w:jc w:val="left"/>
        <w:rPr>
          <w:rFonts w:ascii="Times New Roman" w:hAnsi="Times New Roman"/>
          <w:b/>
          <w:sz w:val="20"/>
        </w:rPr>
      </w:pPr>
      <w:r>
        <w:rPr>
          <w:rFonts w:ascii="Times New Roman" w:hAnsi="Times New Roman"/>
          <w:b/>
          <w:sz w:val="20"/>
        </w:rPr>
        <w:t>When revenue is recognized</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Transaction</w:t>
      </w:r>
      <w:r>
        <w:rPr/>
        <w:noBreakHyphen/>
      </w:r>
      <w:r>
        <w:rPr>
          <w:rFonts w:ascii="Times New Roman" w:hAnsi="Times New Roman"/>
          <w:sz w:val="20"/>
        </w:rPr>
        <w:t>based services: The Company satisfies its performance obligation at a point in time, which occurs when the electronic transaction is fully processed.</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Outsourcing services: The Company satisfies its performance obligation over time, as customers simultaneously receive and consume the benefits of the ATM management and processing services. Revenue is recognized ratably over the contract term, generally based on fixed monthly fees and/or contracted fee schedules.</w:t>
      </w:r>
    </w:p>
    <w:p>
      <w:pPr>
        <w:pStyle w:val="TextBody"/>
        <w:bidi w:val="0"/>
        <w:spacing w:lineRule="atLeast" w:line="240" w:before="0" w:after="120"/>
        <w:jc w:val="left"/>
        <w:rPr>
          <w:rFonts w:ascii="Times New Roman" w:hAnsi="Times New Roman"/>
          <w:b/>
          <w:sz w:val="20"/>
        </w:rPr>
      </w:pPr>
      <w:r>
        <w:rPr>
          <w:rFonts w:ascii="Times New Roman" w:hAnsi="Times New Roman"/>
          <w:b/>
          <w:sz w:val="20"/>
        </w:rPr>
        <w:t>How revenue is measured</w:t>
      </w:r>
    </w:p>
    <w:p>
      <w:pPr>
        <w:pStyle w:val="TextBody"/>
        <w:bidi w:val="0"/>
        <w:spacing w:lineRule="atLeast" w:line="240" w:before="0" w:after="0"/>
        <w:jc w:val="both"/>
        <w:rPr/>
      </w:pPr>
      <w:r>
        <w:rPr>
          <w:rFonts w:ascii="Times New Roman" w:hAnsi="Times New Roman"/>
          <w:sz w:val="20"/>
        </w:rPr>
        <w:t>Revenue consists primarily of transaction fees, management fees, foreign currency exchange margin on ATM withdrawals, and fees from value</w:t>
      </w:r>
      <w:r>
        <w:rPr/>
        <w:noBreakHyphen/>
      </w:r>
      <w:r>
        <w:rPr>
          <w:rFonts w:ascii="Times New Roman" w:hAnsi="Times New Roman"/>
          <w:sz w:val="20"/>
        </w:rPr>
        <w:t>added services such as dynamic currency conversion and surcharges. The Company acts as principal in these arrangements, as it controls the ATM network or processing services prior to transfer to the customer; accordingly, revenue is recognized on a gross basis.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b/>
          <w:sz w:val="20"/>
        </w:rPr>
      </w:pPr>
      <w:r>
        <w:rPr>
          <w:rFonts w:ascii="Times New Roman" w:hAnsi="Times New Roman"/>
          <w:b/>
          <w:sz w:val="20"/>
        </w:rPr>
        <w:t xml:space="preserve">epay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Nature of performance obligations</w:t>
      </w:r>
    </w:p>
    <w:p>
      <w:pPr>
        <w:pStyle w:val="TextBody"/>
        <w:bidi w:val="0"/>
        <w:spacing w:lineRule="atLeast" w:line="240" w:before="0" w:after="0"/>
        <w:jc w:val="both"/>
        <w:rPr/>
      </w:pPr>
      <w:r>
        <w:rPr>
          <w:rFonts w:ascii="Times New Roman" w:hAnsi="Times New Roman"/>
          <w:sz w:val="20"/>
        </w:rPr>
        <w:t>The Company provides distribution, activation, and electronic processing services for prepaid mobile airtime, digital media products, and other stored</w:t>
      </w:r>
      <w:r>
        <w:rPr/>
        <w:noBreakHyphen/>
      </w:r>
      <w:r>
        <w:rPr>
          <w:rFonts w:ascii="Times New Roman" w:hAnsi="Times New Roman"/>
          <w:sz w:val="20"/>
        </w:rPr>
        <w:t>value goods through a network of POS terminals and direct system integrations. Depending on the arrangement, the Company may act as agent (providing distribution services on behalf of operators or content providers) or as principal (generally in arrangements where the Company controls the product prior to transfer, including where rights of return to vendors exist).</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These activities — including making prepaid products available, processing activations, routing electronic transactions, and providing access to operators’ platforms — are inputs to the Company’s service and support the transfer of either (i) a distribution service (agency model) or (ii) a prepaid product (principal model).</w:t>
      </w:r>
    </w:p>
    <w:p>
      <w:pPr>
        <w:pStyle w:val="TextBody"/>
        <w:bidi w:val="0"/>
        <w:spacing w:lineRule="atLeast" w:line="240" w:before="0" w:after="0"/>
        <w:jc w:val="left"/>
        <w:rPr/>
      </w:pPr>
      <w:r>
        <w:rPr/>
        <w:t> </w:t>
      </w:r>
    </w:p>
    <w:p>
      <w:pPr>
        <w:pStyle w:val="TextBody"/>
        <w:bidi w:val="0"/>
        <w:spacing w:lineRule="atLeast" w:line="240" w:before="0" w:after="120"/>
        <w:jc w:val="left"/>
        <w:rPr>
          <w:rFonts w:ascii="Times New Roman" w:hAnsi="Times New Roman"/>
          <w:b/>
          <w:sz w:val="20"/>
        </w:rPr>
      </w:pPr>
      <w:r>
        <w:rPr>
          <w:rFonts w:ascii="Times New Roman" w:hAnsi="Times New Roman"/>
          <w:b/>
          <w:sz w:val="20"/>
        </w:rPr>
        <w:t>When revenue is recognized</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Distribution and agency services (net): The performance obligation is fulfilled at a point in time, generally when the prepaid product is delivered or activated and the Company earns a commission.</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Principal sales of prepaid products (gross): The performance obligation is fulfilled at a point in time, when control of the prepaid product transfers to the retailer or end customer, typically upon activation or delivery.</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Transaction processing services: The performance obligation is fulfilled at a point in time, when the underlying electronic transaction is fully processed.</w:t>
      </w:r>
    </w:p>
    <w:p>
      <w:pPr>
        <w:pStyle w:val="TextBody"/>
        <w:bidi w:val="0"/>
        <w:spacing w:lineRule="atLeast" w:line="240" w:before="0" w:after="120"/>
        <w:jc w:val="left"/>
        <w:rPr>
          <w:rFonts w:ascii="Times New Roman" w:hAnsi="Times New Roman"/>
          <w:b/>
          <w:sz w:val="20"/>
        </w:rPr>
      </w:pPr>
      <w:r>
        <w:rPr>
          <w:rFonts w:ascii="Times New Roman" w:hAnsi="Times New Roman"/>
          <w:b/>
          <w:sz w:val="20"/>
        </w:rPr>
        <w:t>How revenue is measured</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For agency arrangements, the Company does not control the underlying product and therefore recognizes revenue net of amounts remitted to operators, content providers, or retailers.</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For principal arrangements, the Company controls the prepaid product prior to transfer and therefore recognizes revenue on a gross basis, with the related acquisition cost recorded as a direct operating expense.</w:t>
      </w:r>
    </w:p>
    <w:p>
      <w:pPr>
        <w:pStyle w:val="TextBody"/>
        <w:bidi w:val="0"/>
        <w:spacing w:lineRule="atLeast" w:line="240" w:before="0" w:after="160"/>
        <w:ind w:left="720" w:right="0" w:hanging="360"/>
        <w:jc w:val="both"/>
        <w:rPr/>
      </w:pPr>
      <w:r>
        <w:rPr/>
        <w:t></w:t>
      </w:r>
      <w:r>
        <w:rPr>
          <w:caps w:val="false"/>
          <w:smallCaps w:val="false"/>
        </w:rPr>
        <w:t xml:space="preserve">         </w:t>
      </w:r>
      <w:r>
        <w:rPr>
          <w:rFonts w:ascii="Times New Roman" w:hAnsi="Times New Roman"/>
          <w:sz w:val="20"/>
        </w:rPr>
        <w:t>Transaction processing revenue is recognized based on fees earned per processed transaction, regardless of whether the transaction is completed or declined due to issuer authorization outcomes.</w:t>
      </w:r>
    </w:p>
    <w:p>
      <w:pPr>
        <w:pStyle w:val="TextBody"/>
        <w:bidi w:val="0"/>
        <w:spacing w:lineRule="atLeast" w:line="240" w:before="0" w:after="0"/>
        <w:jc w:val="left"/>
        <w:rPr>
          <w:rFonts w:ascii="Times New Roman" w:hAnsi="Times New Roman"/>
          <w:b/>
          <w:sz w:val="20"/>
        </w:rPr>
      </w:pPr>
      <w:r>
        <w:rPr>
          <w:rFonts w:ascii="Times New Roman" w:hAnsi="Times New Roman"/>
          <w:b/>
          <w:sz w:val="20"/>
        </w:rPr>
        <w:t>Money Transfer:</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Nature of performance obligation</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provides a single, integrated money transfer service that enables a sender to transfer funds to a designated recipient through the Company’s global origination and payout network. The service encompasses (i) accepting and validating the transfer request, (ii) routing and processing the transaction through the Company’s systems, (iii) transmitting the necessary information to payout partners, (iv) performing foreign currency conversion when required, and (v) making funds available for payout at the destination. These activities are inputs to the same overall service and are not distinct within the context of the contract because customers cannot benefit from them on a standalone basis.</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When revenue is recognized</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satisfies its performance obligation at a point in time, which occurs when the transaction is fully processed and funds are made available for payout to the recipient. At that point, control of the service has transferred to the customer.</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How revenue is measured</w:t>
      </w:r>
    </w:p>
    <w:p>
      <w:pPr>
        <w:pStyle w:val="TextBody"/>
        <w:bidi w:val="0"/>
        <w:spacing w:lineRule="atLeast" w:line="240" w:before="0" w:after="0"/>
        <w:jc w:val="both"/>
        <w:rPr/>
      </w:pPr>
      <w:r>
        <w:rPr>
          <w:rFonts w:ascii="Times New Roman" w:hAnsi="Times New Roman"/>
          <w:sz w:val="20"/>
        </w:rPr>
        <w:t>Revenue consists of (a) transaction fees charged to customers and (b) foreign exchange margins earned when converting currency at retail rates relative to wholesale acquisition costs. Foreign exchange is not a separate performance obligation; it is an integral component of the end</w:t>
      </w:r>
      <w:r>
        <w:rPr/>
        <w:noBreakHyphen/>
      </w:r>
      <w:r>
        <w:rPr>
          <w:rFonts w:ascii="Times New Roman" w:hAnsi="Times New Roman"/>
          <w:sz w:val="20"/>
        </w:rPr>
        <w:t>to</w:t>
      </w:r>
      <w:r>
        <w:rPr/>
        <w:noBreakHyphen/>
      </w:r>
      <w:r>
        <w:rPr>
          <w:rFonts w:ascii="Times New Roman" w:hAnsi="Times New Roman"/>
          <w:sz w:val="20"/>
        </w:rPr>
        <w:t>end money transfer service. Amounts owed to origination and distribution agents for facilitating the sending and payout of funds are treated as direct operating costs of fulfilling the Company’s single performance obligation.</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Principal considerations</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acts as principal in money transfer transactions because it controls the service prior to transfer to the customer, including discretion over the routing of transactions, the payout network used, and the terms of currency conversion. Accordingly, revenue is presented gross of agent commissions and other amounts remitted to payout partners, which are recorded in direct operating costs.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i/>
          <w:sz w:val="20"/>
        </w:rPr>
        <w:t>Revenues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Deferred Revenues - The Company records deferred revenues when cash payments are received or due in advance of its performance. The increase in the deferred revenue balance for the year ended December 31, 2025</w:t>
      </w:r>
      <w:r>
        <w:rPr/>
        <w:t> </w:t>
      </w:r>
      <w:r>
        <w:rPr>
          <w:rFonts w:ascii="Times New Roman" w:hAnsi="Times New Roman"/>
          <w:sz w:val="20"/>
        </w:rPr>
        <w:t>was primarily driven by $42.1</w:t>
      </w:r>
      <w:r>
        <w:rPr/>
        <w:t xml:space="preserve"> </w:t>
      </w:r>
      <w:r>
        <w:rPr>
          <w:rFonts w:ascii="Times New Roman" w:hAnsi="Times New Roman"/>
          <w:sz w:val="20"/>
        </w:rPr>
        <w:t>million of cash payments received in the current year for which the Company has not yet satisfied the performance obligations, offset by</w:t>
      </w:r>
      <w:r>
        <w:rPr/>
        <w:t> </w:t>
      </w:r>
      <w:r>
        <w:rPr>
          <w:rFonts w:ascii="Times New Roman" w:hAnsi="Times New Roman"/>
          <w:sz w:val="20"/>
        </w:rPr>
        <w:t>$38.5</w:t>
      </w:r>
      <w:r>
        <w:rPr/>
        <w:t> </w:t>
      </w:r>
      <w:r>
        <w:rPr>
          <w:rFonts w:ascii="Times New Roman" w:hAnsi="Times New Roman"/>
          <w:sz w:val="20"/>
        </w:rPr>
        <w:t>million of revenues recognized that were included in the deferred revenue balance as of December 31, 2024.</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Disaggregation of Revenues -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w:t>
      </w:r>
      <w:r>
        <w:rPr/>
        <w:t> </w:t>
      </w:r>
      <w:r>
        <w:rPr>
          <w:rFonts w:ascii="Times New Roman" w:hAnsi="Times New Roman"/>
          <w:sz w:val="20"/>
        </w:rPr>
        <w:t>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pStyle w:val="TextBody"/>
        <w:bidi w:val="0"/>
        <w:spacing w:lineRule="atLeast" w:line="240" w:before="0" w:after="0"/>
        <w:jc w:val="both"/>
        <w:rPr/>
      </w:pPr>
      <w:r>
        <w:rPr/>
        <w:t> </w:t>
      </w:r>
    </w:p>
    <w:tbl>
      <w:tblPr>
        <w:tblW w:w="5268" w:type="dxa"/>
        <w:jc w:val="left"/>
        <w:tblInd w:w="0" w:type="dxa"/>
        <w:tblLayout w:type="fixed"/>
        <w:tblCellMar>
          <w:top w:w="0" w:type="dxa"/>
          <w:left w:w="0" w:type="dxa"/>
          <w:bottom w:w="0" w:type="dxa"/>
          <w:right w:w="0" w:type="dxa"/>
        </w:tblCellMar>
      </w:tblPr>
      <w:tblGrid>
        <w:gridCol w:w="1220"/>
        <w:gridCol w:w="188"/>
        <w:gridCol w:w="956"/>
        <w:gridCol w:w="60"/>
        <w:gridCol w:w="125"/>
        <w:gridCol w:w="635"/>
        <w:gridCol w:w="60"/>
        <w:gridCol w:w="195"/>
        <w:gridCol w:w="994"/>
        <w:gridCol w:w="60"/>
        <w:gridCol w:w="125"/>
        <w:gridCol w:w="650"/>
      </w:tblGrid>
      <w:tr>
        <w:trPr/>
        <w:tc>
          <w:tcPr>
            <w:tcW w:w="1220" w:type="dxa"/>
            <w:tcBorders/>
            <w:vAlign w:val="center"/>
          </w:tcPr>
          <w:p>
            <w:pPr>
              <w:pStyle w:val="TableContents"/>
              <w:bidi w:val="0"/>
              <w:spacing w:lineRule="atLeast" w:line="240" w:before="0" w:after="0"/>
              <w:jc w:val="left"/>
              <w:rPr/>
            </w:pPr>
            <w:r>
              <w:rPr/>
              <w:t> </w:t>
            </w:r>
          </w:p>
        </w:tc>
        <w:tc>
          <w:tcPr>
            <w:tcW w:w="4048" w:type="dxa"/>
            <w:gridSpan w:val="11"/>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For the Year Ended December 31, 2025</w:t>
            </w:r>
          </w:p>
        </w:tc>
      </w:tr>
      <w:tr>
        <w:trPr/>
        <w:tc>
          <w:tcPr>
            <w:tcW w:w="1220" w:type="dxa"/>
            <w:tcBorders/>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11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18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7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Total</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Europe</w:t>
            </w:r>
          </w:p>
        </w:tc>
        <w:tc>
          <w:tcPr>
            <w:tcW w:w="188"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56"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927.8</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806.9</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94"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779.1</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2,513.8</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North America</w:t>
            </w:r>
          </w:p>
        </w:tc>
        <w:tc>
          <w:tcPr>
            <w:tcW w:w="188" w:type="dxa"/>
            <w:tcBorders/>
            <w:shd w:fill="FFFFFF" w:val="clear"/>
            <w:vAlign w:val="center"/>
          </w:tcPr>
          <w:p>
            <w:pPr>
              <w:pStyle w:val="TableContents"/>
              <w:bidi w:val="0"/>
              <w:spacing w:lineRule="atLeast" w:line="240" w:before="0" w:after="0"/>
              <w:jc w:val="left"/>
              <w:rPr/>
            </w:pPr>
            <w:r>
              <w:rPr/>
              <w:t> </w:t>
            </w:r>
          </w:p>
        </w:tc>
        <w:tc>
          <w:tcPr>
            <w:tcW w:w="956"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91.0</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176.3</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shd w:fill="FFFFFF" w:val="clear"/>
            <w:vAlign w:val="center"/>
          </w:tcPr>
          <w:p>
            <w:pPr>
              <w:pStyle w:val="TableContents"/>
              <w:bidi w:val="0"/>
              <w:spacing w:lineRule="atLeast" w:line="240" w:before="0" w:after="0"/>
              <w:jc w:val="left"/>
              <w:rPr/>
            </w:pPr>
            <w:r>
              <w:rPr/>
              <w:t> </w:t>
            </w:r>
          </w:p>
        </w:tc>
        <w:tc>
          <w:tcPr>
            <w:tcW w:w="99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799.7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1,067.0</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Asia Pacific</w:t>
            </w:r>
          </w:p>
        </w:tc>
        <w:tc>
          <w:tcPr>
            <w:tcW w:w="188" w:type="dxa"/>
            <w:tcBorders/>
            <w:shd w:fill="CCEEFF" w:val="clear"/>
            <w:vAlign w:val="center"/>
          </w:tcPr>
          <w:p>
            <w:pPr>
              <w:pStyle w:val="TableContents"/>
              <w:bidi w:val="0"/>
              <w:spacing w:lineRule="atLeast" w:line="240" w:before="0" w:after="0"/>
              <w:jc w:val="left"/>
              <w:rPr/>
            </w:pPr>
            <w:r>
              <w:rPr/>
              <w:t> </w:t>
            </w:r>
          </w:p>
        </w:tc>
        <w:tc>
          <w:tcPr>
            <w:tcW w:w="956"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229.1</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155.2</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shd w:fill="CCEEFF" w:val="clear"/>
            <w:vAlign w:val="center"/>
          </w:tcPr>
          <w:p>
            <w:pPr>
              <w:pStyle w:val="TableContents"/>
              <w:bidi w:val="0"/>
              <w:spacing w:lineRule="atLeast" w:line="240" w:before="0" w:after="0"/>
              <w:jc w:val="left"/>
              <w:rPr/>
            </w:pPr>
            <w:r>
              <w:rPr/>
              <w:t> </w:t>
            </w:r>
          </w:p>
        </w:tc>
        <w:tc>
          <w:tcPr>
            <w:tcW w:w="994"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133.3</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517.6</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Other</w:t>
            </w:r>
          </w:p>
        </w:tc>
        <w:tc>
          <w:tcPr>
            <w:tcW w:w="188" w:type="dxa"/>
            <w:tcBorders/>
            <w:shd w:fill="FFFFFF" w:val="clear"/>
            <w:vAlign w:val="center"/>
          </w:tcPr>
          <w:p>
            <w:pPr>
              <w:pStyle w:val="TableContents"/>
              <w:bidi w:val="0"/>
              <w:spacing w:lineRule="atLeast" w:line="240" w:before="0" w:after="0"/>
              <w:jc w:val="left"/>
              <w:rPr/>
            </w:pPr>
            <w:r>
              <w:rPr/>
              <w:t> </w:t>
            </w:r>
          </w:p>
        </w:tc>
        <w:tc>
          <w:tcPr>
            <w:tcW w:w="956"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35.8</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49.2</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shd w:fill="FFFFFF" w:val="clear"/>
            <w:vAlign w:val="center"/>
          </w:tcPr>
          <w:p>
            <w:pPr>
              <w:pStyle w:val="TableContents"/>
              <w:bidi w:val="0"/>
              <w:spacing w:lineRule="atLeast" w:line="240" w:before="0" w:after="0"/>
              <w:jc w:val="left"/>
              <w:rPr/>
            </w:pPr>
            <w:r>
              <w:rPr/>
              <w:t> </w:t>
            </w:r>
          </w:p>
        </w:tc>
        <w:tc>
          <w:tcPr>
            <w:tcW w:w="99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70.3</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155.3</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Eliminations</w:t>
            </w:r>
          </w:p>
        </w:tc>
        <w:tc>
          <w:tcPr>
            <w:tcW w:w="188"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956"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(9.5)</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w:t>
            </w:r>
          </w:p>
        </w:tc>
        <w:tc>
          <w:tcPr>
            <w:tcW w:w="18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5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1,283.7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1,187.6</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9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1,782.4</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4,244.2</w:t>
            </w:r>
          </w:p>
        </w:tc>
      </w:tr>
    </w:tbl>
    <w:p>
      <w:pPr>
        <w:pStyle w:val="TextBody"/>
        <w:bidi w:val="0"/>
        <w:spacing w:lineRule="atLeast" w:line="240" w:before="0" w:after="0"/>
        <w:jc w:val="center"/>
        <w:rPr/>
      </w:pPr>
      <w:r>
        <w:rPr/>
        <w:t> </w:t>
      </w:r>
    </w:p>
    <w:tbl>
      <w:tblPr>
        <w:tblW w:w="5268" w:type="dxa"/>
        <w:jc w:val="left"/>
        <w:tblInd w:w="0" w:type="dxa"/>
        <w:tblLayout w:type="fixed"/>
        <w:tblCellMar>
          <w:top w:w="0" w:type="dxa"/>
          <w:left w:w="0" w:type="dxa"/>
          <w:bottom w:w="0" w:type="dxa"/>
          <w:right w:w="0" w:type="dxa"/>
        </w:tblCellMar>
      </w:tblPr>
      <w:tblGrid>
        <w:gridCol w:w="1220"/>
        <w:gridCol w:w="188"/>
        <w:gridCol w:w="956"/>
        <w:gridCol w:w="60"/>
        <w:gridCol w:w="125"/>
        <w:gridCol w:w="635"/>
        <w:gridCol w:w="60"/>
        <w:gridCol w:w="195"/>
        <w:gridCol w:w="994"/>
        <w:gridCol w:w="60"/>
        <w:gridCol w:w="125"/>
        <w:gridCol w:w="650"/>
      </w:tblGrid>
      <w:tr>
        <w:trPr/>
        <w:tc>
          <w:tcPr>
            <w:tcW w:w="1220" w:type="dxa"/>
            <w:tcBorders/>
            <w:vAlign w:val="center"/>
          </w:tcPr>
          <w:p>
            <w:pPr>
              <w:pStyle w:val="TableContents"/>
              <w:bidi w:val="0"/>
              <w:spacing w:lineRule="atLeast" w:line="240" w:before="0" w:after="0"/>
              <w:jc w:val="left"/>
              <w:rPr/>
            </w:pPr>
            <w:r>
              <w:rPr/>
              <w:t> </w:t>
            </w:r>
          </w:p>
        </w:tc>
        <w:tc>
          <w:tcPr>
            <w:tcW w:w="4048" w:type="dxa"/>
            <w:gridSpan w:val="11"/>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For the Year Ended December 31, 2024</w:t>
            </w:r>
          </w:p>
        </w:tc>
      </w:tr>
      <w:tr>
        <w:trPr/>
        <w:tc>
          <w:tcPr>
            <w:tcW w:w="1220" w:type="dxa"/>
            <w:tcBorders/>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11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EFT Processing</w:t>
            </w:r>
          </w:p>
        </w:tc>
        <w:tc>
          <w:tcPr>
            <w:tcW w:w="60" w:type="dxa"/>
            <w:tcBorders/>
            <w:vAlign w:val="center"/>
          </w:tcPr>
          <w:p>
            <w:pPr>
              <w:pStyle w:val="TableContents"/>
              <w:bidi w:val="0"/>
              <w:spacing w:lineRule="atLeast" w:line="240" w:before="0" w:after="0"/>
              <w:jc w:val="left"/>
              <w:rPr/>
            </w:pPr>
            <w:r>
              <w:rPr/>
              <w:t> </w:t>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epay</w:t>
            </w:r>
          </w:p>
        </w:tc>
        <w:tc>
          <w:tcPr>
            <w:tcW w:w="60" w:type="dxa"/>
            <w:tcBorders/>
            <w:vAlign w:val="center"/>
          </w:tcPr>
          <w:p>
            <w:pPr>
              <w:pStyle w:val="TableContents"/>
              <w:bidi w:val="0"/>
              <w:spacing w:lineRule="atLeast" w:line="240" w:before="0" w:after="0"/>
              <w:jc w:val="left"/>
              <w:rPr/>
            </w:pPr>
            <w:r>
              <w:rPr/>
              <w:t> </w:t>
            </w:r>
          </w:p>
        </w:tc>
        <w:tc>
          <w:tcPr>
            <w:tcW w:w="118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Money Transfer</w:t>
            </w:r>
          </w:p>
        </w:tc>
        <w:tc>
          <w:tcPr>
            <w:tcW w:w="60" w:type="dxa"/>
            <w:tcBorders/>
            <w:vAlign w:val="center"/>
          </w:tcPr>
          <w:p>
            <w:pPr>
              <w:pStyle w:val="TableContents"/>
              <w:bidi w:val="0"/>
              <w:spacing w:lineRule="atLeast" w:line="240" w:before="0" w:after="0"/>
              <w:jc w:val="left"/>
              <w:rPr/>
            </w:pPr>
            <w:r>
              <w:rPr/>
              <w:t> </w:t>
            </w:r>
          </w:p>
        </w:tc>
        <w:tc>
          <w:tcPr>
            <w:tcW w:w="7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Total</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Europe</w:t>
            </w:r>
          </w:p>
        </w:tc>
        <w:tc>
          <w:tcPr>
            <w:tcW w:w="188"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56"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856.2</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748.8</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94"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704.7</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2,309.7</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North America</w:t>
            </w:r>
          </w:p>
        </w:tc>
        <w:tc>
          <w:tcPr>
            <w:tcW w:w="188" w:type="dxa"/>
            <w:tcBorders/>
            <w:shd w:fill="FFFFFF" w:val="clear"/>
            <w:vAlign w:val="center"/>
          </w:tcPr>
          <w:p>
            <w:pPr>
              <w:pStyle w:val="TableContents"/>
              <w:bidi w:val="0"/>
              <w:spacing w:lineRule="atLeast" w:line="240" w:before="0" w:after="0"/>
              <w:jc w:val="left"/>
              <w:rPr/>
            </w:pPr>
            <w:r>
              <w:rPr/>
              <w:t> </w:t>
            </w:r>
          </w:p>
        </w:tc>
        <w:tc>
          <w:tcPr>
            <w:tcW w:w="956"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73.2</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195.9</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shd w:fill="FFFFFF" w:val="clear"/>
            <w:vAlign w:val="center"/>
          </w:tcPr>
          <w:p>
            <w:pPr>
              <w:pStyle w:val="TableContents"/>
              <w:bidi w:val="0"/>
              <w:spacing w:lineRule="atLeast" w:line="240" w:before="0" w:after="0"/>
              <w:jc w:val="left"/>
              <w:rPr/>
            </w:pPr>
            <w:r>
              <w:rPr/>
              <w:t> </w:t>
            </w:r>
          </w:p>
        </w:tc>
        <w:tc>
          <w:tcPr>
            <w:tcW w:w="99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783.9</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1,053.0</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Asia Pacific</w:t>
            </w:r>
          </w:p>
        </w:tc>
        <w:tc>
          <w:tcPr>
            <w:tcW w:w="188" w:type="dxa"/>
            <w:tcBorders/>
            <w:shd w:fill="CCEEFF" w:val="clear"/>
            <w:vAlign w:val="center"/>
          </w:tcPr>
          <w:p>
            <w:pPr>
              <w:pStyle w:val="TableContents"/>
              <w:bidi w:val="0"/>
              <w:spacing w:lineRule="atLeast" w:line="240" w:before="0" w:after="0"/>
              <w:jc w:val="left"/>
              <w:rPr/>
            </w:pPr>
            <w:r>
              <w:rPr/>
              <w:t> </w:t>
            </w:r>
          </w:p>
        </w:tc>
        <w:tc>
          <w:tcPr>
            <w:tcW w:w="956"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214.1</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155.2</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shd w:fill="CCEEFF" w:val="clear"/>
            <w:vAlign w:val="center"/>
          </w:tcPr>
          <w:p>
            <w:pPr>
              <w:pStyle w:val="TableContents"/>
              <w:bidi w:val="0"/>
              <w:spacing w:lineRule="atLeast" w:line="240" w:before="0" w:after="0"/>
              <w:jc w:val="left"/>
              <w:rPr/>
            </w:pPr>
            <w:r>
              <w:rPr/>
              <w:t> </w:t>
            </w:r>
          </w:p>
        </w:tc>
        <w:tc>
          <w:tcPr>
            <w:tcW w:w="994"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129.1</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498.4</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Other</w:t>
            </w:r>
          </w:p>
        </w:tc>
        <w:tc>
          <w:tcPr>
            <w:tcW w:w="188" w:type="dxa"/>
            <w:tcBorders/>
            <w:shd w:fill="FFFFFF" w:val="clear"/>
            <w:vAlign w:val="center"/>
          </w:tcPr>
          <w:p>
            <w:pPr>
              <w:pStyle w:val="TableContents"/>
              <w:bidi w:val="0"/>
              <w:spacing w:lineRule="atLeast" w:line="240" w:before="0" w:after="0"/>
              <w:jc w:val="left"/>
              <w:rPr/>
            </w:pPr>
            <w:r>
              <w:rPr/>
              <w:t> </w:t>
            </w:r>
          </w:p>
        </w:tc>
        <w:tc>
          <w:tcPr>
            <w:tcW w:w="956"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50.6</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shd w:fill="FFFFFF" w:val="clear"/>
            <w:vAlign w:val="center"/>
          </w:tcPr>
          <w:p>
            <w:pPr>
              <w:pStyle w:val="TableContents"/>
              <w:bidi w:val="0"/>
              <w:spacing w:lineRule="atLeast" w:line="240" w:before="0" w:after="0"/>
              <w:jc w:val="left"/>
              <w:rPr/>
            </w:pPr>
            <w:r>
              <w:rPr/>
              <w:t> </w:t>
            </w:r>
          </w:p>
        </w:tc>
        <w:tc>
          <w:tcPr>
            <w:tcW w:w="99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68.8</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137.1</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Eliminations</w:t>
            </w:r>
          </w:p>
        </w:tc>
        <w:tc>
          <w:tcPr>
            <w:tcW w:w="188"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956"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(8.4)</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w:t>
            </w:r>
          </w:p>
        </w:tc>
        <w:tc>
          <w:tcPr>
            <w:tcW w:w="18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5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1,161.2</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1,150.5</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9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1,686.5</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3,989.8</w:t>
            </w:r>
          </w:p>
        </w:tc>
      </w:tr>
    </w:tbl>
    <w:p>
      <w:pPr>
        <w:pStyle w:val="TextBody"/>
        <w:bidi w:val="0"/>
        <w:spacing w:lineRule="atLeast" w:line="240" w:before="0" w:after="0"/>
        <w:jc w:val="both"/>
        <w:rPr/>
      </w:pPr>
      <w:r>
        <w:rPr/>
        <w:t> </w:t>
      </w:r>
    </w:p>
    <w:tbl>
      <w:tblPr>
        <w:tblW w:w="5268" w:type="dxa"/>
        <w:jc w:val="left"/>
        <w:tblInd w:w="0" w:type="dxa"/>
        <w:tblLayout w:type="fixed"/>
        <w:tblCellMar>
          <w:top w:w="0" w:type="dxa"/>
          <w:left w:w="0" w:type="dxa"/>
          <w:bottom w:w="0" w:type="dxa"/>
          <w:right w:w="0" w:type="dxa"/>
        </w:tblCellMar>
      </w:tblPr>
      <w:tblGrid>
        <w:gridCol w:w="1220"/>
        <w:gridCol w:w="188"/>
        <w:gridCol w:w="956"/>
        <w:gridCol w:w="60"/>
        <w:gridCol w:w="125"/>
        <w:gridCol w:w="635"/>
        <w:gridCol w:w="60"/>
        <w:gridCol w:w="195"/>
        <w:gridCol w:w="994"/>
        <w:gridCol w:w="60"/>
        <w:gridCol w:w="125"/>
        <w:gridCol w:w="650"/>
      </w:tblGrid>
      <w:tr>
        <w:trPr/>
        <w:tc>
          <w:tcPr>
            <w:tcW w:w="1220" w:type="dxa"/>
            <w:tcBorders/>
            <w:vAlign w:val="center"/>
          </w:tcPr>
          <w:p>
            <w:pPr>
              <w:pStyle w:val="TableContents"/>
              <w:bidi w:val="0"/>
              <w:spacing w:lineRule="atLeast" w:line="240" w:before="0" w:after="0"/>
              <w:jc w:val="left"/>
              <w:rPr/>
            </w:pPr>
            <w:r>
              <w:rPr/>
              <w:t> </w:t>
            </w:r>
          </w:p>
        </w:tc>
        <w:tc>
          <w:tcPr>
            <w:tcW w:w="4048" w:type="dxa"/>
            <w:gridSpan w:val="11"/>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For the Year Ended December 31, 2023</w:t>
            </w:r>
          </w:p>
        </w:tc>
      </w:tr>
      <w:tr>
        <w:trPr/>
        <w:tc>
          <w:tcPr>
            <w:tcW w:w="1220" w:type="dxa"/>
            <w:tcBorders/>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11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EFT Processing</w:t>
            </w:r>
          </w:p>
        </w:tc>
        <w:tc>
          <w:tcPr>
            <w:tcW w:w="60" w:type="dxa"/>
            <w:tcBorders/>
            <w:vAlign w:val="center"/>
          </w:tcPr>
          <w:p>
            <w:pPr>
              <w:pStyle w:val="TableContents"/>
              <w:bidi w:val="0"/>
              <w:spacing w:lineRule="atLeast" w:line="240" w:before="0" w:after="0"/>
              <w:jc w:val="left"/>
              <w:rPr/>
            </w:pPr>
            <w:r>
              <w:rPr/>
              <w:t> </w:t>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epay</w:t>
            </w:r>
          </w:p>
        </w:tc>
        <w:tc>
          <w:tcPr>
            <w:tcW w:w="60" w:type="dxa"/>
            <w:tcBorders/>
            <w:vAlign w:val="center"/>
          </w:tcPr>
          <w:p>
            <w:pPr>
              <w:pStyle w:val="TableContents"/>
              <w:bidi w:val="0"/>
              <w:spacing w:lineRule="atLeast" w:line="240" w:before="0" w:after="0"/>
              <w:jc w:val="left"/>
              <w:rPr/>
            </w:pPr>
            <w:r>
              <w:rPr/>
              <w:t> </w:t>
            </w:r>
          </w:p>
        </w:tc>
        <w:tc>
          <w:tcPr>
            <w:tcW w:w="118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Money Transfer</w:t>
            </w:r>
          </w:p>
        </w:tc>
        <w:tc>
          <w:tcPr>
            <w:tcW w:w="60" w:type="dxa"/>
            <w:tcBorders/>
            <w:vAlign w:val="center"/>
          </w:tcPr>
          <w:p>
            <w:pPr>
              <w:pStyle w:val="TableContents"/>
              <w:bidi w:val="0"/>
              <w:spacing w:lineRule="atLeast" w:line="240" w:before="0" w:after="0"/>
              <w:jc w:val="left"/>
              <w:rPr/>
            </w:pPr>
            <w:r>
              <w:rPr/>
              <w:t> </w:t>
            </w:r>
          </w:p>
        </w:tc>
        <w:tc>
          <w:tcPr>
            <w:tcW w:w="7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Total</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Europe</w:t>
            </w:r>
          </w:p>
        </w:tc>
        <w:tc>
          <w:tcPr>
            <w:tcW w:w="188"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56"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817.2</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717.1</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94"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647.7</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2,182.0</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North America</w:t>
            </w:r>
          </w:p>
        </w:tc>
        <w:tc>
          <w:tcPr>
            <w:tcW w:w="188" w:type="dxa"/>
            <w:tcBorders/>
            <w:shd w:fill="FFFFFF" w:val="clear"/>
            <w:vAlign w:val="center"/>
          </w:tcPr>
          <w:p>
            <w:pPr>
              <w:pStyle w:val="TableContents"/>
              <w:bidi w:val="0"/>
              <w:spacing w:lineRule="atLeast" w:line="240" w:before="0" w:after="0"/>
              <w:jc w:val="left"/>
              <w:rPr/>
            </w:pPr>
            <w:r>
              <w:rPr/>
              <w:t> </w:t>
            </w:r>
          </w:p>
        </w:tc>
        <w:tc>
          <w:tcPr>
            <w:tcW w:w="956"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72.8</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172.6</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shd w:fill="FFFFFF" w:val="clear"/>
            <w:vAlign w:val="center"/>
          </w:tcPr>
          <w:p>
            <w:pPr>
              <w:pStyle w:val="TableContents"/>
              <w:bidi w:val="0"/>
              <w:spacing w:lineRule="atLeast" w:line="240" w:before="0" w:after="0"/>
              <w:jc w:val="left"/>
              <w:rPr/>
            </w:pPr>
            <w:r>
              <w:rPr/>
              <w:t> </w:t>
            </w:r>
          </w:p>
        </w:tc>
        <w:tc>
          <w:tcPr>
            <w:tcW w:w="99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728.9</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974.3</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Asia Pacific</w:t>
            </w:r>
          </w:p>
        </w:tc>
        <w:tc>
          <w:tcPr>
            <w:tcW w:w="188" w:type="dxa"/>
            <w:tcBorders/>
            <w:shd w:fill="CCEEFF" w:val="clear"/>
            <w:vAlign w:val="center"/>
          </w:tcPr>
          <w:p>
            <w:pPr>
              <w:pStyle w:val="TableContents"/>
              <w:bidi w:val="0"/>
              <w:spacing w:lineRule="atLeast" w:line="240" w:before="0" w:after="0"/>
              <w:jc w:val="left"/>
              <w:rPr/>
            </w:pPr>
            <w:r>
              <w:rPr/>
              <w:t> </w:t>
            </w:r>
          </w:p>
        </w:tc>
        <w:tc>
          <w:tcPr>
            <w:tcW w:w="956"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160.2</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137.5</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shd w:fill="CCEEFF" w:val="clear"/>
            <w:vAlign w:val="center"/>
          </w:tcPr>
          <w:p>
            <w:pPr>
              <w:pStyle w:val="TableContents"/>
              <w:bidi w:val="0"/>
              <w:spacing w:lineRule="atLeast" w:line="240" w:before="0" w:after="0"/>
              <w:jc w:val="left"/>
              <w:rPr/>
            </w:pPr>
            <w:r>
              <w:rPr/>
              <w:t> </w:t>
            </w:r>
          </w:p>
        </w:tc>
        <w:tc>
          <w:tcPr>
            <w:tcW w:w="994"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112.8</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410.5</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Other</w:t>
            </w:r>
          </w:p>
        </w:tc>
        <w:tc>
          <w:tcPr>
            <w:tcW w:w="188" w:type="dxa"/>
            <w:tcBorders/>
            <w:shd w:fill="FFFFFF" w:val="clear"/>
            <w:vAlign w:val="center"/>
          </w:tcPr>
          <w:p>
            <w:pPr>
              <w:pStyle w:val="TableContents"/>
              <w:bidi w:val="0"/>
              <w:spacing w:lineRule="atLeast" w:line="240" w:before="0" w:after="0"/>
              <w:jc w:val="left"/>
              <w:rPr/>
            </w:pPr>
            <w:r>
              <w:rPr/>
              <w:t> </w:t>
            </w:r>
          </w:p>
        </w:tc>
        <w:tc>
          <w:tcPr>
            <w:tcW w:w="956"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55.2</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shd w:fill="FFFFFF" w:val="clear"/>
            <w:vAlign w:val="center"/>
          </w:tcPr>
          <w:p>
            <w:pPr>
              <w:pStyle w:val="TableContents"/>
              <w:bidi w:val="0"/>
              <w:spacing w:lineRule="atLeast" w:line="240" w:before="0" w:after="0"/>
              <w:jc w:val="left"/>
              <w:rPr/>
            </w:pPr>
            <w:r>
              <w:rPr/>
              <w:t> </w:t>
            </w:r>
          </w:p>
        </w:tc>
        <w:tc>
          <w:tcPr>
            <w:tcW w:w="994"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65.8</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129.1</w:t>
            </w:r>
          </w:p>
        </w:tc>
      </w:tr>
      <w:tr>
        <w:trPr/>
        <w:tc>
          <w:tcPr>
            <w:tcW w:w="12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Eliminations</w:t>
            </w:r>
          </w:p>
        </w:tc>
        <w:tc>
          <w:tcPr>
            <w:tcW w:w="188"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956"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(7.9)</w:t>
            </w:r>
          </w:p>
        </w:tc>
      </w:tr>
      <w:tr>
        <w:trPr/>
        <w:tc>
          <w:tcPr>
            <w:tcW w:w="12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w:t>
            </w:r>
          </w:p>
        </w:tc>
        <w:tc>
          <w:tcPr>
            <w:tcW w:w="18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5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1,058.3</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1,082.4</w:t>
            </w:r>
          </w:p>
        </w:tc>
        <w:tc>
          <w:tcPr>
            <w:tcW w:w="60" w:type="dxa"/>
            <w:tcBorders/>
            <w:shd w:fill="FFFFFF" w:val="clear"/>
            <w:vAlign w:val="center"/>
          </w:tcPr>
          <w:p>
            <w:pPr>
              <w:pStyle w:val="TableContents"/>
              <w:bidi w:val="0"/>
              <w:spacing w:lineRule="atLeast" w:line="240" w:before="0" w:after="0"/>
              <w:jc w:val="left"/>
              <w:rPr/>
            </w:pPr>
            <w:r>
              <w:rPr/>
              <w:t> </w:t>
            </w:r>
          </w:p>
        </w:tc>
        <w:tc>
          <w:tcPr>
            <w:tcW w:w="19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9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1,555.2</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3,688.0</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Recent accounting guidance</w:t>
      </w:r>
    </w:p>
    <w:p>
      <w:pPr>
        <w:pStyle w:val="TextBody"/>
        <w:bidi w:val="0"/>
        <w:spacing w:lineRule="atLeast" w:line="240" w:before="200" w:after="200"/>
        <w:jc w:val="both"/>
        <w:rPr>
          <w:rFonts w:ascii="Times New Roman" w:hAnsi="Times New Roman"/>
          <w:i/>
          <w:sz w:val="20"/>
        </w:rPr>
      </w:pPr>
      <w:r>
        <w:rPr>
          <w:rFonts w:ascii="Times New Roman" w:hAnsi="Times New Roman"/>
          <w:i/>
          <w:sz w:val="20"/>
        </w:rPr>
        <w:t>Adopted</w:t>
      </w:r>
    </w:p>
    <w:p>
      <w:pPr>
        <w:pStyle w:val="TextBody"/>
        <w:bidi w:val="0"/>
        <w:spacing w:lineRule="atLeast" w:line="240" w:before="200" w:after="200"/>
        <w:jc w:val="both"/>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t xml:space="preserve"> </w:t>
      </w:r>
      <w:r>
        <w:rPr>
          <w:rFonts w:ascii="Times New Roman" w:hAnsi="Times New Roman"/>
          <w:sz w:val="20"/>
        </w:rPr>
        <w:t>The amended guidance enhances income tax disclosures primarily related to the effective tax rate reconciliation and income taxes paid information. This guidance requires disclosure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percent of total income taxes paid (net of refunds received). ASU 2023-09 is effective for fiscal years beginning after December 15, 2024, and the Company adopted this standard in 2025. The adoption of this standard did not have a significant impact on the Company's consolidated financial statements and related disclosures.</w:t>
      </w:r>
    </w:p>
    <w:p>
      <w:pPr>
        <w:pStyle w:val="TextBody"/>
        <w:bidi w:val="0"/>
        <w:spacing w:before="0" w:after="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rFonts w:ascii="Times New Roman" w:hAnsi="Times New Roman"/>
          <w:i/>
          <w:sz w:val="20"/>
        </w:rPr>
      </w:pPr>
      <w:r>
        <w:rPr>
          <w:rFonts w:ascii="Times New Roman" w:hAnsi="Times New Roman"/>
          <w:i/>
          <w:sz w:val="20"/>
        </w:rPr>
        <w:t>Issued but not yet adopted</w:t>
      </w:r>
    </w:p>
    <w:p>
      <w:pPr>
        <w:pStyle w:val="TextBody"/>
        <w:bidi w:val="0"/>
        <w:spacing w:lineRule="atLeast" w:line="240" w:before="0" w:after="0"/>
        <w:jc w:val="both"/>
        <w:rPr/>
      </w:pPr>
      <w:r>
        <w:rPr>
          <w:rFonts w:ascii="Times New Roman" w:hAnsi="Times New Roman"/>
          <w:color w:val="212529"/>
          <w:sz w:val="20"/>
        </w:rPr>
        <w:t xml:space="preserve">In November 2024, the FASB issued ASU 2024-03, </w:t>
      </w:r>
      <w:r>
        <w:rPr>
          <w:rFonts w:ascii="Times New Roman" w:hAnsi="Times New Roman"/>
          <w:i/>
          <w:color w:val="212529"/>
          <w:sz w:val="20"/>
        </w:rPr>
        <w:t>Disaggregation of Income Statement Expenses (DISE)</w:t>
      </w:r>
      <w:r>
        <w:rPr>
          <w:rFonts w:ascii="Times New Roman" w:hAnsi="Times New Roman"/>
          <w:color w:val="212529"/>
          <w:sz w:val="20"/>
        </w:rPr>
        <w:t>, which requires companies to disclose additional information about expenses in their income statements. The Company already disaggregates its most significant expense line items, and as a result, the adoption of this standard is not expected to have a significant impact on the Company's consolidated financial statements and related disclosures.</w:t>
      </w:r>
    </w:p>
    <w:p>
      <w:pPr>
        <w:pStyle w:val="TextBody"/>
        <w:bidi w:val="0"/>
        <w:spacing w:lineRule="atLeast" w:line="240" w:before="200" w:after="0"/>
        <w:jc w:val="both"/>
        <w:rPr/>
      </w:pPr>
      <w:r>
        <w:rPr>
          <w:rFonts w:ascii="Times New Roman" w:hAnsi="Times New Roman"/>
          <w:color w:val="212529"/>
          <w:sz w:val="20"/>
        </w:rPr>
        <w:t>In September 2025, the FASB issued ASU 2025</w:t>
      </w:r>
      <w:r>
        <w:rPr>
          <w:color w:val="212529"/>
        </w:rPr>
        <w:noBreakHyphen/>
      </w:r>
      <w:r>
        <w:rPr>
          <w:rFonts w:ascii="Times New Roman" w:hAnsi="Times New Roman"/>
          <w:color w:val="212529"/>
          <w:sz w:val="20"/>
        </w:rPr>
        <w:t xml:space="preserve">06, </w:t>
      </w:r>
      <w:r>
        <w:rPr>
          <w:rFonts w:ascii="Times New Roman" w:hAnsi="Times New Roman"/>
          <w:i/>
          <w:sz w:val="20"/>
        </w:rPr>
        <w:t>Internal</w:t>
      </w:r>
      <w:r>
        <w:rPr/>
        <w:noBreakHyphen/>
      </w:r>
      <w:r>
        <w:rPr>
          <w:rFonts w:ascii="Times New Roman" w:hAnsi="Times New Roman"/>
          <w:i/>
          <w:sz w:val="20"/>
        </w:rPr>
        <w:t>Use Software</w:t>
      </w:r>
      <w:r>
        <w:rPr>
          <w:rFonts w:ascii="Times New Roman" w:hAnsi="Times New Roman"/>
          <w:color w:val="212529"/>
          <w:sz w:val="20"/>
        </w:rPr>
        <w:t>, which modernizes the accounting for internal</w:t>
      </w:r>
      <w:r>
        <w:rPr>
          <w:color w:val="212529"/>
        </w:rPr>
        <w:noBreakHyphen/>
      </w:r>
      <w:r>
        <w:rPr>
          <w:rFonts w:ascii="Times New Roman" w:hAnsi="Times New Roman"/>
          <w:color w:val="212529"/>
          <w:sz w:val="20"/>
        </w:rPr>
        <w:t>use software by removing development “project stages” and requiring capitalization to begin when management authorizes funding and it is probable the project will be completed and used as intended. The ASU also supersedes the existing website development cost guidance and incorporates it into Subtopic 350</w:t>
      </w:r>
      <w:r>
        <w:rPr>
          <w:color w:val="212529"/>
        </w:rPr>
        <w:noBreakHyphen/>
      </w:r>
      <w:r>
        <w:rPr>
          <w:rFonts w:ascii="Times New Roman" w:hAnsi="Times New Roman"/>
          <w:color w:val="212529"/>
          <w:sz w:val="20"/>
        </w:rPr>
        <w:t xml:space="preserve">40. The guidance is effective for fiscal years beginning after December 15, 2027, with early adoption permitted. The Company is evaluating the impact of this ASU and does not expect a material effect on its consolidated financial statements. </w:t>
      </w:r>
      <w:r>
        <w:rPr>
          <w:color w:val="212529"/>
        </w:rPr>
        <w:t xml:space="preserve">                                                                                    </w:t>
      </w:r>
    </w:p>
    <w:p>
      <w:pPr>
        <w:pStyle w:val="TextBody"/>
        <w:bidi w:val="0"/>
        <w:spacing w:lineRule="atLeast" w:line="240" w:before="0" w:after="0"/>
        <w:jc w:val="left"/>
        <w:rPr/>
      </w:pPr>
      <w:r>
        <w:rPr/>
        <w:t> </w:t>
      </w:r>
    </w:p>
    <w:p>
      <w:pPr>
        <w:pStyle w:val="TextBody"/>
        <w:bidi w:val="0"/>
        <w:spacing w:before="0" w:after="0"/>
        <w:jc w:val="left"/>
        <w:rPr/>
      </w:pPr>
      <w:r>
        <w:rPr/>
        <w:t> </w:t>
      </w:r>
    </w:p>
    <w:p>
      <w:pPr>
        <w:pStyle w:val="TextBody"/>
        <w:bidi w:val="0"/>
        <w:spacing w:lineRule="atLeast" w:line="240" w:before="0" w:after="0"/>
        <w:jc w:val="both"/>
        <w:rPr/>
      </w:pPr>
      <w:hyperlink w:anchor="TOC">
        <w:bookmarkStart w:id="41" w:name="bm_eb694d14c75092b5"/>
        <w:bookmarkEnd w:id="41"/>
        <w:r>
          <w:rPr>
            <w:rStyle w:val="InternetLink"/>
            <w:rFonts w:ascii="Times New Roman" w:hAnsi="Times New Roman"/>
            <w:b/>
            <w:strike w:val="false"/>
            <w:dstrike w:val="false"/>
            <w:color w:val="000000"/>
            <w:sz w:val="20"/>
            <w:u w:val="none"/>
            <w:effect w:val="none"/>
          </w:rPr>
          <w:t>(4)</w:t>
        </w:r>
      </w:hyperlink>
      <w:hyperlink w:anchor="TOC">
        <w:r>
          <w:rPr>
            <w:rStyle w:val="InternetLink"/>
            <w:strike w:val="false"/>
            <w:dstrike w:val="false"/>
            <w:color w:val="000000"/>
            <w:u w:val="none"/>
            <w:effect w:val="none"/>
          </w:rPr>
          <w:t> </w:t>
        </w:r>
      </w:hyperlink>
      <w:hyperlink w:anchor="TOC">
        <w:r>
          <w:rPr>
            <w:rStyle w:val="InternetLink"/>
            <w:rFonts w:ascii="Times New Roman" w:hAnsi="Times New Roman"/>
            <w:b/>
            <w:strike w:val="false"/>
            <w:dstrike w:val="false"/>
            <w:color w:val="000000"/>
            <w:sz w:val="20"/>
            <w:u w:val="none"/>
            <w:effect w:val="none"/>
          </w:rPr>
          <w:t>Settlement Assets and Obligations</w:t>
        </w:r>
      </w:hyperlink>
    </w:p>
    <w:p>
      <w:pPr>
        <w:pStyle w:val="TextBody"/>
        <w:bidi w:val="0"/>
        <w:spacing w:lineRule="atLeast" w:line="240" w:before="200" w:after="0"/>
        <w:jc w:val="both"/>
        <w:rPr/>
      </w:pPr>
      <w:r>
        <w:rPr>
          <w:rFonts w:ascii="Times New Roman" w:hAnsi="Times New Roman"/>
          <w:sz w:val="20"/>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w:t>
      </w:r>
      <w:r>
        <w:rPr/>
        <w:t> </w:t>
      </w:r>
      <w:r>
        <w:rPr>
          <w:rFonts w:ascii="Times New Roman" w:hAnsi="Times New Roman"/>
          <w:sz w:val="20"/>
        </w:rPr>
        <w:t>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the Company within two weeks after initial receipt by the business partner. Receivables from business partners represent funds collected by such business partners that are in transit to the Company.</w:t>
      </w:r>
    </w:p>
    <w:p>
      <w:pPr>
        <w:pStyle w:val="TextBody"/>
        <w:bidi w:val="0"/>
        <w:spacing w:lineRule="atLeast" w:line="240" w:before="200" w:after="200"/>
        <w:jc w:val="both"/>
        <w:rPr/>
      </w:pPr>
      <w:r>
        <w:rPr>
          <w:rFonts w:ascii="Times New Roman" w:hAnsi="Times New Roman"/>
          <w:sz w:val="20"/>
        </w:rPr>
        <w:t>Settlement obligations consist of accrued expenses for money transfers, content providers, and EFT customer deposits and accounts payable to agents and content providers. Money transfer accrued expenses represent amounts to be paid to</w:t>
      </w:r>
      <w:r>
        <w:rPr/>
        <w:t> </w:t>
      </w:r>
      <w:r>
        <w:rPr>
          <w:rFonts w:ascii="Times New Roman" w:hAnsi="Times New Roman"/>
          <w:sz w:val="20"/>
        </w:rPr>
        <w:t>beneficiaries when they request funds. Most agents typically settle with</w:t>
      </w:r>
      <w:r>
        <w:rPr/>
        <w:t> </w:t>
      </w:r>
      <w:r>
        <w:rPr>
          <w:rFonts w:ascii="Times New Roman" w:hAnsi="Times New Roman"/>
          <w:sz w:val="20"/>
        </w:rPr>
        <w:t>beneficiaries first then obtain reimbursement from the Company. Money order accrued expenses represent amounts not yet presented for payment. Due to the agent funding and settlement process, accrued expenses to agents represent amounts due to agents for money transfers that have not been settled with beneficiaries.</w:t>
      </w:r>
    </w:p>
    <w:tbl>
      <w:tblPr>
        <w:tblW w:w="9358" w:type="dxa"/>
        <w:jc w:val="left"/>
        <w:tblInd w:w="0" w:type="dxa"/>
        <w:tblLayout w:type="fixed"/>
        <w:tblCellMar>
          <w:top w:w="0" w:type="dxa"/>
          <w:left w:w="0" w:type="dxa"/>
          <w:bottom w:w="28" w:type="dxa"/>
          <w:right w:w="0" w:type="dxa"/>
        </w:tblCellMar>
      </w:tblPr>
      <w:tblGrid>
        <w:gridCol w:w="5555"/>
        <w:gridCol w:w="60"/>
        <w:gridCol w:w="301"/>
        <w:gridCol w:w="1533"/>
        <w:gridCol w:w="60"/>
        <w:gridCol w:w="298"/>
        <w:gridCol w:w="1551"/>
      </w:tblGrid>
      <w:tr>
        <w:trPr/>
        <w:tc>
          <w:tcPr>
            <w:tcW w:w="5555" w:type="dxa"/>
            <w:tcBorders>
              <w:bottom w:val="single" w:sz="8" w:space="0" w:color="000000"/>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tcMar>
              <w:bottom w:w="0" w:type="dxa"/>
            </w:tcMar>
            <w:vAlign w:val="center"/>
          </w:tcPr>
          <w:p>
            <w:pPr>
              <w:pStyle w:val="TableContents"/>
              <w:bidi w:val="0"/>
              <w:spacing w:before="0" w:after="0"/>
              <w:jc w:val="left"/>
              <w:rPr/>
            </w:pPr>
            <w:r>
              <w:rPr/>
              <w:t> </w:t>
            </w:r>
          </w:p>
        </w:tc>
        <w:tc>
          <w:tcPr>
            <w:tcW w:w="183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2025</w:t>
            </w:r>
          </w:p>
        </w:tc>
        <w:tc>
          <w:tcPr>
            <w:tcW w:w="60" w:type="dxa"/>
            <w:tcBorders/>
            <w:tcMar>
              <w:bottom w:w="0" w:type="dxa"/>
            </w:tcMar>
            <w:vAlign w:val="center"/>
          </w:tcPr>
          <w:p>
            <w:pPr>
              <w:pStyle w:val="TableContents"/>
              <w:bidi w:val="0"/>
              <w:spacing w:before="0" w:after="0"/>
              <w:jc w:val="left"/>
              <w:rPr/>
            </w:pPr>
            <w:r>
              <w:rPr/>
              <w:t> </w:t>
            </w:r>
          </w:p>
        </w:tc>
        <w:tc>
          <w:tcPr>
            <w:tcW w:w="1849"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2024</w:t>
            </w:r>
          </w:p>
        </w:tc>
      </w:tr>
      <w:tr>
        <w:trPr/>
        <w:tc>
          <w:tcPr>
            <w:tcW w:w="555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assets:</w:t>
            </w:r>
          </w:p>
        </w:tc>
        <w:tc>
          <w:tcPr>
            <w:tcW w:w="60" w:type="dxa"/>
            <w:tcBorders/>
            <w:shd w:fill="CCEEFF" w:val="clear"/>
            <w:tcMar>
              <w:bottom w:w="0" w:type="dxa"/>
            </w:tcMar>
            <w:vAlign w:val="center"/>
          </w:tcPr>
          <w:p>
            <w:pPr>
              <w:pStyle w:val="TableContents"/>
              <w:bidi w:val="0"/>
              <w:spacing w:before="0" w:after="0"/>
              <w:jc w:val="left"/>
              <w:rPr/>
            </w:pPr>
            <w:r>
              <w:rPr/>
              <w:t> </w:t>
            </w:r>
          </w:p>
        </w:tc>
        <w:tc>
          <w:tcPr>
            <w:tcW w:w="301"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33"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298"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551"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5555"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tcMar>
              <w:bottom w:w="0" w:type="dxa"/>
            </w:tcMar>
            <w:vAlign w:val="center"/>
          </w:tcPr>
          <w:p>
            <w:pPr>
              <w:pStyle w:val="TableContents"/>
              <w:bidi w:val="0"/>
              <w:spacing w:before="0" w:after="0"/>
              <w:jc w:val="left"/>
              <w:rPr/>
            </w:pPr>
            <w:r>
              <w:rPr/>
              <w:t> </w:t>
            </w:r>
          </w:p>
        </w:tc>
        <w:tc>
          <w:tcPr>
            <w:tcW w:w="301"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503.1</w:t>
            </w:r>
          </w:p>
        </w:tc>
        <w:tc>
          <w:tcPr>
            <w:tcW w:w="60" w:type="dxa"/>
            <w:tcBorders/>
            <w:shd w:fill="FFFFFF" w:val="clear"/>
            <w:tcMar>
              <w:bottom w:w="0" w:type="dxa"/>
            </w:tcMar>
            <w:vAlign w:val="center"/>
          </w:tcPr>
          <w:p>
            <w:pPr>
              <w:pStyle w:val="TableContents"/>
              <w:bidi w:val="0"/>
              <w:spacing w:before="0" w:after="0"/>
              <w:jc w:val="right"/>
              <w:rPr/>
            </w:pPr>
            <w:r>
              <w:rPr/>
              <w:t> </w:t>
            </w:r>
          </w:p>
        </w:tc>
        <w:tc>
          <w:tcPr>
            <w:tcW w:w="29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5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r>
      <w:tr>
        <w:trPr/>
        <w:tc>
          <w:tcPr>
            <w:tcW w:w="5555"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Settlement restricted cash</w:t>
            </w:r>
          </w:p>
        </w:tc>
        <w:tc>
          <w:tcPr>
            <w:tcW w:w="60" w:type="dxa"/>
            <w:tcBorders/>
            <w:shd w:fill="CCEEFF" w:val="clear"/>
            <w:tcMar>
              <w:bottom w:w="0" w:type="dxa"/>
            </w:tcMar>
            <w:vAlign w:val="center"/>
          </w:tcPr>
          <w:p>
            <w:pPr>
              <w:pStyle w:val="TableContents"/>
              <w:bidi w:val="0"/>
              <w:spacing w:before="0" w:after="0"/>
              <w:jc w:val="left"/>
              <w:rPr/>
            </w:pPr>
            <w:r>
              <w:rPr/>
              <w:t> </w:t>
            </w:r>
          </w:p>
        </w:tc>
        <w:tc>
          <w:tcPr>
            <w:tcW w:w="301" w:type="dxa"/>
            <w:tcBorders/>
            <w:shd w:fill="CCEEFF" w:val="clear"/>
            <w:tcMar>
              <w:bottom w:w="0" w:type="dxa"/>
            </w:tcMar>
            <w:vAlign w:val="center"/>
          </w:tcPr>
          <w:p>
            <w:pPr>
              <w:pStyle w:val="TableContents"/>
              <w:bidi w:val="0"/>
              <w:spacing w:before="0" w:after="0"/>
              <w:jc w:val="left"/>
              <w:rPr/>
            </w:pPr>
            <w:r>
              <w:rPr/>
              <w:t> </w:t>
            </w:r>
          </w:p>
        </w:tc>
        <w:tc>
          <w:tcPr>
            <w:tcW w:w="153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145.9</w:t>
            </w:r>
          </w:p>
        </w:tc>
        <w:tc>
          <w:tcPr>
            <w:tcW w:w="60" w:type="dxa"/>
            <w:tcBorders/>
            <w:shd w:fill="CCEEFF" w:val="clear"/>
            <w:tcMar>
              <w:bottom w:w="0" w:type="dxa"/>
            </w:tcMar>
            <w:vAlign w:val="center"/>
          </w:tcPr>
          <w:p>
            <w:pPr>
              <w:pStyle w:val="TableContents"/>
              <w:bidi w:val="0"/>
              <w:spacing w:before="0" w:after="0"/>
              <w:jc w:val="right"/>
              <w:rPr/>
            </w:pPr>
            <w:r>
              <w:rPr/>
              <w:t> </w:t>
            </w:r>
          </w:p>
        </w:tc>
        <w:tc>
          <w:tcPr>
            <w:tcW w:w="298" w:type="dxa"/>
            <w:tcBorders/>
            <w:shd w:fill="CCEEFF" w:val="clear"/>
            <w:tcMar>
              <w:bottom w:w="0" w:type="dxa"/>
            </w:tcMar>
            <w:vAlign w:val="center"/>
          </w:tcPr>
          <w:p>
            <w:pPr>
              <w:pStyle w:val="TableContents"/>
              <w:bidi w:val="0"/>
              <w:spacing w:before="0" w:after="0"/>
              <w:jc w:val="right"/>
              <w:rPr/>
            </w:pPr>
            <w:r>
              <w:rPr/>
              <w:t> </w:t>
            </w:r>
          </w:p>
        </w:tc>
        <w:tc>
          <w:tcPr>
            <w:tcW w:w="1551"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r>
      <w:tr>
        <w:trPr/>
        <w:tc>
          <w:tcPr>
            <w:tcW w:w="5555" w:type="dxa"/>
            <w:tcBorders/>
            <w:shd w:fill="FFFFFF" w:val="clear"/>
            <w:tcMar>
              <w:bottom w:w="0" w:type="dxa"/>
            </w:tcMar>
            <w:vAlign w:val="center"/>
          </w:tcPr>
          <w:p>
            <w:pPr>
              <w:pStyle w:val="TableContents"/>
              <w:bidi w:val="0"/>
              <w:spacing w:before="0" w:after="0"/>
              <w:ind w:left="144" w:right="0" w:hanging="0"/>
              <w:jc w:val="left"/>
              <w:rPr>
                <w:sz w:val="20"/>
              </w:rPr>
            </w:pPr>
            <w:r>
              <w:rPr>
                <w:rFonts w:ascii="Times New Roman" w:hAnsi="Times New Roman"/>
                <w:sz w:val="20"/>
              </w:rPr>
              <w:t>Account receivables, net of credit loss allowance of $39.0</w:t>
            </w:r>
            <w:r>
              <w:rPr>
                <w:sz w:val="20"/>
              </w:rPr>
              <w:t xml:space="preserve"> </w:t>
            </w:r>
            <w:r>
              <w:rPr>
                <w:rFonts w:ascii="Times New Roman" w:hAnsi="Times New Roman"/>
                <w:sz w:val="20"/>
              </w:rPr>
              <w:t>and $31.7</w:t>
            </w:r>
          </w:p>
        </w:tc>
        <w:tc>
          <w:tcPr>
            <w:tcW w:w="60" w:type="dxa"/>
            <w:tcBorders/>
            <w:shd w:fill="FFFFFF" w:val="clear"/>
            <w:tcMar>
              <w:bottom w:w="0" w:type="dxa"/>
            </w:tcMar>
            <w:vAlign w:val="center"/>
          </w:tcPr>
          <w:p>
            <w:pPr>
              <w:pStyle w:val="TableContents"/>
              <w:bidi w:val="0"/>
              <w:spacing w:before="0" w:after="0"/>
              <w:jc w:val="left"/>
              <w:rPr/>
            </w:pPr>
            <w:r>
              <w:rPr/>
              <w:t> </w:t>
            </w:r>
          </w:p>
        </w:tc>
        <w:tc>
          <w:tcPr>
            <w:tcW w:w="301" w:type="dxa"/>
            <w:tcBorders/>
            <w:shd w:fill="FFFFFF" w:val="clear"/>
            <w:tcMar>
              <w:bottom w:w="0" w:type="dxa"/>
            </w:tcMar>
            <w:vAlign w:val="center"/>
          </w:tcPr>
          <w:p>
            <w:pPr>
              <w:pStyle w:val="TableContents"/>
              <w:bidi w:val="0"/>
              <w:spacing w:before="0" w:after="0"/>
              <w:jc w:val="left"/>
              <w:rPr/>
            </w:pPr>
            <w:r>
              <w:rPr/>
              <w:t> </w:t>
            </w:r>
          </w:p>
        </w:tc>
        <w:tc>
          <w:tcPr>
            <w:tcW w:w="153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971.6</w:t>
            </w:r>
          </w:p>
        </w:tc>
        <w:tc>
          <w:tcPr>
            <w:tcW w:w="60" w:type="dxa"/>
            <w:tcBorders/>
            <w:shd w:fill="FFFFFF" w:val="clear"/>
            <w:tcMar>
              <w:bottom w:w="0" w:type="dxa"/>
            </w:tcMar>
            <w:vAlign w:val="center"/>
          </w:tcPr>
          <w:p>
            <w:pPr>
              <w:pStyle w:val="TableContents"/>
              <w:bidi w:val="0"/>
              <w:spacing w:before="0" w:after="0"/>
              <w:jc w:val="right"/>
              <w:rPr/>
            </w:pPr>
            <w:r>
              <w:rPr/>
              <w:t> </w:t>
            </w:r>
          </w:p>
        </w:tc>
        <w:tc>
          <w:tcPr>
            <w:tcW w:w="298" w:type="dxa"/>
            <w:tcBorders/>
            <w:shd w:fill="FFFFFF" w:val="clear"/>
            <w:tcMar>
              <w:bottom w:w="0" w:type="dxa"/>
            </w:tcMar>
            <w:vAlign w:val="center"/>
          </w:tcPr>
          <w:p>
            <w:pPr>
              <w:pStyle w:val="TableContents"/>
              <w:bidi w:val="0"/>
              <w:spacing w:before="0" w:after="0"/>
              <w:jc w:val="right"/>
              <w:rPr/>
            </w:pPr>
            <w:r>
              <w:rPr/>
              <w:t> </w:t>
            </w:r>
          </w:p>
        </w:tc>
        <w:tc>
          <w:tcPr>
            <w:tcW w:w="15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769.5</w:t>
            </w:r>
          </w:p>
        </w:tc>
      </w:tr>
      <w:tr>
        <w:trPr/>
        <w:tc>
          <w:tcPr>
            <w:tcW w:w="5555"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tcMar>
              <w:bottom w:w="0" w:type="dxa"/>
            </w:tcMar>
            <w:vAlign w:val="center"/>
          </w:tcPr>
          <w:p>
            <w:pPr>
              <w:pStyle w:val="TableContents"/>
              <w:bidi w:val="0"/>
              <w:spacing w:before="0" w:after="0"/>
              <w:jc w:val="left"/>
              <w:rPr/>
            </w:pPr>
            <w:r>
              <w:rPr/>
              <w:t> </w:t>
            </w:r>
          </w:p>
        </w:tc>
        <w:tc>
          <w:tcPr>
            <w:tcW w:w="301" w:type="dxa"/>
            <w:tcBorders>
              <w:bottom w:val="single" w:sz="8" w:space="0" w:color="000000"/>
            </w:tcBorders>
            <w:shd w:fill="CCEEFF" w:val="clear"/>
            <w:vAlign w:val="center"/>
          </w:tcPr>
          <w:p>
            <w:pPr>
              <w:pStyle w:val="TableContents"/>
              <w:bidi w:val="0"/>
              <w:spacing w:before="0" w:after="0"/>
              <w:jc w:val="left"/>
              <w:rPr/>
            </w:pPr>
            <w:r>
              <w:rPr/>
              <w:t> </w:t>
            </w:r>
          </w:p>
        </w:tc>
        <w:tc>
          <w:tcPr>
            <w:tcW w:w="1533"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289.8</w:t>
            </w:r>
          </w:p>
        </w:tc>
        <w:tc>
          <w:tcPr>
            <w:tcW w:w="60" w:type="dxa"/>
            <w:tcBorders/>
            <w:shd w:fill="CCEEFF" w:val="clear"/>
            <w:tcMar>
              <w:bottom w:w="0" w:type="dxa"/>
            </w:tcMar>
            <w:vAlign w:val="center"/>
          </w:tcPr>
          <w:p>
            <w:pPr>
              <w:pStyle w:val="TableContents"/>
              <w:bidi w:val="0"/>
              <w:spacing w:before="0" w:after="0"/>
              <w:jc w:val="right"/>
              <w:rPr/>
            </w:pPr>
            <w:r>
              <w:rPr/>
              <w:t> </w:t>
            </w:r>
          </w:p>
        </w:tc>
        <w:tc>
          <w:tcPr>
            <w:tcW w:w="298" w:type="dxa"/>
            <w:tcBorders>
              <w:bottom w:val="single" w:sz="8" w:space="0" w:color="000000"/>
            </w:tcBorders>
            <w:shd w:fill="CCEEFF" w:val="clear"/>
            <w:vAlign w:val="center"/>
          </w:tcPr>
          <w:p>
            <w:pPr>
              <w:pStyle w:val="TableContents"/>
              <w:bidi w:val="0"/>
              <w:spacing w:before="0" w:after="0"/>
              <w:jc w:val="right"/>
              <w:rPr/>
            </w:pPr>
            <w:r>
              <w:rPr/>
              <w:t> </w:t>
            </w:r>
          </w:p>
        </w:tc>
        <w:tc>
          <w:tcPr>
            <w:tcW w:w="1551"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r>
      <w:tr>
        <w:trPr/>
        <w:tc>
          <w:tcPr>
            <w:tcW w:w="5555" w:type="dxa"/>
            <w:tcBorders/>
            <w:shd w:fill="FFFF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settlement assets</w:t>
            </w:r>
          </w:p>
        </w:tc>
        <w:tc>
          <w:tcPr>
            <w:tcW w:w="60" w:type="dxa"/>
            <w:tcBorders/>
            <w:shd w:fill="FFFFFF" w:val="clear"/>
            <w:tcMar>
              <w:bottom w:w="0" w:type="dxa"/>
            </w:tcMar>
            <w:vAlign w:val="center"/>
          </w:tcPr>
          <w:p>
            <w:pPr>
              <w:pStyle w:val="TableContents"/>
              <w:bidi w:val="0"/>
              <w:spacing w:before="0" w:after="0"/>
              <w:jc w:val="left"/>
              <w:rPr/>
            </w:pPr>
            <w:r>
              <w:rPr/>
              <w:t> </w:t>
            </w:r>
          </w:p>
        </w:tc>
        <w:tc>
          <w:tcPr>
            <w:tcW w:w="30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1,910.4</w:t>
            </w:r>
          </w:p>
        </w:tc>
        <w:tc>
          <w:tcPr>
            <w:tcW w:w="60" w:type="dxa"/>
            <w:tcBorders/>
            <w:shd w:fill="FFFFFF" w:val="clear"/>
            <w:tcMar>
              <w:bottom w:w="0" w:type="dxa"/>
            </w:tcMar>
            <w:vAlign w:val="center"/>
          </w:tcPr>
          <w:p>
            <w:pPr>
              <w:pStyle w:val="TableContents"/>
              <w:bidi w:val="0"/>
              <w:spacing w:before="0" w:after="0"/>
              <w:jc w:val="right"/>
              <w:rPr/>
            </w:pPr>
            <w:r>
              <w:rPr/>
              <w:t> </w:t>
            </w:r>
          </w:p>
        </w:tc>
        <w:tc>
          <w:tcPr>
            <w:tcW w:w="298"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55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555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obligations:</w:t>
            </w:r>
          </w:p>
        </w:tc>
        <w:tc>
          <w:tcPr>
            <w:tcW w:w="60" w:type="dxa"/>
            <w:tcBorders/>
            <w:shd w:fill="CCEEFF" w:val="clear"/>
            <w:tcMar>
              <w:bottom w:w="0" w:type="dxa"/>
            </w:tcMar>
            <w:vAlign w:val="center"/>
          </w:tcPr>
          <w:p>
            <w:pPr>
              <w:pStyle w:val="TableContents"/>
              <w:bidi w:val="0"/>
              <w:spacing w:before="0" w:after="0"/>
              <w:jc w:val="left"/>
              <w:rPr/>
            </w:pPr>
            <w:r>
              <w:rPr/>
              <w:t> </w:t>
            </w:r>
          </w:p>
        </w:tc>
        <w:tc>
          <w:tcPr>
            <w:tcW w:w="301" w:type="dxa"/>
            <w:tcBorders>
              <w:top w:val="double" w:sz="6" w:space="0" w:color="000000"/>
            </w:tcBorders>
            <w:shd w:fill="CCEEFF" w:val="clear"/>
            <w:tcMar>
              <w:top w:w="28" w:type="dxa"/>
              <w:bottom w:w="0" w:type="dxa"/>
            </w:tcMar>
            <w:vAlign w:val="center"/>
          </w:tcPr>
          <w:p>
            <w:pPr>
              <w:pStyle w:val="TableContents"/>
              <w:bidi w:val="0"/>
              <w:spacing w:before="0" w:after="0"/>
              <w:jc w:val="left"/>
              <w:rPr/>
            </w:pPr>
            <w:r>
              <w:rPr/>
              <w:t> </w:t>
            </w:r>
          </w:p>
        </w:tc>
        <w:tc>
          <w:tcPr>
            <w:tcW w:w="1533"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right"/>
              <w:rPr/>
            </w:pPr>
            <w:r>
              <w:rPr/>
              <w:t> </w:t>
            </w:r>
          </w:p>
        </w:tc>
        <w:tc>
          <w:tcPr>
            <w:tcW w:w="298"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c>
          <w:tcPr>
            <w:tcW w:w="1551" w:type="dxa"/>
            <w:tcBorders>
              <w:top w:val="double" w:sz="6" w:space="0" w:color="000000"/>
            </w:tcBorders>
            <w:shd w:fill="CCEEFF" w:val="clear"/>
            <w:tcMar>
              <w:top w:w="28" w:type="dxa"/>
              <w:bottom w:w="0" w:type="dxa"/>
            </w:tcMar>
            <w:vAlign w:val="center"/>
          </w:tcPr>
          <w:p>
            <w:pPr>
              <w:pStyle w:val="TableContents"/>
              <w:bidi w:val="0"/>
              <w:spacing w:before="0" w:after="0"/>
              <w:jc w:val="right"/>
              <w:rPr/>
            </w:pPr>
            <w:r>
              <w:rPr/>
              <w:t> </w:t>
            </w:r>
          </w:p>
        </w:tc>
      </w:tr>
      <w:tr>
        <w:trPr/>
        <w:tc>
          <w:tcPr>
            <w:tcW w:w="5555"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Trade account payables</w:t>
            </w:r>
          </w:p>
        </w:tc>
        <w:tc>
          <w:tcPr>
            <w:tcW w:w="60" w:type="dxa"/>
            <w:tcBorders/>
            <w:shd w:fill="FFFFFF" w:val="clear"/>
            <w:tcMar>
              <w:bottom w:w="0" w:type="dxa"/>
            </w:tcMar>
            <w:vAlign w:val="center"/>
          </w:tcPr>
          <w:p>
            <w:pPr>
              <w:pStyle w:val="TableContents"/>
              <w:bidi w:val="0"/>
              <w:spacing w:before="0" w:after="0"/>
              <w:jc w:val="left"/>
              <w:rPr/>
            </w:pPr>
            <w:r>
              <w:rPr/>
              <w:t> </w:t>
            </w:r>
          </w:p>
        </w:tc>
        <w:tc>
          <w:tcPr>
            <w:tcW w:w="301"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901.0</w:t>
            </w:r>
          </w:p>
        </w:tc>
        <w:tc>
          <w:tcPr>
            <w:tcW w:w="60" w:type="dxa"/>
            <w:tcBorders/>
            <w:shd w:fill="FFFFFF" w:val="clear"/>
            <w:tcMar>
              <w:bottom w:w="0" w:type="dxa"/>
            </w:tcMar>
            <w:vAlign w:val="center"/>
          </w:tcPr>
          <w:p>
            <w:pPr>
              <w:pStyle w:val="TableContents"/>
              <w:bidi w:val="0"/>
              <w:spacing w:before="0" w:after="0"/>
              <w:jc w:val="right"/>
              <w:rPr/>
            </w:pPr>
            <w:r>
              <w:rPr/>
              <w:t> </w:t>
            </w:r>
          </w:p>
        </w:tc>
        <w:tc>
          <w:tcPr>
            <w:tcW w:w="298"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551"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628.2</w:t>
            </w:r>
          </w:p>
        </w:tc>
      </w:tr>
      <w:tr>
        <w:trPr/>
        <w:tc>
          <w:tcPr>
            <w:tcW w:w="5555"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301" w:type="dxa"/>
            <w:tcBorders>
              <w:bottom w:val="single" w:sz="8" w:space="0" w:color="000000"/>
            </w:tcBorders>
            <w:shd w:fill="CCEEFF" w:val="clear"/>
            <w:vAlign w:val="center"/>
          </w:tcPr>
          <w:p>
            <w:pPr>
              <w:pStyle w:val="TableContents"/>
              <w:bidi w:val="0"/>
              <w:spacing w:before="0" w:after="0"/>
              <w:jc w:val="left"/>
              <w:rPr/>
            </w:pPr>
            <w:r>
              <w:rPr/>
              <w:t> </w:t>
            </w:r>
          </w:p>
        </w:tc>
        <w:tc>
          <w:tcPr>
            <w:tcW w:w="1533"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1,009.4</w:t>
            </w:r>
          </w:p>
        </w:tc>
        <w:tc>
          <w:tcPr>
            <w:tcW w:w="60" w:type="dxa"/>
            <w:tcBorders/>
            <w:shd w:fill="CCEEFF" w:val="clear"/>
            <w:tcMar>
              <w:bottom w:w="0" w:type="dxa"/>
            </w:tcMar>
            <w:vAlign w:val="center"/>
          </w:tcPr>
          <w:p>
            <w:pPr>
              <w:pStyle w:val="TableContents"/>
              <w:bidi w:val="0"/>
              <w:spacing w:before="0" w:after="0"/>
              <w:jc w:val="right"/>
              <w:rPr/>
            </w:pPr>
            <w:r>
              <w:rPr/>
              <w:t> </w:t>
            </w:r>
          </w:p>
        </w:tc>
        <w:tc>
          <w:tcPr>
            <w:tcW w:w="298" w:type="dxa"/>
            <w:tcBorders>
              <w:bottom w:val="single" w:sz="8" w:space="0" w:color="000000"/>
            </w:tcBorders>
            <w:shd w:fill="CCEEFF" w:val="clear"/>
            <w:vAlign w:val="center"/>
          </w:tcPr>
          <w:p>
            <w:pPr>
              <w:pStyle w:val="TableContents"/>
              <w:bidi w:val="0"/>
              <w:spacing w:before="0" w:after="0"/>
              <w:jc w:val="right"/>
              <w:rPr/>
            </w:pPr>
            <w:r>
              <w:rPr/>
              <w:t> </w:t>
            </w:r>
          </w:p>
        </w:tc>
        <w:tc>
          <w:tcPr>
            <w:tcW w:w="1551"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894.5</w:t>
            </w:r>
          </w:p>
        </w:tc>
      </w:tr>
      <w:tr>
        <w:trPr/>
        <w:tc>
          <w:tcPr>
            <w:tcW w:w="5555" w:type="dxa"/>
            <w:tcBorders/>
            <w:shd w:fill="FFFF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settlement obligations</w:t>
            </w:r>
          </w:p>
        </w:tc>
        <w:tc>
          <w:tcPr>
            <w:tcW w:w="60" w:type="dxa"/>
            <w:tcBorders/>
            <w:shd w:fill="FFFFFF" w:val="clear"/>
            <w:tcMar>
              <w:bottom w:w="0" w:type="dxa"/>
            </w:tcMar>
            <w:vAlign w:val="center"/>
          </w:tcPr>
          <w:p>
            <w:pPr>
              <w:pStyle w:val="TableContents"/>
              <w:bidi w:val="0"/>
              <w:spacing w:before="0" w:after="0"/>
              <w:jc w:val="left"/>
              <w:rPr/>
            </w:pPr>
            <w:r>
              <w:rPr/>
              <w:t> </w:t>
            </w:r>
          </w:p>
        </w:tc>
        <w:tc>
          <w:tcPr>
            <w:tcW w:w="30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33"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1,910.4</w:t>
            </w:r>
          </w:p>
        </w:tc>
        <w:tc>
          <w:tcPr>
            <w:tcW w:w="60" w:type="dxa"/>
            <w:tcBorders/>
            <w:shd w:fill="FFFFFF" w:val="clear"/>
            <w:tcMar>
              <w:bottom w:w="0" w:type="dxa"/>
            </w:tcMar>
            <w:vAlign w:val="center"/>
          </w:tcPr>
          <w:p>
            <w:pPr>
              <w:pStyle w:val="TableContents"/>
              <w:bidi w:val="0"/>
              <w:spacing w:before="0" w:after="0"/>
              <w:jc w:val="right"/>
              <w:rPr/>
            </w:pPr>
            <w:r>
              <w:rPr/>
              <w:t> </w:t>
            </w:r>
          </w:p>
        </w:tc>
        <w:tc>
          <w:tcPr>
            <w:tcW w:w="298"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551" w:type="dxa"/>
            <w:tcBorders>
              <w:top w:val="single" w:sz="8" w:space="0" w:color="000000"/>
              <w:bottom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bl>
    <w:p>
      <w:pPr>
        <w:pStyle w:val="TextBody"/>
        <w:bidi w:val="0"/>
        <w:spacing w:lineRule="atLeast" w:line="240" w:before="0" w:after="0"/>
        <w:jc w:val="left"/>
        <w:rPr/>
      </w:pPr>
      <w:r>
        <w:rPr/>
        <w:t> </w:t>
      </w:r>
    </w:p>
    <w:p>
      <w:pPr>
        <w:pStyle w:val="TextBody"/>
        <w:bidi w:val="0"/>
        <w:spacing w:lineRule="atLeast" w:line="240" w:before="0" w:after="160"/>
        <w:jc w:val="both"/>
        <w:rPr>
          <w:rFonts w:ascii="Times New Roman" w:hAnsi="Times New Roman"/>
          <w:sz w:val="20"/>
        </w:rPr>
      </w:pPr>
      <w:r>
        <w:rPr>
          <w:rFonts w:ascii="Times New Roman" w:hAnsi="Times New Roman"/>
          <w:sz w:val="20"/>
        </w:rPr>
        <w:t>The table below reconciles cash and cash equivalents, restricted cash, ATM cash, settlement cash and cash equivalents, and settlement restricted cash as presented within "Cash and cash equivalents and restricted cash" in the Consolidated Statement of Cash Flows.</w:t>
      </w:r>
    </w:p>
    <w:tbl>
      <w:tblPr>
        <w:tblW w:w="9860" w:type="dxa"/>
        <w:jc w:val="left"/>
        <w:tblInd w:w="0" w:type="dxa"/>
        <w:tblLayout w:type="fixed"/>
        <w:tblCellMar>
          <w:top w:w="0" w:type="dxa"/>
          <w:left w:w="0" w:type="dxa"/>
          <w:bottom w:w="0" w:type="dxa"/>
          <w:right w:w="0" w:type="dxa"/>
        </w:tblCellMar>
      </w:tblPr>
      <w:tblGrid>
        <w:gridCol w:w="5045"/>
        <w:gridCol w:w="60"/>
        <w:gridCol w:w="125"/>
        <w:gridCol w:w="1415"/>
        <w:gridCol w:w="60"/>
        <w:gridCol w:w="125"/>
        <w:gridCol w:w="1415"/>
        <w:gridCol w:w="60"/>
        <w:gridCol w:w="125"/>
        <w:gridCol w:w="1430"/>
      </w:tblGrid>
      <w:tr>
        <w:trPr/>
        <w:tc>
          <w:tcPr>
            <w:tcW w:w="50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755"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504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2023</w:t>
            </w:r>
          </w:p>
        </w:tc>
      </w:tr>
      <w:tr>
        <w:trPr/>
        <w:tc>
          <w:tcPr>
            <w:tcW w:w="50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1,040.3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1,278.8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1,254.2</w:t>
            </w:r>
          </w:p>
        </w:tc>
      </w:tr>
      <w:tr>
        <w:trPr/>
        <w:tc>
          <w:tcPr>
            <w:tcW w:w="50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ATM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650.3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525.2</w:t>
            </w:r>
          </w:p>
        </w:tc>
      </w:tr>
      <w:tr>
        <w:trPr/>
        <w:tc>
          <w:tcPr>
            <w:tcW w:w="50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503.1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327.4</w:t>
            </w:r>
          </w:p>
        </w:tc>
      </w:tr>
      <w:tr>
        <w:trPr/>
        <w:tc>
          <w:tcPr>
            <w:tcW w:w="5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145.9</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125.0</w:t>
            </w:r>
          </w:p>
        </w:tc>
      </w:tr>
      <w:tr>
        <w:trPr/>
        <w:tc>
          <w:tcPr>
            <w:tcW w:w="50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2,362.8</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r>
    </w:tbl>
    <w:p>
      <w:pPr>
        <w:pStyle w:val="TextBody"/>
        <w:bidi w:val="0"/>
        <w:spacing w:lineRule="atLeast" w:line="20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(5) Stockholders' Equity</w:t>
      </w:r>
      <w:bookmarkStart w:id="42" w:name="bm_6546e555ed7cca61"/>
      <w:bookmarkEnd w:id="42"/>
    </w:p>
    <w:p>
      <w:pPr>
        <w:pStyle w:val="TextBody"/>
        <w:bidi w:val="0"/>
        <w:spacing w:lineRule="atLeast" w:line="240" w:before="200" w:after="0"/>
        <w:jc w:val="both"/>
        <w:rPr/>
      </w:pPr>
      <w:r>
        <w:rPr>
          <w:rFonts w:ascii="Times New Roman" w:hAnsi="Times New Roman"/>
          <w:b/>
          <w:i/>
          <w:sz w:val="20"/>
        </w:rPr>
        <w:t>Earnings Per Share</w:t>
      </w:r>
      <w:r>
        <w:rPr/>
        <w:t> </w:t>
      </w:r>
    </w:p>
    <w:p>
      <w:pPr>
        <w:pStyle w:val="TextBody"/>
        <w:bidi w:val="0"/>
        <w:spacing w:lineRule="atLeast" w:line="240" w:before="200" w:after="0"/>
        <w:jc w:val="both"/>
        <w:rPr/>
      </w:pPr>
      <w:r>
        <w:rPr>
          <w:rFonts w:ascii="Times New Roman" w:hAnsi="Times New Roman"/>
          <w:sz w:val="20"/>
        </w:rPr>
        <w:t>Basic earnings per share has been computed by dividing earnings available to common stockholders by the weighted average number of common shares outstanding during the respective period. Diluted earnings per share has been computed by dividing diluted earnings by the weighted average shares outstanding during the respective period, after adjusting for the potential dilution of options to purchase the Company's Common Stock, assumed vesting of restricted stock and the assumed conversion of the Company's convertible debt.</w:t>
      </w:r>
      <w:r>
        <w:rPr/>
        <w:t>  </w:t>
      </w:r>
    </w:p>
    <w:p>
      <w:pPr>
        <w:pStyle w:val="TextBody"/>
        <w:bidi w:val="0"/>
        <w:spacing w:lineRule="atLeast" w:line="240" w:before="200" w:after="200"/>
        <w:jc w:val="both"/>
        <w:rPr/>
      </w:pPr>
      <w:r>
        <w:rPr>
          <w:rFonts w:ascii="Times New Roman" w:hAnsi="Times New Roman"/>
          <w:sz w:val="20"/>
        </w:rPr>
        <w:t>The following table provides the computation of diluted weighted average number of common shares outstanding:</w:t>
      </w:r>
      <w:r>
        <w:rPr/>
        <w:t>   </w:t>
      </w:r>
    </w:p>
    <w:tbl>
      <w:tblPr>
        <w:tblW w:w="10205" w:type="dxa"/>
        <w:jc w:val="left"/>
        <w:tblInd w:w="0" w:type="dxa"/>
        <w:tblLayout w:type="fixed"/>
        <w:tblCellMar>
          <w:top w:w="0" w:type="dxa"/>
          <w:left w:w="0" w:type="dxa"/>
          <w:bottom w:w="0" w:type="dxa"/>
          <w:right w:w="0" w:type="dxa"/>
        </w:tblCellMar>
      </w:tblPr>
      <w:tblGrid>
        <w:gridCol w:w="6845"/>
        <w:gridCol w:w="125"/>
        <w:gridCol w:w="950"/>
        <w:gridCol w:w="60"/>
        <w:gridCol w:w="125"/>
        <w:gridCol w:w="950"/>
        <w:gridCol w:w="60"/>
        <w:gridCol w:w="125"/>
        <w:gridCol w:w="965"/>
      </w:tblGrid>
      <w:tr>
        <w:trPr/>
        <w:tc>
          <w:tcPr>
            <w:tcW w:w="6845" w:type="dxa"/>
            <w:tcBorders/>
            <w:vAlign w:val="center"/>
          </w:tcPr>
          <w:p>
            <w:pPr>
              <w:pStyle w:val="TableContents"/>
              <w:bidi w:val="0"/>
              <w:spacing w:before="0" w:after="0"/>
              <w:jc w:val="left"/>
              <w:rPr/>
            </w:pPr>
            <w:r>
              <w:rPr/>
              <w:t> </w:t>
            </w:r>
          </w:p>
        </w:tc>
        <w:tc>
          <w:tcPr>
            <w:tcW w:w="3360"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6845" w:type="dxa"/>
            <w:tcBorders/>
            <w:vAlign w:val="center"/>
          </w:tcPr>
          <w:p>
            <w:pPr>
              <w:pStyle w:val="TableContents"/>
              <w:bidi w:val="0"/>
              <w:spacing w:before="0" w:after="0"/>
              <w:jc w:val="left"/>
              <w:rPr/>
            </w:pPr>
            <w:r>
              <w:rPr/>
              <w:t> </w:t>
            </w:r>
          </w:p>
        </w:tc>
        <w:tc>
          <w:tcPr>
            <w:tcW w:w="107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7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9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6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earnings: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684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Net income attributable to Euronet Worldwide, Inc. stockholders</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309.5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306.0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279.7</w:t>
            </w:r>
          </w:p>
        </w:tc>
      </w:tr>
      <w:tr>
        <w:trPr/>
        <w:tc>
          <w:tcPr>
            <w:tcW w:w="684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Add: Interest expense from assumed conversion of convertible notes, net of tax</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r>
      <w:tr>
        <w:trPr/>
        <w:tc>
          <w:tcPr>
            <w:tcW w:w="6845"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Net income for diluted earnings per share calculation</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310.2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283.9</w:t>
            </w:r>
          </w:p>
        </w:tc>
      </w:tr>
      <w:tr>
        <w:trPr/>
        <w:tc>
          <w:tcPr>
            <w:tcW w:w="6845"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965"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68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weighted average shares outstanding:</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pPr>
            <w:r>
              <w:rPr/>
              <w:t> </w:t>
            </w:r>
          </w:p>
        </w:tc>
      </w:tr>
      <w:tr>
        <w:trPr/>
        <w:tc>
          <w:tcPr>
            <w:tcW w:w="6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shares outstanding</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41,813,424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44,896,711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48,482,006</w:t>
            </w:r>
          </w:p>
        </w:tc>
      </w:tr>
      <w:tr>
        <w:trPr/>
        <w:tc>
          <w:tcPr>
            <w:tcW w:w="68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exercise of stock options and vesting of restricted stock</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298,476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404,237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335,809</w:t>
            </w:r>
          </w:p>
        </w:tc>
      </w:tr>
      <w:tr>
        <w:trPr/>
        <w:tc>
          <w:tcPr>
            <w:tcW w:w="6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conversion of convertible debt</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3,670,901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2,781,818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2,781,818</w:t>
            </w:r>
          </w:p>
        </w:tc>
      </w:tr>
      <w:tr>
        <w:trPr/>
        <w:tc>
          <w:tcPr>
            <w:tcW w:w="68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shares outstanding</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45,782,801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48,082,766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6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51,599,633</w:t>
            </w:r>
          </w:p>
        </w:tc>
      </w:tr>
    </w:tbl>
    <w:p>
      <w:pPr>
        <w:pStyle w:val="TextBody"/>
        <w:bidi w:val="0"/>
        <w:spacing w:lineRule="atLeast" w:line="240" w:before="200" w:after="200"/>
        <w:jc w:val="both"/>
        <w:rPr/>
      </w:pPr>
      <w:r>
        <w:rPr>
          <w:rFonts w:ascii="Times New Roman" w:hAnsi="Times New Roman"/>
          <w:sz w:val="20"/>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2025, 2024</w:t>
      </w:r>
      <w:r>
        <w:rPr/>
        <w:t xml:space="preserve"> </w:t>
      </w:r>
      <w:r>
        <w:rPr>
          <w:rFonts w:ascii="Times New Roman" w:hAnsi="Times New Roman"/>
          <w:sz w:val="20"/>
        </w:rPr>
        <w:t>and 2023</w:t>
      </w:r>
      <w:r>
        <w:rPr/>
        <w:t xml:space="preserve"> </w:t>
      </w:r>
      <w:r>
        <w:rPr>
          <w:rFonts w:ascii="Times New Roman" w:hAnsi="Times New Roman"/>
          <w:sz w:val="20"/>
        </w:rPr>
        <w:t>of approximately 5,115,000,</w:t>
      </w:r>
      <w:r>
        <w:rPr/>
        <w:t> </w:t>
      </w:r>
      <w:r>
        <w:rPr>
          <w:rFonts w:ascii="Times New Roman" w:hAnsi="Times New Roman"/>
          <w:sz w:val="20"/>
        </w:rPr>
        <w:t>3,125,000</w:t>
      </w:r>
      <w:r>
        <w:rPr/>
        <w:t xml:space="preserve"> </w:t>
      </w:r>
      <w:r>
        <w:rPr>
          <w:rFonts w:ascii="Times New Roman" w:hAnsi="Times New Roman"/>
          <w:sz w:val="20"/>
        </w:rPr>
        <w:t>and</w:t>
      </w:r>
      <w:r>
        <w:rPr/>
        <w:t> </w:t>
      </w:r>
      <w:r>
        <w:rPr>
          <w:rFonts w:ascii="Times New Roman" w:hAnsi="Times New Roman"/>
          <w:sz w:val="20"/>
        </w:rPr>
        <w:t>3,768,000, respectively.</w:t>
      </w:r>
      <w:r>
        <w:rPr/>
        <w:t>  </w:t>
      </w:r>
    </w:p>
    <w:p>
      <w:pPr>
        <w:pStyle w:val="TextBody"/>
        <w:bidi w:val="0"/>
        <w:spacing w:lineRule="atLeast" w:line="240" w:before="0" w:after="0"/>
        <w:jc w:val="both"/>
        <w:rPr/>
      </w:pPr>
      <w:r>
        <w:rPr>
          <w:rFonts w:ascii="Times New Roman" w:hAnsi="Times New Roman"/>
          <w:sz w:val="20"/>
        </w:rPr>
        <w:t>Euronet issued Convertible Senior Notes ("Convertible Notes") due March 2049 (the “2049 Convertible Notes”) and October 2030 (the “2030 Convertible Notes”).</w:t>
      </w:r>
      <w:r>
        <w:rPr/>
        <w:t> </w:t>
      </w:r>
      <w:r>
        <w:rPr>
          <w:rFonts w:ascii="Times New Roman" w:hAnsi="Times New Roman"/>
          <w:sz w:val="20"/>
        </w:rPr>
        <w:t>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All shares issuable upon conversion of the Convertible Notes, assuming share settlement, are required to be included in the dilutive earnings per share calculation, if dilutive, regardless of whether the market price trigger has been met. Therefore, the Convertible Notes are included in the calculation of diluted earnings per share if their inclusion is dilutive. The dilutive effect increases the more the market price exceeds the applicable conversion price for each series of the Convertible Notes.</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In August 2025, in connection with the offering of the 2030 Convertible Notes, the Company entered into several Capped Call Options with various counterparties, which cover, subject to anti-dilution adjustments substantially similar to those in the 2030 Convertible Notes, an aggregate of</w:t>
      </w:r>
      <w:r>
        <w:rPr/>
        <w:t> </w:t>
      </w:r>
      <w:r>
        <w:rPr>
          <w:rFonts w:ascii="Times New Roman" w:hAnsi="Times New Roman"/>
          <w:sz w:val="20"/>
        </w:rPr>
        <w:t>7.9</w:t>
      </w:r>
      <w:r>
        <w:rPr/>
        <w:t> </w:t>
      </w:r>
      <w:r>
        <w:rPr>
          <w:rFonts w:ascii="Times New Roman" w:hAnsi="Times New Roman"/>
          <w:sz w:val="20"/>
        </w:rPr>
        <w:t>million shares of the Company’s common stock, the same number of shares that initially would be issuable upon conversion of the 2030 Convertible Notes. The Capped Call Options meet the criteria for classification as equity and, as such, are not remeasured each reporting period. During the third quarter of 2025, the Company paid $99.8</w:t>
      </w:r>
      <w:r>
        <w:rPr/>
        <w:t> </w:t>
      </w:r>
      <w:r>
        <w:rPr>
          <w:rFonts w:ascii="Times New Roman" w:hAnsi="Times New Roman"/>
          <w:sz w:val="20"/>
        </w:rPr>
        <w:t>million for the Capped Call Options, which was recorded as a reduction to “Additional paid-in capital” within the Company’s consolidated financial statements along with the offsetting associated deferred tax impact of $25.9</w:t>
      </w:r>
      <w:r>
        <w:rPr/>
        <w:t> </w:t>
      </w:r>
      <w:r>
        <w:rPr>
          <w:rFonts w:ascii="Times New Roman" w:hAnsi="Times New Roman"/>
          <w:sz w:val="20"/>
        </w:rPr>
        <w:t>million.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Capped Call Options and diluted EPS. In connection with the issuance of the 2030 Convertible Notes, the Company entered into capped call transactions intended to reduce or offset potential dilution to the Company’s common stock upon any conversion of the 2030 Convertible Notes and/or to offset any cash payments the Company is required to make in excess of the principal amount, in each case up to the cap price of the capped calls. The capped calls are purchased call options on the Company’s common stock that are classified in equity and are not remeasured each reporting period. In accordance with ASC 260, the capped calls are excluded from the computation of diluted earnings per share because their effect is anti</w:t>
      </w:r>
      <w:r>
        <w:rPr/>
        <w:noBreakHyphen/>
      </w:r>
      <w:r>
        <w:rPr>
          <w:rFonts w:ascii="Times New Roman" w:hAnsi="Times New Roman"/>
          <w:sz w:val="20"/>
        </w:rPr>
        <w:t>dilutive; consequently, they are not reflected in diluted weighted average shares outstanding, regardless of whether they are in</w:t>
      </w:r>
      <w:r>
        <w:rPr/>
        <w:noBreakHyphen/>
      </w:r>
      <w:r>
        <w:rPr>
          <w:rFonts w:ascii="Times New Roman" w:hAnsi="Times New Roman"/>
          <w:sz w:val="20"/>
        </w:rPr>
        <w:t>the</w:t>
      </w:r>
      <w:r>
        <w:rPr/>
        <w:noBreakHyphen/>
      </w:r>
      <w:r>
        <w:rPr>
          <w:rFonts w:ascii="Times New Roman" w:hAnsi="Times New Roman"/>
          <w:sz w:val="20"/>
        </w:rPr>
        <w:t>money during the period. The capped calls economically offset dilution from assumed conversion of the 2030 Convertible Notes up to the capped price but do not affect the diluted EPS calculation.</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During March 2025, almost all of the holders of the 2049 Convertible Notes exercised their right to require the Company to repurchase their 2049 Convertible Notes, and the Company repurchased $491.8</w:t>
      </w:r>
      <w:r>
        <w:rPr/>
        <w:t> </w:t>
      </w:r>
      <w:r>
        <w:rPr>
          <w:rFonts w:ascii="Times New Roman" w:hAnsi="Times New Roman"/>
          <w:sz w:val="20"/>
        </w:rPr>
        <w:t>million of the 2049 Convertible Notes leaving $33.2</w:t>
      </w:r>
      <w:r>
        <w:rPr/>
        <w:t> </w:t>
      </w:r>
      <w:r>
        <w:rPr>
          <w:rFonts w:ascii="Times New Roman" w:hAnsi="Times New Roman"/>
          <w:sz w:val="20"/>
        </w:rPr>
        <w:t>million of the 2049 Convertible Notes outstanding at</w:t>
      </w:r>
      <w:r>
        <w:rPr/>
        <w:t> </w:t>
      </w:r>
      <w:r>
        <w:rPr>
          <w:rFonts w:ascii="Times New Roman" w:hAnsi="Times New Roman"/>
          <w:sz w:val="20"/>
        </w:rPr>
        <w:t>December 31, 2025.</w:t>
      </w:r>
    </w:p>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The issuance of the 2030 Convertible Notes increased the weighted average incremental shares from assumed conversion from</w:t>
      </w:r>
      <w:r>
        <w:rPr/>
        <w:t> </w:t>
      </w:r>
      <w:r>
        <w:rPr>
          <w:rFonts w:ascii="Times New Roman" w:hAnsi="Times New Roman"/>
          <w:sz w:val="20"/>
        </w:rPr>
        <w:t>2.8</w:t>
      </w:r>
      <w:r>
        <w:rPr/>
        <w:t> </w:t>
      </w:r>
      <w:r>
        <w:rPr>
          <w:rFonts w:ascii="Times New Roman" w:hAnsi="Times New Roman"/>
          <w:sz w:val="20"/>
        </w:rPr>
        <w:t>million in the prior year to</w:t>
      </w:r>
      <w:r>
        <w:rPr/>
        <w:t> </w:t>
      </w:r>
      <w:r>
        <w:rPr>
          <w:rFonts w:ascii="Times New Roman" w:hAnsi="Times New Roman"/>
          <w:sz w:val="20"/>
        </w:rPr>
        <w:t>3.7</w:t>
      </w:r>
      <w:r>
        <w:rPr/>
        <w:t> </w:t>
      </w:r>
      <w:r>
        <w:rPr>
          <w:rFonts w:ascii="Times New Roman" w:hAnsi="Times New Roman"/>
          <w:sz w:val="20"/>
        </w:rPr>
        <w:t>million, partially offset by a decrease due to the repurchase of the 2049 Convertible Notes for the three months ended</w:t>
      </w:r>
      <w:r>
        <w:rPr/>
        <w:t> </w:t>
      </w:r>
      <w:r>
        <w:rPr>
          <w:rFonts w:ascii="Times New Roman" w:hAnsi="Times New Roman"/>
          <w:sz w:val="20"/>
        </w:rPr>
        <w:t>September 30, 2025.</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See Note 12, Debt Obligations, to the consolidated financial statements for more information about the Convertible Notes and the Capped Call Options.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spacing w:lineRule="atLeast" w:line="240" w:before="0" w:after="120"/>
        <w:jc w:val="both"/>
        <w:rPr>
          <w:rFonts w:ascii="Times New Roman" w:hAnsi="Times New Roman"/>
          <w:b/>
          <w:i/>
          <w:sz w:val="20"/>
        </w:rPr>
      </w:pPr>
      <w:r>
        <w:rPr>
          <w:rFonts w:ascii="Times New Roman" w:hAnsi="Times New Roman"/>
          <w:b/>
          <w:i/>
          <w:sz w:val="20"/>
        </w:rPr>
        <w:t>Share repurchases</w:t>
      </w:r>
    </w:p>
    <w:p>
      <w:pPr>
        <w:pStyle w:val="TextBody"/>
        <w:bidi w:val="0"/>
        <w:spacing w:lineRule="atLeast" w:line="240" w:before="0" w:after="0"/>
        <w:jc w:val="both"/>
        <w:rPr/>
      </w:pPr>
      <w:r>
        <w:rPr>
          <w:rFonts w:ascii="Times New Roman" w:hAnsi="Times New Roman"/>
          <w:sz w:val="20"/>
        </w:rPr>
        <w:t>(1)</w:t>
      </w:r>
      <w:r>
        <w:rPr/>
        <w:t> </w:t>
      </w:r>
      <w:r>
        <w:rPr>
          <w:rFonts w:ascii="Times New Roman" w:hAnsi="Times New Roman"/>
          <w:sz w:val="20"/>
        </w:rPr>
        <w:t>On September 13, 2023, the Company initiated a repurchase program to repurchase up to $350</w:t>
      </w:r>
      <w:r>
        <w:rPr/>
        <w:t> </w:t>
      </w:r>
      <w:r>
        <w:rPr>
          <w:rFonts w:ascii="Times New Roman" w:hAnsi="Times New Roman"/>
          <w:sz w:val="20"/>
        </w:rPr>
        <w:t>million in value, but not more than</w:t>
      </w:r>
      <w:r>
        <w:rPr/>
        <w:t> </w:t>
      </w:r>
      <w:r>
        <w:rPr>
          <w:rFonts w:ascii="Times New Roman" w:hAnsi="Times New Roman"/>
          <w:sz w:val="20"/>
        </w:rPr>
        <w:t>7.0</w:t>
      </w:r>
      <w:r>
        <w:rPr/>
        <w:t> </w:t>
      </w:r>
      <w:r>
        <w:rPr>
          <w:rFonts w:ascii="Times New Roman" w:hAnsi="Times New Roman"/>
          <w:sz w:val="20"/>
        </w:rPr>
        <w:t>million shares of common stock through September 13, 2025.</w:t>
      </w:r>
      <w:r>
        <w:rPr/>
        <w:t> </w:t>
      </w:r>
      <w:r>
        <w:rPr>
          <w:rFonts w:ascii="Times New Roman" w:hAnsi="Times New Roman"/>
          <w:sz w:val="20"/>
        </w:rPr>
        <w:t>During 2025, we repurchased 1,732,929</w:t>
      </w:r>
      <w:r>
        <w:rPr/>
        <w:t xml:space="preserve"> </w:t>
      </w:r>
      <w:r>
        <w:rPr>
          <w:rFonts w:ascii="Times New Roman" w:hAnsi="Times New Roman"/>
          <w:sz w:val="20"/>
        </w:rPr>
        <w:t>shares under the repurchase program at a weighted average purchase price of</w:t>
      </w:r>
      <w:r>
        <w:rPr/>
        <w:t> </w:t>
      </w:r>
      <w:r>
        <w:rPr>
          <w:rFonts w:ascii="Times New Roman" w:hAnsi="Times New Roman"/>
          <w:sz w:val="20"/>
        </w:rPr>
        <w:t>$104.70</w:t>
      </w:r>
      <w:r>
        <w:rPr/>
        <w:t> </w:t>
      </w:r>
      <w:r>
        <w:rPr>
          <w:rFonts w:ascii="Times New Roman" w:hAnsi="Times New Roman"/>
          <w:sz w:val="20"/>
        </w:rPr>
        <w:t>for a total value of</w:t>
      </w:r>
      <w:r>
        <w:rPr/>
        <w:t> </w:t>
      </w:r>
      <w:r>
        <w:rPr>
          <w:rFonts w:ascii="Times New Roman" w:hAnsi="Times New Roman"/>
          <w:sz w:val="20"/>
        </w:rPr>
        <w:t>$181.4</w:t>
      </w:r>
      <w:r>
        <w:rPr/>
        <w:t xml:space="preserve"> </w:t>
      </w:r>
      <w:r>
        <w:rPr>
          <w:rFonts w:ascii="Times New Roman" w:hAnsi="Times New Roman"/>
          <w:sz w:val="20"/>
        </w:rPr>
        <w:t>million.</w:t>
      </w:r>
      <w:r>
        <w:rPr/>
        <w:t> </w:t>
      </w:r>
      <w:r>
        <w:rPr>
          <w:rFonts w:ascii="Times New Roman" w:hAnsi="Times New Roman"/>
          <w:sz w:val="20"/>
        </w:rPr>
        <w:t>No</w:t>
      </w:r>
      <w:r>
        <w:rPr/>
        <w:t xml:space="preserve"> </w:t>
      </w:r>
      <w:r>
        <w:rPr>
          <w:rFonts w:ascii="Times New Roman" w:hAnsi="Times New Roman"/>
          <w:sz w:val="20"/>
        </w:rPr>
        <w:t>additional shares are available for repurchase under this repurchase program.</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September 11, 2024, the Company initiated a repurchase program to repurchase up to $350</w:t>
      </w:r>
      <w:r>
        <w:rPr/>
        <w:t> </w:t>
      </w:r>
      <w:r>
        <w:rPr>
          <w:rFonts w:ascii="Times New Roman" w:hAnsi="Times New Roman"/>
          <w:sz w:val="20"/>
        </w:rPr>
        <w:t>million in value, but not more than</w:t>
      </w:r>
      <w:r>
        <w:rPr/>
        <w:t> </w:t>
      </w:r>
      <w:r>
        <w:rPr>
          <w:rFonts w:ascii="Times New Roman" w:hAnsi="Times New Roman"/>
          <w:sz w:val="20"/>
        </w:rPr>
        <w:t>7.0</w:t>
      </w:r>
      <w:r>
        <w:rPr/>
        <w:t> </w:t>
      </w:r>
      <w:r>
        <w:rPr>
          <w:rFonts w:ascii="Times New Roman" w:hAnsi="Times New Roman"/>
          <w:sz w:val="20"/>
        </w:rPr>
        <w:t>million shares of common stock through September 11, 2026.</w:t>
      </w:r>
      <w:r>
        <w:rPr/>
        <w:t> </w:t>
      </w:r>
      <w:r>
        <w:rPr>
          <w:rFonts w:ascii="Times New Roman" w:hAnsi="Times New Roman"/>
          <w:sz w:val="20"/>
        </w:rPr>
        <w:t>During 2025, we repurchased 3,780,154</w:t>
      </w:r>
      <w:r>
        <w:rPr/>
        <w:t> </w:t>
      </w:r>
      <w:r>
        <w:rPr>
          <w:rFonts w:ascii="Times New Roman" w:hAnsi="Times New Roman"/>
          <w:sz w:val="20"/>
        </w:rPr>
        <w:t>shares under the repurchase program at a weighted average purchase price of</w:t>
      </w:r>
      <w:r>
        <w:rPr/>
        <w:t> </w:t>
      </w:r>
      <w:r>
        <w:rPr>
          <w:rFonts w:ascii="Times New Roman" w:hAnsi="Times New Roman"/>
          <w:sz w:val="20"/>
        </w:rPr>
        <w:t>$92.59</w:t>
      </w:r>
      <w:r>
        <w:rPr/>
        <w:t> </w:t>
      </w:r>
      <w:r>
        <w:rPr>
          <w:rFonts w:ascii="Times New Roman" w:hAnsi="Times New Roman"/>
          <w:sz w:val="20"/>
        </w:rPr>
        <w:t>for a total value of</w:t>
      </w:r>
      <w:r>
        <w:rPr/>
        <w:t> </w:t>
      </w:r>
      <w:r>
        <w:rPr>
          <w:rFonts w:ascii="Times New Roman" w:hAnsi="Times New Roman"/>
          <w:sz w:val="20"/>
        </w:rPr>
        <w:t>$350.0</w:t>
      </w:r>
      <w:r>
        <w:rPr/>
        <w:t xml:space="preserve"> </w:t>
      </w:r>
      <w:r>
        <w:rPr>
          <w:rFonts w:ascii="Times New Roman" w:hAnsi="Times New Roman"/>
          <w:sz w:val="20"/>
        </w:rPr>
        <w:t>million. No additional shares are available for repurchase under this repurchase program.</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 3, 2025, the Company put a repurchase program in place to repurchase up to $400</w:t>
      </w:r>
      <w:r>
        <w:rPr/>
        <w:t> </w:t>
      </w:r>
      <w:r>
        <w:rPr>
          <w:rFonts w:ascii="Times New Roman" w:hAnsi="Times New Roman"/>
          <w:sz w:val="20"/>
        </w:rPr>
        <w:t>million in value, but not more than</w:t>
      </w:r>
      <w:r>
        <w:rPr/>
        <w:t> </w:t>
      </w:r>
      <w:r>
        <w:rPr>
          <w:rFonts w:ascii="Times New Roman" w:hAnsi="Times New Roman"/>
          <w:sz w:val="20"/>
        </w:rPr>
        <w:t>8.0</w:t>
      </w:r>
      <w:r>
        <w:rPr/>
        <w:t> </w:t>
      </w:r>
      <w:r>
        <w:rPr>
          <w:rFonts w:ascii="Times New Roman" w:hAnsi="Times New Roman"/>
          <w:sz w:val="20"/>
        </w:rPr>
        <w:t>million shares of common stock through June 3, 2027. During 2025, we repurchased 1,730,566</w:t>
      </w:r>
      <w:r>
        <w:rPr/>
        <w:t xml:space="preserve"> </w:t>
      </w:r>
      <w:r>
        <w:rPr>
          <w:rFonts w:ascii="Times New Roman" w:hAnsi="Times New Roman"/>
          <w:sz w:val="20"/>
        </w:rPr>
        <w:t>shares under the repurchase program at a weighted average purchase price of</w:t>
      </w:r>
      <w:r>
        <w:rPr/>
        <w:t> </w:t>
      </w:r>
      <w:r>
        <w:rPr>
          <w:rFonts w:ascii="Times New Roman" w:hAnsi="Times New Roman"/>
          <w:sz w:val="20"/>
        </w:rPr>
        <w:t>$76.02</w:t>
      </w:r>
      <w:r>
        <w:rPr/>
        <w:t> </w:t>
      </w:r>
      <w:r>
        <w:rPr>
          <w:rFonts w:ascii="Times New Roman" w:hAnsi="Times New Roman"/>
          <w:sz w:val="20"/>
        </w:rPr>
        <w:t>for a total value of</w:t>
      </w:r>
      <w:r>
        <w:rPr/>
        <w:t> </w:t>
      </w:r>
      <w:r>
        <w:rPr>
          <w:rFonts w:ascii="Times New Roman" w:hAnsi="Times New Roman"/>
          <w:sz w:val="20"/>
        </w:rPr>
        <w:t>$131.6</w:t>
      </w:r>
      <w:r>
        <w:rPr/>
        <w:t xml:space="preserve">  </w:t>
      </w:r>
      <w:r>
        <w:rPr>
          <w:rFonts w:ascii="Times New Roman" w:hAnsi="Times New Roman"/>
          <w:sz w:val="20"/>
        </w:rPr>
        <w:t>million.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February 24, 2026, the Company put a repurchase program in place to repurchase up to $425</w:t>
      </w:r>
      <w:r>
        <w:rPr/>
        <w:t xml:space="preserve"> </w:t>
      </w:r>
      <w:r>
        <w:rPr>
          <w:rFonts w:ascii="Times New Roman" w:hAnsi="Times New Roman"/>
          <w:sz w:val="20"/>
        </w:rPr>
        <w:t>million in value, but not more than 10</w:t>
      </w:r>
      <w:r>
        <w:rPr/>
        <w:t xml:space="preserve"> </w:t>
      </w:r>
      <w:r>
        <w:rPr>
          <w:rFonts w:ascii="Times New Roman" w:hAnsi="Times New Roman"/>
          <w:sz w:val="20"/>
        </w:rPr>
        <w:t>million shares of common stock. The Company has not made any repurchases under this plan.</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Repurchases under the programs may take place in the open market or in privately negotiated transactions, including derivative transactions, and may be made under a Rule</w:t>
      </w:r>
      <w:r>
        <w:rPr/>
        <w:t> </w:t>
      </w:r>
      <w:r>
        <w:rPr>
          <w:rFonts w:ascii="Times New Roman" w:hAnsi="Times New Roman"/>
          <w:sz w:val="20"/>
        </w:rPr>
        <w:t>10b5-1</w:t>
      </w:r>
      <w:r>
        <w:rPr/>
        <w:t> </w:t>
      </w:r>
      <w:r>
        <w:rPr>
          <w:rFonts w:ascii="Times New Roman" w:hAnsi="Times New Roman"/>
          <w:sz w:val="20"/>
        </w:rPr>
        <w:t>plan.</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Inflation Reduction Act (IRA) was signed into law in August 2022. Among other things, it imposes a 1% excise tax on net share repurchases.</w:t>
      </w:r>
    </w:p>
    <w:p>
      <w:pPr>
        <w:pStyle w:val="TextBody"/>
        <w:bidi w:val="0"/>
        <w:spacing w:lineRule="atLeast" w:line="200" w:before="0" w:after="0"/>
        <w:jc w:val="both"/>
        <w:rPr/>
      </w:pPr>
      <w:r>
        <w:rPr/>
        <w:t> </w:t>
      </w:r>
    </w:p>
    <w:p>
      <w:pPr>
        <w:pStyle w:val="TextBody"/>
        <w:bidi w:val="0"/>
        <w:spacing w:lineRule="atLeast" w:line="240" w:before="0" w:after="0"/>
        <w:jc w:val="both"/>
        <w:rPr/>
      </w:pPr>
      <w:r>
        <w:rPr>
          <w:rFonts w:ascii="Times New Roman" w:hAnsi="Times New Roman"/>
          <w:b/>
          <w:i/>
          <w:sz w:val="20"/>
        </w:rPr>
        <w:t>Preferred Stock</w:t>
      </w:r>
      <w:r>
        <w:rPr/>
        <w:t xml:space="preserve"> </w:t>
      </w:r>
    </w:p>
    <w:p>
      <w:pPr>
        <w:pStyle w:val="TextBody"/>
        <w:bidi w:val="0"/>
        <w:spacing w:lineRule="atLeast" w:line="200" w:before="0" w:after="0"/>
        <w:jc w:val="both"/>
        <w:rPr/>
      </w:pPr>
      <w:r>
        <w:rPr/>
        <w:t> </w:t>
      </w:r>
    </w:p>
    <w:p>
      <w:pPr>
        <w:pStyle w:val="TextBody"/>
        <w:bidi w:val="0"/>
        <w:spacing w:lineRule="atLeast" w:line="240" w:before="0" w:after="0"/>
        <w:jc w:val="both"/>
        <w:rPr/>
      </w:pPr>
      <w:r>
        <w:rPr>
          <w:rFonts w:ascii="Times New Roman" w:hAnsi="Times New Roman"/>
          <w:sz w:val="20"/>
        </w:rPr>
        <w:t>The Company has the authority to issue up to 10</w:t>
      </w:r>
      <w:r>
        <w:rPr/>
        <w:t xml:space="preserve"> </w:t>
      </w:r>
      <w:r>
        <w:rPr>
          <w:rFonts w:ascii="Times New Roman" w:hAnsi="Times New Roman"/>
          <w:sz w:val="20"/>
        </w:rPr>
        <w:t>million shares of preferred stock, of which no</w:t>
      </w:r>
      <w:r>
        <w:rPr/>
        <w:t xml:space="preserve"> </w:t>
      </w:r>
      <w:r>
        <w:rPr>
          <w:rFonts w:ascii="Times New Roman" w:hAnsi="Times New Roman"/>
          <w:sz w:val="20"/>
        </w:rPr>
        <w:t xml:space="preserve">shares are currently issued or outstanding. </w:t>
      </w:r>
    </w:p>
    <w:p>
      <w:pPr>
        <w:pStyle w:val="TextBody"/>
        <w:bidi w:val="0"/>
        <w:spacing w:lineRule="atLeast" w:line="20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Accumulated other comprehensive gain (loss)</w:t>
      </w:r>
    </w:p>
    <w:p>
      <w:pPr>
        <w:pStyle w:val="TextBody"/>
        <w:bidi w:val="0"/>
        <w:spacing w:lineRule="atLeast" w:line="200" w:before="0" w:after="0"/>
        <w:jc w:val="both"/>
        <w:rPr/>
      </w:pPr>
      <w:r>
        <w:rPr/>
        <w:t> </w:t>
      </w:r>
    </w:p>
    <w:p>
      <w:pPr>
        <w:pStyle w:val="TextBody"/>
        <w:bidi w:val="0"/>
        <w:spacing w:lineRule="atLeast" w:line="240" w:before="0" w:after="0"/>
        <w:jc w:val="both"/>
        <w:rPr/>
      </w:pPr>
      <w:r>
        <w:rPr>
          <w:rFonts w:ascii="Times New Roman" w:hAnsi="Times New Roman"/>
          <w:sz w:val="20"/>
        </w:rPr>
        <w:t>As of December 31, 2025</w:t>
      </w:r>
      <w:r>
        <w:rPr/>
        <w:t xml:space="preserve"> </w:t>
      </w:r>
      <w:r>
        <w:rPr>
          <w:rFonts w:ascii="Times New Roman" w:hAnsi="Times New Roman"/>
          <w:sz w:val="20"/>
        </w:rPr>
        <w:t>and 2024, accumulated other comprehensive gain (loss) consists entirely of foreign currency translation adjustments. The Company recorded a foreign currency translation gain</w:t>
      </w:r>
      <w:r>
        <w:rPr/>
        <w:t> </w:t>
      </w:r>
      <w:r>
        <w:rPr>
          <w:rFonts w:ascii="Times New Roman" w:hAnsi="Times New Roman"/>
          <w:sz w:val="20"/>
        </w:rPr>
        <w:t>of $258.7</w:t>
      </w:r>
      <w:r>
        <w:rPr/>
        <w:t xml:space="preserve"> </w:t>
      </w:r>
      <w:r>
        <w:rPr>
          <w:rFonts w:ascii="Times New Roman" w:hAnsi="Times New Roman"/>
          <w:sz w:val="20"/>
        </w:rPr>
        <w:t>million, a loss of $117.8</w:t>
      </w:r>
      <w:r>
        <w:rPr/>
        <w:t xml:space="preserve"> </w:t>
      </w:r>
      <w:r>
        <w:rPr>
          <w:rFonts w:ascii="Times New Roman" w:hAnsi="Times New Roman"/>
          <w:sz w:val="20"/>
        </w:rPr>
        <w:t>million and a gain of $47.9</w:t>
      </w:r>
      <w:r>
        <w:rPr/>
        <w:t xml:space="preserve"> </w:t>
      </w:r>
      <w:r>
        <w:rPr>
          <w:rFonts w:ascii="Times New Roman" w:hAnsi="Times New Roman"/>
          <w:sz w:val="20"/>
        </w:rPr>
        <w:t>million for the years ended December 31, 2025, 2024, and 2023, respectively. There were no</w:t>
      </w:r>
      <w:r>
        <w:rPr/>
        <w:t xml:space="preserve"> </w:t>
      </w:r>
      <w:r>
        <w:rPr>
          <w:rFonts w:ascii="Times New Roman" w:hAnsi="Times New Roman"/>
          <w:sz w:val="20"/>
        </w:rPr>
        <w:t>reclassifications of foreign currency translation into the Consolidated Statements of Operations for the years ended December 31, 2025, 2024, and 2023.</w:t>
      </w:r>
    </w:p>
    <w:p>
      <w:pPr>
        <w:pStyle w:val="TextBody"/>
        <w:bidi w:val="0"/>
        <w:spacing w:lineRule="atLeast" w:line="20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Dividends</w:t>
      </w:r>
    </w:p>
    <w:p>
      <w:pPr>
        <w:pStyle w:val="TextBody"/>
        <w:bidi w:val="0"/>
        <w:spacing w:lineRule="atLeast" w:line="200" w:before="0" w:after="0"/>
        <w:jc w:val="both"/>
        <w:rPr/>
      </w:pPr>
      <w:r>
        <w:rPr/>
        <w:t> </w:t>
      </w:r>
    </w:p>
    <w:p>
      <w:pPr>
        <w:pStyle w:val="TextBody"/>
        <w:bidi w:val="0"/>
        <w:spacing w:lineRule="atLeast" w:line="240" w:before="0" w:after="0"/>
        <w:jc w:val="both"/>
        <w:rPr/>
      </w:pPr>
      <w:r>
        <w:rPr>
          <w:rFonts w:ascii="Times New Roman" w:hAnsi="Times New Roman"/>
          <w:sz w:val="20"/>
        </w:rPr>
        <w:t>No</w:t>
      </w:r>
      <w:r>
        <w:rPr/>
        <w:t xml:space="preserve"> </w:t>
      </w:r>
      <w:r>
        <w:rPr>
          <w:rFonts w:ascii="Times New Roman" w:hAnsi="Times New Roman"/>
          <w:sz w:val="20"/>
        </w:rPr>
        <w:t>dividends were paid on any class of the Company's stock during 2025, 2024, and 2023.</w:t>
      </w:r>
    </w:p>
    <w:p>
      <w:pPr>
        <w:pStyle w:val="TextBody"/>
        <w:bidi w:val="0"/>
        <w:spacing w:before="0" w:after="180"/>
        <w:jc w:val="both"/>
        <w:rPr/>
      </w:pPr>
      <w:r>
        <w:rPr/>
        <w:t> </w:t>
      </w:r>
    </w:p>
    <w:p>
      <w:pPr>
        <w:pStyle w:val="TextBody"/>
        <w:bidi w:val="0"/>
        <w:spacing w:before="0" w:after="0"/>
        <w:jc w:val="left"/>
        <w:rPr/>
      </w:pPr>
      <w:r>
        <w:rPr/>
        <w:t> </w:t>
      </w:r>
    </w:p>
    <w:p>
      <w:pPr>
        <w:pStyle w:val="TextBody"/>
        <w:bidi w:val="0"/>
        <w:spacing w:before="0" w:after="0"/>
        <w:jc w:val="left"/>
        <w:rPr/>
      </w:pPr>
      <w:hyperlink w:anchor="TOC">
        <w:bookmarkStart w:id="43" w:name="bm_2bd07dc3e396e41d"/>
        <w:bookmarkEnd w:id="43"/>
        <w:r>
          <w:rPr>
            <w:rStyle w:val="InternetLink"/>
            <w:rFonts w:ascii="Times New Roman" w:hAnsi="Times New Roman"/>
            <w:b/>
            <w:strike w:val="false"/>
            <w:dstrike w:val="false"/>
            <w:color w:val="000000"/>
            <w:sz w:val="20"/>
            <w:u w:val="none"/>
            <w:effect w:val="none"/>
          </w:rPr>
          <w:t>(6) Acquisitions</w:t>
        </w:r>
      </w:hyperlink>
    </w:p>
    <w:p>
      <w:pPr>
        <w:pStyle w:val="TextBody"/>
        <w:bidi w:val="0"/>
        <w:spacing w:before="0" w:after="0"/>
        <w:jc w:val="left"/>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Acquisitions 2025</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Kyodai (Japan)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May</w:t>
      </w:r>
      <w:r>
        <w:rPr>
          <w:sz w:val="20"/>
        </w:rPr>
        <w:t> </w:t>
      </w:r>
      <w:r>
        <w:rPr>
          <w:rFonts w:ascii="Times New Roman" w:hAnsi="Times New Roman"/>
          <w:sz w:val="20"/>
        </w:rPr>
        <w:t>31,</w:t>
      </w:r>
      <w:r>
        <w:rPr>
          <w:sz w:val="20"/>
        </w:rPr>
        <w:t> </w:t>
      </w:r>
      <w:r>
        <w:rPr>
          <w:rFonts w:ascii="Times New Roman" w:hAnsi="Times New Roman"/>
          <w:sz w:val="20"/>
        </w:rPr>
        <w:t>2025, Euronet completed the acquisition of a</w:t>
      </w:r>
      <w:r>
        <w:rPr>
          <w:sz w:val="20"/>
        </w:rPr>
        <w:t> </w:t>
      </w:r>
      <w:r>
        <w:rPr>
          <w:rFonts w:ascii="Times New Roman" w:hAnsi="Times New Roman"/>
          <w:sz w:val="20"/>
        </w:rPr>
        <w:t>60% equity stake in UNIDOS CO. LTD from multiple shareholders for a consideration of $20.0</w:t>
      </w:r>
      <w:r>
        <w:rPr>
          <w:sz w:val="20"/>
        </w:rPr>
        <w:t> </w:t>
      </w:r>
      <w:r>
        <w:rPr>
          <w:rFonts w:ascii="Times New Roman" w:hAnsi="Times New Roman"/>
          <w:sz w:val="20"/>
        </w:rPr>
        <w:t>million, including a probable earn out of $1.6</w:t>
      </w:r>
      <w:r>
        <w:rPr>
          <w:sz w:val="20"/>
        </w:rPr>
        <w:t> </w:t>
      </w:r>
      <w:r>
        <w:rPr>
          <w:rFonts w:ascii="Times New Roman" w:hAnsi="Times New Roman"/>
          <w:sz w:val="20"/>
        </w:rPr>
        <w:t>million. The effective date of control is June</w:t>
      </w:r>
      <w:r>
        <w:rPr>
          <w:sz w:val="20"/>
        </w:rPr>
        <w:t> </w:t>
      </w:r>
      <w:r>
        <w:rPr>
          <w:rFonts w:ascii="Times New Roman" w:hAnsi="Times New Roman"/>
          <w:sz w:val="20"/>
        </w:rPr>
        <w:t>1,</w:t>
      </w:r>
      <w:r>
        <w:rPr>
          <w:sz w:val="20"/>
        </w:rPr>
        <w:t> </w:t>
      </w:r>
      <w:r>
        <w:rPr>
          <w:rFonts w:ascii="Times New Roman" w:hAnsi="Times New Roman"/>
          <w:sz w:val="20"/>
        </w:rPr>
        <w:t>2025. The Company allocated $9.9</w:t>
      </w:r>
      <w:r>
        <w:rPr>
          <w:sz w:val="20"/>
        </w:rPr>
        <w:t> </w:t>
      </w:r>
      <w:r>
        <w:rPr>
          <w:rFonts w:ascii="Times New Roman" w:hAnsi="Times New Roman"/>
          <w:sz w:val="20"/>
        </w:rPr>
        <w:t>million of the enterprise value to customer relationships, $7.9</w:t>
      </w:r>
      <w:r>
        <w:rPr>
          <w:sz w:val="20"/>
        </w:rPr>
        <w:t> </w:t>
      </w:r>
      <w:r>
        <w:rPr>
          <w:rFonts w:ascii="Times New Roman" w:hAnsi="Times New Roman"/>
          <w:sz w:val="20"/>
        </w:rPr>
        <w:t>million to acquired net assets, $3.5</w:t>
      </w:r>
      <w:r>
        <w:rPr>
          <w:sz w:val="20"/>
        </w:rPr>
        <w:t> </w:t>
      </w:r>
      <w:r>
        <w:rPr>
          <w:rFonts w:ascii="Times New Roman" w:hAnsi="Times New Roman"/>
          <w:sz w:val="20"/>
        </w:rPr>
        <w:t>million to deferred tax liability, $12</w:t>
      </w:r>
      <w:r>
        <w:rPr>
          <w:sz w:val="20"/>
        </w:rPr>
        <w:t> </w:t>
      </w:r>
      <w:r>
        <w:rPr>
          <w:rFonts w:ascii="Times New Roman" w:hAnsi="Times New Roman"/>
          <w:sz w:val="20"/>
        </w:rPr>
        <w:t>million to non-controlling interest and the remaining $17.7</w:t>
      </w:r>
      <w:r>
        <w:rPr>
          <w:sz w:val="20"/>
        </w:rPr>
        <w:t> </w:t>
      </w:r>
      <w:r>
        <w:rPr>
          <w:rFonts w:ascii="Times New Roman" w:hAnsi="Times New Roman"/>
          <w:sz w:val="20"/>
        </w:rPr>
        <w:t>million to goodwill.</w:t>
      </w:r>
      <w:r>
        <w:rPr>
          <w:sz w:val="20"/>
        </w:rPr>
        <w:t> </w:t>
      </w:r>
      <w:r>
        <w:rPr>
          <w:rFonts w:ascii="Times New Roman" w:hAnsi="Times New Roman"/>
          <w:sz w:val="20"/>
        </w:rPr>
        <w:t>The purchase price was preliminary allocated to the assets acquired and liabilities assumed including identifiable intangible assets based on provisional values at the date of the acquisition. The acquisition has been accounted for as a business combination in accordance with US GAAP and the results of operations have been included in the Money Transfer segment.</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CoreCard (USA)</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October 30, 2025, the Company completed the acquisition of 100% of the outstanding equity of CoreCard Corporation pursuant to the Agreement and Plan of Merger dated July 30, 2025. Under the terms of the agreement, each CoreCard common share converted into 0.3142</w:t>
      </w:r>
      <w:r>
        <w:rPr>
          <w:sz w:val="20"/>
        </w:rPr>
        <w:t xml:space="preserve"> </w:t>
      </w:r>
      <w:r>
        <w:rPr>
          <w:rFonts w:ascii="Times New Roman" w:hAnsi="Times New Roman"/>
          <w:sz w:val="20"/>
        </w:rPr>
        <w:t>shares of Euronet common stock, with fractional shares settled in cash at the closing price of Euronet stock on the trading day immediately preceding the acquisition date. In addition, unvested CoreCard RSUs vested at closing and were settled in Euronet shares, and outstanding stock options were cash</w:t>
      </w:r>
      <w:r>
        <w:rPr>
          <w:sz w:val="20"/>
        </w:rPr>
        <w:noBreakHyphen/>
      </w:r>
      <w:r>
        <w:rPr>
          <w:rFonts w:ascii="Times New Roman" w:hAnsi="Times New Roman"/>
          <w:sz w:val="20"/>
        </w:rPr>
        <w:t>settled at intrinsic value. The total purchase consideration was $192.7</w:t>
      </w:r>
      <w:r>
        <w:rPr>
          <w:sz w:val="20"/>
        </w:rPr>
        <w:t xml:space="preserve"> </w:t>
      </w:r>
      <w:r>
        <w:rPr>
          <w:rFonts w:ascii="Times New Roman" w:hAnsi="Times New Roman"/>
          <w:sz w:val="20"/>
        </w:rPr>
        <w:t>million and consisted of the fair value of Euronet shares issued, cash in lieu of fractional shares, and cash to settle options and RSU</w:t>
      </w:r>
      <w:r>
        <w:rPr>
          <w:sz w:val="20"/>
        </w:rPr>
        <w:noBreakHyphen/>
      </w:r>
      <w:r>
        <w:rPr>
          <w:rFonts w:ascii="Times New Roman" w:hAnsi="Times New Roman"/>
          <w:sz w:val="20"/>
        </w:rPr>
        <w:t>related withholding obligations. The transaction has been accounted for as a business combination under ASC</w:t>
      </w:r>
      <w:r>
        <w:rPr>
          <w:sz w:val="20"/>
        </w:rPr>
        <w:t> </w:t>
      </w:r>
      <w:r>
        <w:rPr>
          <w:rFonts w:ascii="Times New Roman" w:hAnsi="Times New Roman"/>
          <w:sz w:val="20"/>
        </w:rPr>
        <w:t>805, and CoreCard</w:t>
      </w:r>
      <w:r>
        <w:rPr>
          <w:sz w:val="20"/>
        </w:rPr>
        <w:t>’</w:t>
      </w:r>
      <w:r>
        <w:rPr>
          <w:rFonts w:ascii="Times New Roman" w:hAnsi="Times New Roman"/>
          <w:sz w:val="20"/>
        </w:rPr>
        <w:t>s results are included in the Company</w:t>
      </w:r>
      <w:r>
        <w:rPr>
          <w:sz w:val="20"/>
        </w:rPr>
        <w:t>’</w:t>
      </w:r>
      <w:r>
        <w:rPr>
          <w:rFonts w:ascii="Times New Roman" w:hAnsi="Times New Roman"/>
          <w:sz w:val="20"/>
        </w:rPr>
        <w:t>s EFT Processing Segment beginning on the acquisition date.</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No</w:t>
      </w:r>
      <w:r>
        <w:rPr>
          <w:sz w:val="20"/>
        </w:rPr>
        <w:t xml:space="preserve"> </w:t>
      </w:r>
      <w:r>
        <w:rPr>
          <w:rFonts w:ascii="Times New Roman" w:hAnsi="Times New Roman"/>
          <w:sz w:val="20"/>
        </w:rPr>
        <w:t>contingent consideration, escrow, or holdback was recognized. The Company acquired 100% of CoreCard; no</w:t>
      </w:r>
      <w:r>
        <w:rPr>
          <w:sz w:val="20"/>
        </w:rPr>
        <w:t xml:space="preserve"> </w:t>
      </w:r>
      <w:r>
        <w:rPr>
          <w:rFonts w:ascii="Times New Roman" w:hAnsi="Times New Roman"/>
          <w:sz w:val="20"/>
        </w:rPr>
        <w:t>noncontrolling interest was recognized. No bargain purchase gain was recorded.</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Purchase price allocation</w:t>
      </w:r>
    </w:p>
    <w:p>
      <w:pPr>
        <w:pStyle w:val="TextBody"/>
        <w:bidi w:val="0"/>
        <w:spacing w:before="0" w:after="0"/>
        <w:jc w:val="both"/>
        <w:rPr>
          <w:sz w:val="20"/>
        </w:rPr>
      </w:pPr>
      <w:r>
        <w:rPr>
          <w:sz w:val="20"/>
        </w:rPr>
        <w:br/>
      </w:r>
      <w:r>
        <w:rPr>
          <w:rFonts w:ascii="Times New Roman" w:hAnsi="Times New Roman"/>
          <w:sz w:val="20"/>
        </w:rPr>
        <w:t>The Company performed a preliminary allocation of the purchase price for CoreCard to the assets acquired and liabilities assumed based on their estimated fair values at the acquisition date. The allocation is subject to change during the measurement period as the Company finalizes the valuation of identifiable intangible assets, working</w:t>
      </w:r>
      <w:r>
        <w:rPr>
          <w:sz w:val="20"/>
        </w:rPr>
        <w:noBreakHyphen/>
      </w:r>
      <w:r>
        <w:rPr>
          <w:rFonts w:ascii="Times New Roman" w:hAnsi="Times New Roman"/>
          <w:sz w:val="20"/>
        </w:rPr>
        <w:t>capital items and income</w:t>
      </w:r>
      <w:r>
        <w:rPr>
          <w:sz w:val="20"/>
        </w:rPr>
        <w:noBreakHyphen/>
      </w:r>
      <w:r>
        <w:rPr>
          <w:rFonts w:ascii="Times New Roman" w:hAnsi="Times New Roman"/>
          <w:sz w:val="20"/>
        </w:rPr>
        <w:t>tax</w:t>
      </w:r>
      <w:r>
        <w:rPr>
          <w:sz w:val="20"/>
        </w:rPr>
        <w:noBreakHyphen/>
      </w:r>
      <w:r>
        <w:rPr>
          <w:rFonts w:ascii="Times New Roman" w:hAnsi="Times New Roman"/>
          <w:sz w:val="20"/>
        </w:rPr>
        <w:t>related balances.</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Preliminary CoreCard purchase price accounting at October 30, 2025 (in millions)</w:t>
      </w:r>
    </w:p>
    <w:p>
      <w:pPr>
        <w:pStyle w:val="TextBody"/>
        <w:bidi w:val="0"/>
        <w:spacing w:before="0" w:after="0"/>
        <w:jc w:val="both"/>
        <w:rPr/>
      </w:pPr>
      <w:r>
        <w:rPr/>
        <w:t> </w:t>
      </w:r>
    </w:p>
    <w:tbl>
      <w:tblPr>
        <w:tblW w:w="5305" w:type="dxa"/>
        <w:jc w:val="left"/>
        <w:tblInd w:w="0" w:type="dxa"/>
        <w:tblLayout w:type="fixed"/>
        <w:tblCellMar>
          <w:top w:w="0" w:type="dxa"/>
          <w:left w:w="0" w:type="dxa"/>
          <w:bottom w:w="0" w:type="dxa"/>
          <w:right w:w="0" w:type="dxa"/>
        </w:tblCellMar>
      </w:tblPr>
      <w:tblGrid>
        <w:gridCol w:w="4520"/>
        <w:gridCol w:w="157"/>
        <w:gridCol w:w="628"/>
      </w:tblGrid>
      <w:tr>
        <w:trPr/>
        <w:tc>
          <w:tcPr>
            <w:tcW w:w="45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Assets acquired</w:t>
            </w:r>
          </w:p>
        </w:tc>
        <w:tc>
          <w:tcPr>
            <w:tcW w:w="785"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33.6</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w:t>
              <w:noBreakHyphen/>
              <w:t>term investments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w:t>
              <w:noBreakHyphen/>
              <w:t>term deferred tax assets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w:t>
              <w:noBreakHyphen/>
              <w:t>term assets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w:t>
              <w:noBreakHyphen/>
              <w:t>of</w:t>
              <w:noBreakHyphen/>
              <w:t>use (ROU) lease assets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Identifiable intangible assets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69.6</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88.3</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 acquired</w:t>
            </w:r>
          </w:p>
        </w:tc>
        <w:tc>
          <w:tcPr>
            <w:tcW w:w="157"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236.0</w:t>
            </w:r>
          </w:p>
        </w:tc>
      </w:tr>
      <w:tr>
        <w:trPr/>
        <w:tc>
          <w:tcPr>
            <w:tcW w:w="4520"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left"/>
              <w:rPr/>
            </w:pPr>
            <w:r>
              <w:rPr/>
              <w:t> </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w:t>
              <w:noBreakHyphen/>
              <w:t>related payables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57"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w:t>
              <w:noBreakHyphen/>
              <w:t>term liabilities</w:t>
            </w:r>
          </w:p>
        </w:tc>
        <w:tc>
          <w:tcPr>
            <w:tcW w:w="157"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15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15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w:t>
            </w:r>
          </w:p>
        </w:tc>
      </w:tr>
      <w:tr>
        <w:trPr/>
        <w:tc>
          <w:tcPr>
            <w:tcW w:w="4520" w:type="dxa"/>
            <w:tcBorders/>
            <w:shd w:fill="CCEEFF" w:val="clear"/>
            <w:vAlign w:val="center"/>
          </w:tcPr>
          <w:p>
            <w:pPr>
              <w:pStyle w:val="TableContents"/>
              <w:bidi w:val="0"/>
              <w:spacing w:before="0" w:after="0"/>
              <w:jc w:val="left"/>
              <w:rPr/>
            </w:pPr>
            <w:r>
              <w:rPr/>
              <w:t> </w:t>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r>
      <w:tr>
        <w:trPr/>
        <w:tc>
          <w:tcPr>
            <w:tcW w:w="45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assets recognized (equals consideration transferred)</w:t>
            </w:r>
          </w:p>
        </w:tc>
        <w:tc>
          <w:tcPr>
            <w:tcW w:w="1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192.7</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b/>
          <w:sz w:val="20"/>
        </w:rPr>
        <w:t>Goodwill</w:t>
      </w:r>
      <w:r>
        <w:rPr>
          <w:sz w:val="20"/>
        </w:rPr>
        <w:br/>
        <w:t> </w:t>
      </w:r>
    </w:p>
    <w:p>
      <w:pPr>
        <w:pStyle w:val="TextBody"/>
        <w:bidi w:val="0"/>
        <w:spacing w:before="0" w:after="0"/>
        <w:jc w:val="both"/>
        <w:rPr>
          <w:sz w:val="20"/>
        </w:rPr>
      </w:pPr>
      <w:r>
        <w:rPr>
          <w:rFonts w:ascii="Times New Roman" w:hAnsi="Times New Roman"/>
          <w:sz w:val="20"/>
        </w:rPr>
        <w:t>Preliminary goodwill of $88.3</w:t>
      </w:r>
      <w:r>
        <w:rPr>
          <w:sz w:val="20"/>
        </w:rPr>
        <w:t xml:space="preserve"> </w:t>
      </w:r>
      <w:r>
        <w:rPr>
          <w:rFonts w:ascii="Times New Roman" w:hAnsi="Times New Roman"/>
          <w:sz w:val="20"/>
        </w:rPr>
        <w:t>million reflects anticipated synergies, assembled workforce, and the strategic benefit of integrating CoreCard’s issuing technology into the Company’s platform</w:t>
      </w:r>
      <w:r>
        <w:rPr>
          <w:sz w:val="20"/>
        </w:rPr>
        <w:t xml:space="preserve">  </w:t>
      </w:r>
      <w:r>
        <w:rPr>
          <w:rFonts w:ascii="Times New Roman" w:hAnsi="Times New Roman"/>
          <w:sz w:val="20"/>
        </w:rPr>
        <w:t>The Plan of Merger was intended to qualify as a "reorganization" within the meaning of Sections 368(a)(1)(A) and 368(a)(2)(E) of the Code, and</w:t>
      </w:r>
      <w:r>
        <w:rPr>
          <w:sz w:val="20"/>
        </w:rPr>
        <w:t xml:space="preserve">  </w:t>
      </w:r>
      <w:r>
        <w:rPr>
          <w:rFonts w:ascii="Times New Roman" w:hAnsi="Times New Roman"/>
          <w:sz w:val="20"/>
        </w:rPr>
        <w:t>that this Plan of Merger will constitute a "plan of reorganization" for purposes of Sections 354 and 361 of the Code and Treasury Regulations Section 1.368-2(g).</w:t>
      </w:r>
      <w:r>
        <w:rPr>
          <w:sz w:val="20"/>
        </w:rPr>
        <w:t xml:space="preserve">  </w:t>
      </w:r>
      <w:r>
        <w:rPr>
          <w:rFonts w:ascii="Times New Roman" w:hAnsi="Times New Roman"/>
          <w:sz w:val="20"/>
        </w:rPr>
        <w:t>As a result, the acquisition did not create deductible goodwill for tax purposes and Euronet will not amortize goodwill calculated in the valuation.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b/>
          <w:sz w:val="20"/>
        </w:rPr>
        <w:t>Measurement</w:t>
      </w:r>
      <w:r>
        <w:rPr>
          <w:sz w:val="20"/>
        </w:rPr>
        <w:noBreakHyphen/>
      </w:r>
      <w:r>
        <w:rPr>
          <w:rFonts w:ascii="Times New Roman" w:hAnsi="Times New Roman"/>
          <w:b/>
          <w:sz w:val="20"/>
        </w:rPr>
        <w:t>period status</w:t>
      </w:r>
    </w:p>
    <w:p>
      <w:pPr>
        <w:pStyle w:val="TextBody"/>
        <w:bidi w:val="0"/>
        <w:spacing w:before="0" w:after="0"/>
        <w:jc w:val="both"/>
        <w:rPr>
          <w:sz w:val="20"/>
        </w:rPr>
      </w:pPr>
      <w:r>
        <w:rPr>
          <w:sz w:val="20"/>
        </w:rPr>
        <w:br/>
      </w:r>
      <w:r>
        <w:rPr>
          <w:rFonts w:ascii="Times New Roman" w:hAnsi="Times New Roman"/>
          <w:sz w:val="20"/>
        </w:rPr>
        <w:t>The allocation above is preliminary and subject to change as the Company completes its valuation analyses of identifiable intangible assets, certain working</w:t>
      </w:r>
      <w:r>
        <w:rPr>
          <w:sz w:val="20"/>
        </w:rPr>
        <w:noBreakHyphen/>
      </w:r>
      <w:r>
        <w:rPr>
          <w:rFonts w:ascii="Times New Roman" w:hAnsi="Times New Roman"/>
          <w:sz w:val="20"/>
        </w:rPr>
        <w:t>capital accounts and related deferred taxes within the ASC</w:t>
      </w:r>
      <w:r>
        <w:rPr>
          <w:sz w:val="20"/>
        </w:rPr>
        <w:t> </w:t>
      </w:r>
      <w:r>
        <w:rPr>
          <w:rFonts w:ascii="Times New Roman" w:hAnsi="Times New Roman"/>
          <w:sz w:val="20"/>
        </w:rPr>
        <w:t>805 measurement period. Any adjustments will be recorded retrospectively to the acquisition date with a corresponding adjustment to goodwill.</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Identifiable Intangible Assets and Estimated Useful Lives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expects the identifiable intangible assets of CoreCard acquired to include developed technology, customer relationships, and trade name. Fair values and useful lives are being finalized; until completion, the following table presents the aggregate amount and expected categories with preliminary useful</w:t>
      </w:r>
      <w:r>
        <w:rPr>
          <w:sz w:val="20"/>
        </w:rPr>
        <w:noBreakHyphen/>
      </w:r>
      <w:r>
        <w:rPr>
          <w:rFonts w:ascii="Times New Roman" w:hAnsi="Times New Roman"/>
          <w:sz w:val="20"/>
        </w:rPr>
        <w:t>life ranges.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Intangibles subject to amortization (preliminary, in millions):</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Identifiable Intangible Assets and Estimated Useful Lives</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(Preliminary — in millions)</w:t>
      </w:r>
    </w:p>
    <w:p>
      <w:pPr>
        <w:pStyle w:val="TextBody"/>
        <w:bidi w:val="0"/>
        <w:spacing w:before="0" w:after="0"/>
        <w:jc w:val="both"/>
        <w:rPr/>
      </w:pPr>
      <w:r>
        <w:rPr/>
        <w:t> </w:t>
      </w:r>
    </w:p>
    <w:tbl>
      <w:tblPr>
        <w:tblW w:w="7225" w:type="dxa"/>
        <w:jc w:val="left"/>
        <w:tblInd w:w="0" w:type="dxa"/>
        <w:tblLayout w:type="fixed"/>
        <w:tblCellMar>
          <w:top w:w="0" w:type="dxa"/>
          <w:left w:w="0" w:type="dxa"/>
          <w:bottom w:w="0" w:type="dxa"/>
          <w:right w:w="0" w:type="dxa"/>
        </w:tblCellMar>
      </w:tblPr>
      <w:tblGrid>
        <w:gridCol w:w="3635"/>
        <w:gridCol w:w="125"/>
        <w:gridCol w:w="875"/>
        <w:gridCol w:w="60"/>
        <w:gridCol w:w="860"/>
        <w:gridCol w:w="60"/>
        <w:gridCol w:w="1610"/>
      </w:tblGrid>
      <w:tr>
        <w:trPr/>
        <w:tc>
          <w:tcPr>
            <w:tcW w:w="36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Category</w:t>
            </w:r>
          </w:p>
        </w:tc>
        <w:tc>
          <w:tcPr>
            <w:tcW w:w="125" w:type="dxa"/>
            <w:tcBorders>
              <w:bottom w:val="single" w:sz="8" w:space="0" w:color="000000"/>
            </w:tcBorders>
            <w:tcMar>
              <w:bottom w:w="28" w:type="dxa"/>
            </w:tcMar>
            <w:vAlign w:val="center"/>
          </w:tcPr>
          <w:p>
            <w:pPr>
              <w:pStyle w:val="TableContents"/>
              <w:bidi w:val="0"/>
              <w:spacing w:before="0" w:after="0"/>
              <w:jc w:val="center"/>
              <w:rPr/>
            </w:pPr>
            <w:r>
              <w:rPr/>
              <w:t> </w:t>
            </w:r>
          </w:p>
        </w:tc>
        <w:tc>
          <w:tcPr>
            <w:tcW w:w="8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Fair Value </w:t>
            </w:r>
          </w:p>
          <w:p>
            <w:pPr>
              <w:pStyle w:val="TableContents"/>
              <w:bidi w:val="0"/>
              <w:spacing w:before="0" w:after="0"/>
              <w:jc w:val="center"/>
              <w:rPr>
                <w:rFonts w:ascii="Times New Roman" w:hAnsi="Times New Roman"/>
                <w:b/>
                <w:sz w:val="16"/>
              </w:rPr>
            </w:pPr>
            <w:r>
              <w:rPr>
                <w:rFonts w:ascii="Times New Roman" w:hAnsi="Times New Roman"/>
                <w:b/>
                <w:sz w:val="16"/>
              </w:rPr>
              <w:t>(in millions)</w:t>
            </w:r>
          </w:p>
        </w:tc>
        <w:tc>
          <w:tcPr>
            <w:tcW w:w="6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Useful </w:t>
            </w:r>
          </w:p>
          <w:p>
            <w:pPr>
              <w:pStyle w:val="TableContents"/>
              <w:bidi w:val="0"/>
              <w:spacing w:before="0" w:after="0"/>
              <w:jc w:val="center"/>
              <w:rPr>
                <w:rFonts w:ascii="Times New Roman" w:hAnsi="Times New Roman"/>
                <w:b/>
                <w:sz w:val="16"/>
              </w:rPr>
            </w:pPr>
            <w:r>
              <w:rPr>
                <w:rFonts w:ascii="Times New Roman" w:hAnsi="Times New Roman"/>
                <w:b/>
                <w:sz w:val="16"/>
              </w:rPr>
              <w:t>Life (years)</w:t>
            </w:r>
          </w:p>
        </w:tc>
        <w:tc>
          <w:tcPr>
            <w:tcW w:w="6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Amortization Method</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60" w:type="dxa"/>
            <w:tcBorders/>
            <w:shd w:fill="CCEEFF" w:val="clear"/>
            <w:vAlign w:val="center"/>
          </w:tcPr>
          <w:p>
            <w:pPr>
              <w:pStyle w:val="TableContents"/>
              <w:bidi w:val="0"/>
              <w:spacing w:before="0" w:after="0"/>
              <w:jc w:val="left"/>
              <w:rPr/>
            </w:pPr>
            <w:r>
              <w:rPr/>
              <w:t> </w:t>
            </w:r>
          </w:p>
        </w:tc>
        <w:tc>
          <w:tcPr>
            <w:tcW w:w="860"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0"/>
              <w:jc w:val="left"/>
              <w:rPr/>
            </w:pPr>
            <w:r>
              <w:rPr/>
              <w:t> </w:t>
            </w:r>
          </w:p>
        </w:tc>
        <w:tc>
          <w:tcPr>
            <w:tcW w:w="1610"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CoreCard Platform (Developed Technology)</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60" w:type="dxa"/>
            <w:tcBorders/>
            <w:shd w:fill="FFFFFF" w:val="clear"/>
            <w:vAlign w:val="center"/>
          </w:tcPr>
          <w:p>
            <w:pPr>
              <w:pStyle w:val="TableContents"/>
              <w:bidi w:val="0"/>
              <w:spacing w:before="0" w:after="0"/>
              <w:jc w:val="left"/>
              <w:rPr/>
            </w:pPr>
            <w:r>
              <w:rPr/>
              <w:t> </w:t>
            </w:r>
          </w:p>
        </w:tc>
        <w:tc>
          <w:tcPr>
            <w:tcW w:w="8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0"/>
              <w:jc w:val="left"/>
              <w:rPr/>
            </w:pPr>
            <w:r>
              <w:rPr/>
              <w:t> </w:t>
            </w:r>
          </w:p>
        </w:tc>
        <w:tc>
          <w:tcPr>
            <w:tcW w:w="161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Large Individual Customer Relationship</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40.2</w:t>
            </w:r>
          </w:p>
        </w:tc>
        <w:tc>
          <w:tcPr>
            <w:tcW w:w="6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Customer Relationships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FFFFFF" w:val="clear"/>
            <w:vAlign w:val="center"/>
          </w:tcPr>
          <w:p>
            <w:pPr>
              <w:pStyle w:val="TableContents"/>
              <w:bidi w:val="0"/>
              <w:spacing w:before="0" w:after="0"/>
              <w:jc w:val="left"/>
              <w:rPr/>
            </w:pPr>
            <w:r>
              <w:rPr/>
              <w:t> </w:t>
            </w:r>
          </w:p>
        </w:tc>
        <w:tc>
          <w:tcPr>
            <w:tcW w:w="8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jc w:val="left"/>
              <w:rPr/>
            </w:pPr>
            <w:r>
              <w:rPr/>
              <w:t> </w:t>
            </w:r>
          </w:p>
        </w:tc>
        <w:tc>
          <w:tcPr>
            <w:tcW w:w="161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Straight</w:t>
              <w:noBreakHyphen/>
              <w:t>line</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Identifiable Intangible Assets</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69.6</w:t>
            </w:r>
          </w:p>
        </w:tc>
        <w:tc>
          <w:tcPr>
            <w:tcW w:w="6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Final category splits and useful lives will be determined based on market</w:t>
      </w:r>
      <w:r>
        <w:rPr>
          <w:sz w:val="20"/>
        </w:rPr>
        <w:noBreakHyphen/>
      </w:r>
      <w:r>
        <w:rPr>
          <w:rFonts w:ascii="Times New Roman" w:hAnsi="Times New Roman"/>
          <w:sz w:val="20"/>
        </w:rPr>
        <w:t>participant assumptions, technology life cycles, and customer attrition analyses. Updates will be reflected as measurement</w:t>
      </w:r>
      <w:r>
        <w:rPr>
          <w:sz w:val="20"/>
        </w:rPr>
        <w:noBreakHyphen/>
      </w:r>
      <w:r>
        <w:rPr>
          <w:rFonts w:ascii="Times New Roman" w:hAnsi="Times New Roman"/>
          <w:sz w:val="20"/>
        </w:rPr>
        <w:t>period adjustments under ASC</w:t>
      </w:r>
      <w:r>
        <w:rPr>
          <w:sz w:val="20"/>
        </w:rPr>
        <w:t> </w:t>
      </w:r>
      <w:r>
        <w:rPr>
          <w:rFonts w:ascii="Times New Roman" w:hAnsi="Times New Roman"/>
          <w:sz w:val="20"/>
        </w:rPr>
        <w:t>805.</w:t>
      </w:r>
    </w:p>
    <w:p>
      <w:pPr>
        <w:pStyle w:val="TextBody"/>
        <w:bidi w:val="0"/>
        <w:spacing w:before="0" w:after="0"/>
        <w:jc w:val="both"/>
        <w:rPr/>
      </w:pPr>
      <w:r>
        <w:rPr/>
        <w:t> </w:t>
      </w:r>
    </w:p>
    <w:p>
      <w:pPr>
        <w:pStyle w:val="TextBody"/>
        <w:bidi w:val="0"/>
        <w:spacing w:before="0" w:after="0"/>
        <w:jc w:val="left"/>
        <w:rPr>
          <w:rFonts w:ascii="Times New Roman" w:hAnsi="Times New Roman"/>
          <w:b/>
          <w:sz w:val="20"/>
        </w:rPr>
      </w:pPr>
      <w:r>
        <w:rPr>
          <w:rFonts w:ascii="Times New Roman" w:hAnsi="Times New Roman"/>
          <w:b/>
          <w:sz w:val="20"/>
        </w:rPr>
        <w:t>Post-acquisition Results</w:t>
      </w:r>
    </w:p>
    <w:p>
      <w:pPr>
        <w:pStyle w:val="TextBody"/>
        <w:bidi w:val="0"/>
        <w:spacing w:before="0" w:after="0"/>
        <w:jc w:val="left"/>
        <w:rPr/>
      </w:pPr>
      <w:r>
        <w:rPr/>
        <w:t> </w:t>
      </w:r>
    </w:p>
    <w:p>
      <w:pPr>
        <w:pStyle w:val="TextBody"/>
        <w:bidi w:val="0"/>
        <w:spacing w:before="0" w:after="0"/>
        <w:jc w:val="both"/>
        <w:rPr>
          <w:sz w:val="20"/>
        </w:rPr>
      </w:pPr>
      <w:r>
        <w:rPr>
          <w:rFonts w:ascii="Times New Roman" w:hAnsi="Times New Roman"/>
          <w:sz w:val="20"/>
        </w:rPr>
        <w:t>From October 31, 2025 to December 31, 2025, CoreCard contributed revenue of $12.7</w:t>
      </w:r>
      <w:r>
        <w:rPr>
          <w:sz w:val="20"/>
        </w:rPr>
        <w:t xml:space="preserve"> </w:t>
      </w:r>
      <w:r>
        <w:rPr>
          <w:rFonts w:ascii="Times New Roman" w:hAnsi="Times New Roman"/>
          <w:sz w:val="20"/>
        </w:rPr>
        <w:t>million, gross margin of $8.0</w:t>
      </w:r>
      <w:r>
        <w:rPr>
          <w:sz w:val="20"/>
        </w:rPr>
        <w:t xml:space="preserve"> </w:t>
      </w:r>
      <w:r>
        <w:rPr>
          <w:rFonts w:ascii="Times New Roman" w:hAnsi="Times New Roman"/>
          <w:sz w:val="20"/>
        </w:rPr>
        <w:t>million and operating income of $1.9</w:t>
      </w:r>
      <w:r>
        <w:rPr>
          <w:sz w:val="20"/>
        </w:rPr>
        <w:t xml:space="preserve"> </w:t>
      </w:r>
      <w:r>
        <w:rPr>
          <w:rFonts w:ascii="Times New Roman" w:hAnsi="Times New Roman"/>
          <w:sz w:val="20"/>
        </w:rPr>
        <w:t>million</w:t>
      </w:r>
      <w:r>
        <w:rPr>
          <w:sz w:val="20"/>
        </w:rPr>
        <w:t xml:space="preserve"> </w:t>
      </w:r>
      <w:r>
        <w:rPr>
          <w:rFonts w:ascii="Times New Roman" w:hAnsi="Times New Roman"/>
          <w:sz w:val="20"/>
        </w:rPr>
        <w:t>to consolidated results (excludes purchase accounting amortization).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i/>
          <w:sz w:val="20"/>
        </w:rPr>
        <w:t>Acquisitions</w:t>
      </w:r>
      <w:r>
        <w:rPr/>
        <w:t> </w:t>
      </w:r>
      <w:r>
        <w:rPr>
          <w:rFonts w:ascii="Times New Roman" w:hAnsi="Times New Roman"/>
          <w:i/>
          <w:sz w:val="20"/>
        </w:rPr>
        <w:t>2024</w:t>
      </w:r>
    </w:p>
    <w:p>
      <w:pPr>
        <w:pStyle w:val="TextBody"/>
        <w:bidi w:val="0"/>
        <w:spacing w:lineRule="atLeast" w:line="240" w:before="0" w:after="0"/>
        <w:jc w:val="both"/>
        <w:rPr>
          <w:color w:val="212529"/>
        </w:rPr>
      </w:pPr>
      <w:r>
        <w:rPr>
          <w:color w:val="212529"/>
        </w:rPr>
        <w:t> </w:t>
      </w:r>
    </w:p>
    <w:p>
      <w:pPr>
        <w:pStyle w:val="TextBody"/>
        <w:bidi w:val="0"/>
        <w:spacing w:lineRule="atLeast" w:line="240" w:before="0" w:after="0"/>
        <w:jc w:val="both"/>
        <w:rPr/>
      </w:pPr>
      <w:r>
        <w:rPr>
          <w:rFonts w:ascii="Times New Roman" w:hAnsi="Times New Roman"/>
          <w:color w:val="212529"/>
          <w:sz w:val="20"/>
        </w:rPr>
        <w:t>On February 1, 2024, Euronet acquired Infinitium Group, a leading regional solutions provider with Payments Authentication services, for a purchase consideration of $70.0</w:t>
      </w:r>
      <w:r>
        <w:rPr>
          <w:color w:val="212529"/>
        </w:rPr>
        <w:t> </w:t>
      </w:r>
      <w:r>
        <w:rPr>
          <w:rFonts w:ascii="Times New Roman" w:hAnsi="Times New Roman"/>
          <w:color w:val="212529"/>
          <w:sz w:val="20"/>
        </w:rPr>
        <w:t>million cash and $5.0</w:t>
      </w:r>
      <w:r>
        <w:rPr>
          <w:color w:val="212529"/>
        </w:rPr>
        <w:t> </w:t>
      </w:r>
      <w:r>
        <w:rPr>
          <w:rFonts w:ascii="Times New Roman" w:hAnsi="Times New Roman"/>
          <w:color w:val="212529"/>
          <w:sz w:val="20"/>
        </w:rPr>
        <w:t>million of the Company’s common stock to be paid over</w:t>
      </w:r>
      <w:r>
        <w:rPr>
          <w:color w:val="212529"/>
        </w:rPr>
        <w:t> </w:t>
      </w:r>
      <w:r>
        <w:rPr>
          <w:rFonts w:ascii="Times New Roman" w:hAnsi="Times New Roman"/>
          <w:color w:val="212529"/>
          <w:sz w:val="20"/>
        </w:rPr>
        <w:t>two</w:t>
      </w:r>
      <w:r>
        <w:rPr>
          <w:color w:val="212529"/>
        </w:rPr>
        <w:t> </w:t>
      </w:r>
      <w:r>
        <w:rPr>
          <w:rFonts w:ascii="Times New Roman" w:hAnsi="Times New Roman"/>
          <w:color w:val="212529"/>
          <w:sz w:val="20"/>
        </w:rPr>
        <w:t>installments on February 1, 2026 and</w:t>
      </w:r>
      <w:r>
        <w:rPr>
          <w:color w:val="212529"/>
        </w:rPr>
        <w:t> </w:t>
      </w:r>
      <w:r>
        <w:rPr>
          <w:rFonts w:ascii="Times New Roman" w:hAnsi="Times New Roman"/>
          <w:color w:val="212529"/>
          <w:sz w:val="20"/>
        </w:rPr>
        <w:t>2027. The Company allocated $51.0</w:t>
      </w:r>
      <w:r>
        <w:rPr>
          <w:color w:val="212529"/>
        </w:rPr>
        <w:t> </w:t>
      </w:r>
      <w:r>
        <w:rPr>
          <w:rFonts w:ascii="Times New Roman" w:hAnsi="Times New Roman"/>
          <w:color w:val="212529"/>
          <w:sz w:val="20"/>
        </w:rPr>
        <w:t>million of the purchase consideration to customer relationships, $5.6</w:t>
      </w:r>
      <w:r>
        <w:rPr>
          <w:color w:val="212529"/>
        </w:rPr>
        <w:t> </w:t>
      </w:r>
      <w:r>
        <w:rPr>
          <w:rFonts w:ascii="Times New Roman" w:hAnsi="Times New Roman"/>
          <w:color w:val="212529"/>
          <w:sz w:val="20"/>
        </w:rPr>
        <w:t>million to acquired net assets,</w:t>
      </w:r>
      <w:r>
        <w:rPr>
          <w:color w:val="212529"/>
        </w:rPr>
        <w:t> </w:t>
      </w:r>
      <w:r>
        <w:rPr>
          <w:rFonts w:ascii="Times New Roman" w:hAnsi="Times New Roman"/>
          <w:color w:val="212529"/>
          <w:sz w:val="20"/>
        </w:rPr>
        <w:t>$10.2</w:t>
      </w:r>
      <w:r>
        <w:rPr>
          <w:color w:val="212529"/>
        </w:rPr>
        <w:t xml:space="preserve"> </w:t>
      </w:r>
      <w:r>
        <w:rPr>
          <w:rFonts w:ascii="Times New Roman" w:hAnsi="Times New Roman"/>
          <w:color w:val="212529"/>
          <w:sz w:val="20"/>
        </w:rPr>
        <w:t>million to deferred tax liability</w:t>
      </w:r>
      <w:r>
        <w:rPr>
          <w:color w:val="212529"/>
        </w:rPr>
        <w:t> </w:t>
      </w:r>
      <w:r>
        <w:rPr>
          <w:rFonts w:ascii="Times New Roman" w:hAnsi="Times New Roman"/>
          <w:color w:val="212529"/>
          <w:sz w:val="20"/>
        </w:rPr>
        <w:t>and the remaining $28.6</w:t>
      </w:r>
      <w:r>
        <w:rPr>
          <w:color w:val="212529"/>
        </w:rPr>
        <w:t> </w:t>
      </w:r>
      <w:r>
        <w:rPr>
          <w:rFonts w:ascii="Times New Roman" w:hAnsi="Times New Roman"/>
          <w:color w:val="212529"/>
          <w:sz w:val="20"/>
        </w:rPr>
        <w:t>million to goodwill.</w:t>
      </w:r>
    </w:p>
    <w:p>
      <w:pPr>
        <w:pStyle w:val="TextBody"/>
        <w:bidi w:val="0"/>
        <w:spacing w:lineRule="atLeast" w:line="240" w:before="0" w:after="0"/>
        <w:jc w:val="both"/>
        <w:rPr>
          <w:color w:val="212529"/>
        </w:rPr>
      </w:pPr>
      <w:r>
        <w:rPr>
          <w:color w:val="212529"/>
        </w:rPr>
        <w:t> </w:t>
      </w:r>
    </w:p>
    <w:p>
      <w:pPr>
        <w:pStyle w:val="TextBody"/>
        <w:bidi w:val="0"/>
        <w:spacing w:before="0" w:after="0"/>
        <w:jc w:val="left"/>
        <w:rPr/>
      </w:pPr>
      <w:r>
        <w:rPr/>
        <w:t> </w:t>
      </w:r>
    </w:p>
    <w:p>
      <w:pPr>
        <w:pStyle w:val="TextBody"/>
        <w:bidi w:val="0"/>
        <w:spacing w:lineRule="atLeast" w:line="240" w:before="0" w:after="0"/>
        <w:jc w:val="left"/>
        <w:rPr/>
      </w:pPr>
      <w:hyperlink w:anchor="TOC">
        <w:bookmarkStart w:id="44" w:name="bm_aa1c4f7d0bed0067"/>
        <w:bookmarkEnd w:id="44"/>
        <w:r>
          <w:rPr>
            <w:rStyle w:val="InternetLink"/>
            <w:rFonts w:ascii="Times New Roman" w:hAnsi="Times New Roman"/>
            <w:b/>
            <w:strike w:val="false"/>
            <w:dstrike w:val="false"/>
            <w:color w:val="000000"/>
            <w:sz w:val="20"/>
            <w:u w:val="none"/>
            <w:effect w:val="none"/>
          </w:rPr>
          <w:t>(7) Restricted Cash</w:t>
        </w:r>
      </w:hyperlink>
    </w:p>
    <w:p>
      <w:pPr>
        <w:pStyle w:val="TextBody"/>
        <w:bidi w:val="0"/>
        <w:spacing w:lineRule="atLeast" w:line="240" w:before="0" w:after="0"/>
        <w:jc w:val="left"/>
        <w:rPr/>
      </w:pPr>
      <w:r>
        <w:rPr/>
        <w:t> </w:t>
      </w:r>
    </w:p>
    <w:p>
      <w:pPr>
        <w:pStyle w:val="TextBody"/>
        <w:bidi w:val="0"/>
        <w:spacing w:lineRule="atLeast" w:line="240" w:before="0" w:after="0"/>
        <w:jc w:val="left"/>
        <w:rPr/>
      </w:pPr>
      <w:r>
        <w:rPr>
          <w:rFonts w:ascii="Times New Roman" w:hAnsi="Times New Roman"/>
          <w:sz w:val="20"/>
        </w:rPr>
        <w:t>The restricted cash balances as of December 31, 2025</w:t>
      </w:r>
      <w:r>
        <w:rPr/>
        <w:t xml:space="preserve"> </w:t>
      </w:r>
      <w:r>
        <w:rPr>
          <w:rFonts w:ascii="Times New Roman" w:hAnsi="Times New Roman"/>
          <w:sz w:val="20"/>
        </w:rPr>
        <w:t>and 2024</w:t>
      </w:r>
      <w:r>
        <w:rPr/>
        <w:t xml:space="preserve"> </w:t>
      </w:r>
      <w:r>
        <w:rPr>
          <w:rFonts w:ascii="Times New Roman" w:hAnsi="Times New Roman"/>
          <w:sz w:val="20"/>
        </w:rPr>
        <w:t>were as follows:</w:t>
      </w:r>
      <w:r>
        <w:rPr/>
        <w:t>  </w:t>
      </w:r>
    </w:p>
    <w:p>
      <w:pPr>
        <w:pStyle w:val="TextBody"/>
        <w:bidi w:val="0"/>
        <w:spacing w:lineRule="atLeast" w:line="240" w:before="0" w:after="0"/>
        <w:jc w:val="left"/>
        <w:rPr/>
      </w:pPr>
      <w:r>
        <w:rPr/>
        <w:t> </w:t>
      </w:r>
    </w:p>
    <w:tbl>
      <w:tblPr>
        <w:tblW w:w="5902" w:type="dxa"/>
        <w:jc w:val="left"/>
        <w:tblInd w:w="0" w:type="dxa"/>
        <w:tblLayout w:type="fixed"/>
        <w:tblCellMar>
          <w:top w:w="0" w:type="dxa"/>
          <w:left w:w="0" w:type="dxa"/>
          <w:bottom w:w="0" w:type="dxa"/>
          <w:right w:w="0" w:type="dxa"/>
        </w:tblCellMar>
      </w:tblPr>
      <w:tblGrid>
        <w:gridCol w:w="4400"/>
        <w:gridCol w:w="60"/>
        <w:gridCol w:w="139"/>
        <w:gridCol w:w="541"/>
        <w:gridCol w:w="66"/>
        <w:gridCol w:w="139"/>
        <w:gridCol w:w="557"/>
      </w:tblGrid>
      <w:tr>
        <w:trPr/>
        <w:tc>
          <w:tcPr>
            <w:tcW w:w="44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42" w:type="dxa"/>
            <w:gridSpan w:val="5"/>
            <w:tcBorders>
              <w:bottom w:val="single" w:sz="8" w:space="0" w:color="000000"/>
            </w:tcBorders>
            <w:tcMar>
              <w:bottom w:w="28" w:type="dxa"/>
            </w:tcMar>
            <w:vAlign w:val="center"/>
          </w:tcPr>
          <w:p>
            <w:pPr>
              <w:pStyle w:val="TableContents"/>
              <w:bidi w:val="0"/>
              <w:spacing w:before="0" w:after="0"/>
              <w:jc w:val="center"/>
              <w:rPr>
                <w:sz w:val="20"/>
              </w:rPr>
            </w:pPr>
            <w:r>
              <w:rPr>
                <w:rFonts w:ascii="Times New Roman" w:hAnsi="Times New Roman"/>
                <w:b/>
                <w:sz w:val="16"/>
              </w:rPr>
              <w:t>As of December 31</w:t>
            </w:r>
            <w:r>
              <w:rPr>
                <w:rFonts w:ascii="Times New Roman" w:hAnsi="Times New Roman"/>
                <w:b/>
                <w:sz w:val="20"/>
              </w:rPr>
              <w:t>,</w:t>
            </w:r>
          </w:p>
        </w:tc>
      </w:tr>
      <w:tr>
        <w:trPr/>
        <w:tc>
          <w:tcPr>
            <w:tcW w:w="44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68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6" w:type="dxa"/>
            <w:tcBorders>
              <w:top w:val="single" w:sz="8" w:space="0" w:color="000000"/>
            </w:tcBorders>
            <w:tcMar>
              <w:top w:w="28" w:type="dxa"/>
            </w:tcMar>
            <w:vAlign w:val="center"/>
          </w:tcPr>
          <w:p>
            <w:pPr>
              <w:pStyle w:val="TableContents"/>
              <w:bidi w:val="0"/>
              <w:spacing w:before="0" w:after="0"/>
              <w:jc w:val="left"/>
              <w:rPr/>
            </w:pPr>
            <w:r>
              <w:rPr/>
              <w:t> </w:t>
            </w:r>
          </w:p>
        </w:tc>
        <w:tc>
          <w:tcPr>
            <w:tcW w:w="69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440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Collateral on bank credit arrangements and other</w:t>
            </w:r>
          </w:p>
        </w:tc>
        <w:tc>
          <w:tcPr>
            <w:tcW w:w="60" w:type="dxa"/>
            <w:tcBorders/>
            <w:shd w:fill="CCEEFF" w:val="clear"/>
            <w:vAlign w:val="center"/>
          </w:tcPr>
          <w:p>
            <w:pPr>
              <w:pStyle w:val="TableContents"/>
              <w:bidi w:val="0"/>
              <w:spacing w:before="0" w:after="0"/>
              <w:jc w:val="left"/>
              <w:rPr/>
            </w:pPr>
            <w:r>
              <w:rPr/>
              <w:t> </w:t>
            </w:r>
          </w:p>
        </w:tc>
        <w:tc>
          <w:tcPr>
            <w:tcW w:w="13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66" w:type="dxa"/>
            <w:tcBorders/>
            <w:shd w:fill="CCEEFF" w:val="clear"/>
            <w:vAlign w:val="center"/>
          </w:tcPr>
          <w:p>
            <w:pPr>
              <w:pStyle w:val="TableContents"/>
              <w:bidi w:val="0"/>
              <w:spacing w:before="0" w:after="0"/>
              <w:jc w:val="left"/>
              <w:rPr/>
            </w:pPr>
            <w:r>
              <w:rPr/>
              <w:t> </w:t>
            </w:r>
          </w:p>
        </w:tc>
        <w:tc>
          <w:tcPr>
            <w:tcW w:w="13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440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jc w:val="left"/>
              <w:rPr/>
            </w:pPr>
            <w:r>
              <w:rPr/>
              <w:t> </w:t>
            </w:r>
          </w:p>
        </w:tc>
        <w:tc>
          <w:tcPr>
            <w:tcW w:w="139"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66" w:type="dxa"/>
            <w:tcBorders/>
            <w:shd w:fill="FFFFFF" w:val="clear"/>
            <w:vAlign w:val="center"/>
          </w:tcPr>
          <w:p>
            <w:pPr>
              <w:pStyle w:val="TableContents"/>
              <w:bidi w:val="0"/>
              <w:spacing w:before="0" w:after="0"/>
              <w:jc w:val="left"/>
              <w:rPr/>
            </w:pPr>
            <w:r>
              <w:rPr/>
              <w:t> </w:t>
            </w:r>
          </w:p>
        </w:tc>
        <w:tc>
          <w:tcPr>
            <w:tcW w:w="139"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440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9" w:type="dxa"/>
            <w:tcBorders/>
            <w:shd w:fill="CCEEFF" w:val="clear"/>
            <w:vAlign w:val="center"/>
          </w:tcPr>
          <w:p>
            <w:pPr>
              <w:pStyle w:val="TableContents"/>
              <w:bidi w:val="0"/>
              <w:spacing w:before="0" w:after="0"/>
              <w:jc w:val="left"/>
              <w:rPr/>
            </w:pPr>
            <w:r>
              <w:rPr/>
              <w:t> </w:t>
            </w:r>
          </w:p>
        </w:tc>
        <w:tc>
          <w:tcPr>
            <w:tcW w:w="541" w:type="dxa"/>
            <w:tcBorders/>
            <w:shd w:fill="CCEEFF" w:val="clear"/>
            <w:vAlign w:val="center"/>
          </w:tcPr>
          <w:p>
            <w:pPr>
              <w:pStyle w:val="TableContents"/>
              <w:bidi w:val="0"/>
              <w:spacing w:before="0" w:after="0"/>
              <w:jc w:val="right"/>
              <w:rPr/>
            </w:pPr>
            <w:r>
              <w:rPr/>
              <w:t> </w:t>
            </w:r>
          </w:p>
        </w:tc>
        <w:tc>
          <w:tcPr>
            <w:tcW w:w="66" w:type="dxa"/>
            <w:tcBorders/>
            <w:shd w:fill="CCEEFF" w:val="clear"/>
            <w:vAlign w:val="center"/>
          </w:tcPr>
          <w:p>
            <w:pPr>
              <w:pStyle w:val="TableContents"/>
              <w:bidi w:val="0"/>
              <w:spacing w:before="0" w:after="0"/>
              <w:jc w:val="left"/>
              <w:rPr/>
            </w:pPr>
            <w:r>
              <w:rPr/>
              <w:t> </w:t>
            </w:r>
          </w:p>
        </w:tc>
        <w:tc>
          <w:tcPr>
            <w:tcW w:w="139" w:type="dxa"/>
            <w:tcBorders/>
            <w:shd w:fill="CCEEFF" w:val="clear"/>
            <w:vAlign w:val="center"/>
          </w:tcPr>
          <w:p>
            <w:pPr>
              <w:pStyle w:val="TableContents"/>
              <w:bidi w:val="0"/>
              <w:spacing w:before="0" w:after="0"/>
              <w:jc w:val="left"/>
              <w:rPr/>
            </w:pPr>
            <w:r>
              <w:rPr/>
              <w:t> </w:t>
            </w:r>
          </w:p>
        </w:tc>
        <w:tc>
          <w:tcPr>
            <w:tcW w:w="557" w:type="dxa"/>
            <w:tcBorders/>
            <w:shd w:fill="CCEEFF" w:val="clear"/>
            <w:vAlign w:val="center"/>
          </w:tcPr>
          <w:p>
            <w:pPr>
              <w:pStyle w:val="TableContents"/>
              <w:bidi w:val="0"/>
              <w:spacing w:before="0" w:after="0"/>
              <w:jc w:val="right"/>
              <w:rPr/>
            </w:pPr>
            <w:r>
              <w:rPr/>
              <w:t> </w:t>
            </w:r>
          </w:p>
        </w:tc>
      </w:tr>
      <w:tr>
        <w:trPr/>
        <w:tc>
          <w:tcPr>
            <w:tcW w:w="4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held in trust and/or cash held on behalf of others</w:t>
            </w:r>
          </w:p>
        </w:tc>
        <w:tc>
          <w:tcPr>
            <w:tcW w:w="60" w:type="dxa"/>
            <w:tcBorders/>
            <w:shd w:fill="FFFFFF" w:val="clear"/>
            <w:vAlign w:val="center"/>
          </w:tcPr>
          <w:p>
            <w:pPr>
              <w:pStyle w:val="TableContents"/>
              <w:bidi w:val="0"/>
              <w:spacing w:before="0" w:after="0"/>
              <w:jc w:val="left"/>
              <w:rPr/>
            </w:pPr>
            <w:r>
              <w:rPr/>
              <w:t> </w:t>
            </w:r>
          </w:p>
        </w:tc>
        <w:tc>
          <w:tcPr>
            <w:tcW w:w="13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88.2</w:t>
            </w:r>
          </w:p>
        </w:tc>
        <w:tc>
          <w:tcPr>
            <w:tcW w:w="66" w:type="dxa"/>
            <w:tcBorders/>
            <w:shd w:fill="FFFFFF" w:val="clear"/>
            <w:vAlign w:val="center"/>
          </w:tcPr>
          <w:p>
            <w:pPr>
              <w:pStyle w:val="TableContents"/>
              <w:bidi w:val="0"/>
              <w:spacing w:before="0" w:after="0"/>
              <w:jc w:val="left"/>
              <w:rPr/>
            </w:pPr>
            <w:r>
              <w:rPr/>
              <w:t> </w:t>
            </w:r>
          </w:p>
        </w:tc>
        <w:tc>
          <w:tcPr>
            <w:tcW w:w="13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99.8</w:t>
            </w:r>
          </w:p>
        </w:tc>
      </w:tr>
      <w:tr>
        <w:trPr/>
        <w:tc>
          <w:tcPr>
            <w:tcW w:w="4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Collateral on bank credit arrangements and other</w:t>
            </w:r>
          </w:p>
        </w:tc>
        <w:tc>
          <w:tcPr>
            <w:tcW w:w="60" w:type="dxa"/>
            <w:tcBorders/>
            <w:shd w:fill="CCEEFF" w:val="clear"/>
            <w:vAlign w:val="center"/>
          </w:tcPr>
          <w:p>
            <w:pPr>
              <w:pStyle w:val="TableContents"/>
              <w:bidi w:val="0"/>
              <w:spacing w:before="0" w:after="0"/>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57.8</w:t>
            </w:r>
          </w:p>
        </w:tc>
        <w:tc>
          <w:tcPr>
            <w:tcW w:w="66" w:type="dxa"/>
            <w:tcBorders/>
            <w:shd w:fill="CCEEFF" w:val="clear"/>
            <w:vAlign w:val="center"/>
          </w:tcPr>
          <w:p>
            <w:pPr>
              <w:pStyle w:val="TableContents"/>
              <w:bidi w:val="0"/>
              <w:spacing w:before="0" w:after="0"/>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89.4</w:t>
            </w:r>
          </w:p>
        </w:tc>
      </w:tr>
      <w:tr>
        <w:trPr/>
        <w:tc>
          <w:tcPr>
            <w:tcW w:w="440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Restricted cash included within settlement assets</w:t>
            </w:r>
          </w:p>
        </w:tc>
        <w:tc>
          <w:tcPr>
            <w:tcW w:w="60" w:type="dxa"/>
            <w:tcBorders/>
            <w:shd w:fill="FFFFFF" w:val="clear"/>
            <w:vAlign w:val="center"/>
          </w:tcPr>
          <w:p>
            <w:pPr>
              <w:pStyle w:val="TableContents"/>
              <w:bidi w:val="0"/>
              <w:spacing w:before="0" w:after="0"/>
              <w:jc w:val="left"/>
              <w:rPr/>
            </w:pPr>
            <w:r>
              <w:rPr/>
              <w:t> </w:t>
            </w:r>
          </w:p>
        </w:tc>
        <w:tc>
          <w:tcPr>
            <w:tcW w:w="139"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145.9</w:t>
            </w:r>
          </w:p>
        </w:tc>
        <w:tc>
          <w:tcPr>
            <w:tcW w:w="66" w:type="dxa"/>
            <w:tcBorders/>
            <w:shd w:fill="FFFFFF" w:val="clear"/>
            <w:vAlign w:val="center"/>
          </w:tcPr>
          <w:p>
            <w:pPr>
              <w:pStyle w:val="TableContents"/>
              <w:bidi w:val="0"/>
              <w:spacing w:before="0" w:after="0"/>
              <w:jc w:val="left"/>
              <w:rPr/>
            </w:pPr>
            <w:r>
              <w:rPr/>
              <w:t> </w:t>
            </w:r>
          </w:p>
        </w:tc>
        <w:tc>
          <w:tcPr>
            <w:tcW w:w="139"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r>
      <w:tr>
        <w:trPr/>
        <w:tc>
          <w:tcPr>
            <w:tcW w:w="440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66" w:type="dxa"/>
            <w:tcBorders/>
            <w:shd w:fill="CCEEFF" w:val="clear"/>
            <w:vAlign w:val="center"/>
          </w:tcPr>
          <w:p>
            <w:pPr>
              <w:pStyle w:val="TableContents"/>
              <w:bidi w:val="0"/>
              <w:spacing w:before="0" w:after="0"/>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57"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r>
      <w:tr>
        <w:trPr/>
        <w:tc>
          <w:tcPr>
            <w:tcW w:w="4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Restricted Cash</w:t>
            </w:r>
          </w:p>
        </w:tc>
        <w:tc>
          <w:tcPr>
            <w:tcW w:w="60" w:type="dxa"/>
            <w:tcBorders/>
            <w:shd w:fill="FFFFFF" w:val="clear"/>
            <w:vAlign w:val="center"/>
          </w:tcPr>
          <w:p>
            <w:pPr>
              <w:pStyle w:val="TableContents"/>
              <w:bidi w:val="0"/>
              <w:spacing w:before="0" w:after="0"/>
              <w:jc w:val="left"/>
              <w:rPr/>
            </w:pPr>
            <w:r>
              <w:rPr/>
              <w:t> </w:t>
            </w:r>
          </w:p>
        </w:tc>
        <w:tc>
          <w:tcPr>
            <w:tcW w:w="1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169.1</w:t>
            </w:r>
          </w:p>
        </w:tc>
        <w:tc>
          <w:tcPr>
            <w:tcW w:w="66" w:type="dxa"/>
            <w:tcBorders/>
            <w:shd w:fill="FFFFFF" w:val="clear"/>
            <w:vAlign w:val="center"/>
          </w:tcPr>
          <w:p>
            <w:pPr>
              <w:pStyle w:val="TableContents"/>
              <w:bidi w:val="0"/>
              <w:spacing w:before="0" w:after="0"/>
              <w:jc w:val="left"/>
              <w:rPr/>
            </w:pPr>
            <w:r>
              <w:rPr/>
              <w:t> </w:t>
            </w:r>
          </w:p>
        </w:tc>
        <w:tc>
          <w:tcPr>
            <w:tcW w:w="1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198.4</w:t>
            </w:r>
          </w:p>
        </w:tc>
      </w:tr>
    </w:tbl>
    <w:p>
      <w:pPr>
        <w:pStyle w:val="TextBody"/>
        <w:bidi w:val="0"/>
        <w:spacing w:lineRule="auto" w:line="288" w:before="0" w:after="0"/>
        <w:jc w:val="both"/>
        <w:rPr/>
      </w:pPr>
      <w:r>
        <w:rPr/>
        <w:t> </w:t>
      </w:r>
    </w:p>
    <w:p>
      <w:pPr>
        <w:pStyle w:val="TextBody"/>
        <w:bidi w:val="0"/>
        <w:spacing w:lineRule="atLeast" w:line="240" w:before="0" w:after="0"/>
        <w:jc w:val="both"/>
        <w:rPr/>
      </w:pPr>
      <w:r>
        <w:rPr>
          <w:rFonts w:ascii="Times New Roman" w:hAnsi="Times New Roman"/>
          <w:sz w:val="20"/>
        </w:rPr>
        <w:t>Cash held in trust and/or cash held on behalf of others is in connection with the administration of the customer collection and vendor remittance activities by certain subsidiaries within the Company's</w:t>
      </w:r>
      <w:r>
        <w:rPr/>
        <w:t> </w:t>
      </w:r>
      <w:r>
        <w:rPr>
          <w:rFonts w:ascii="Times New Roman" w:hAnsi="Times New Roman"/>
          <w:sz w:val="20"/>
        </w:rPr>
        <w:t>epay</w:t>
      </w:r>
      <w:r>
        <w:rPr/>
        <w:t> </w:t>
      </w:r>
      <w:r>
        <w:rPr>
          <w:rFonts w:ascii="Times New Roman" w:hAnsi="Times New Roman"/>
          <w:sz w:val="20"/>
        </w:rPr>
        <w:t>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pPr>
      <w:hyperlink w:anchor="TOC">
        <w:bookmarkStart w:id="45" w:name="bm_e498bfd7133923bd"/>
        <w:bookmarkEnd w:id="45"/>
        <w:r>
          <w:rPr>
            <w:rStyle w:val="InternetLink"/>
            <w:rFonts w:ascii="Times New Roman" w:hAnsi="Times New Roman"/>
            <w:b/>
            <w:strike w:val="false"/>
            <w:dstrike w:val="false"/>
            <w:color w:val="000000"/>
            <w:sz w:val="20"/>
            <w:u w:val="none"/>
            <w:effect w:val="none"/>
          </w:rPr>
          <w:t>(8) Property and Equipment, Net</w:t>
        </w:r>
      </w:hyperlink>
    </w:p>
    <w:p>
      <w:pPr>
        <w:pStyle w:val="TextBody"/>
        <w:bidi w:val="0"/>
        <w:spacing w:lineRule="atLeast" w:line="240" w:before="0" w:after="0"/>
        <w:ind w:left="300" w:right="0" w:hanging="300"/>
        <w:jc w:val="left"/>
        <w:rPr/>
      </w:pPr>
      <w:r>
        <w:rPr/>
        <w:t> </w:t>
      </w:r>
    </w:p>
    <w:p>
      <w:pPr>
        <w:pStyle w:val="TextBody"/>
        <w:bidi w:val="0"/>
        <w:spacing w:lineRule="atLeast" w:line="240" w:before="0" w:after="0"/>
        <w:jc w:val="left"/>
        <w:rPr/>
      </w:pPr>
      <w:r>
        <w:rPr>
          <w:rFonts w:ascii="Times New Roman" w:hAnsi="Times New Roman"/>
          <w:sz w:val="20"/>
        </w:rPr>
        <w:t>The components of property and equipment, net of accumulated depreciation as of December 31, 2025</w:t>
      </w:r>
      <w:r>
        <w:rPr/>
        <w:t xml:space="preserve"> </w:t>
      </w:r>
      <w:r>
        <w:rPr>
          <w:rFonts w:ascii="Times New Roman" w:hAnsi="Times New Roman"/>
          <w:sz w:val="20"/>
        </w:rPr>
        <w:t>and 2024</w:t>
      </w:r>
      <w:r>
        <w:rPr/>
        <w:t xml:space="preserve"> </w:t>
      </w:r>
      <w:r>
        <w:rPr>
          <w:rFonts w:ascii="Times New Roman" w:hAnsi="Times New Roman"/>
          <w:sz w:val="20"/>
        </w:rPr>
        <w:t>are as follows:</w:t>
      </w:r>
      <w:r>
        <w:rPr/>
        <w:t> </w:t>
      </w:r>
    </w:p>
    <w:p>
      <w:pPr>
        <w:pStyle w:val="TextBody"/>
        <w:bidi w:val="0"/>
        <w:spacing w:lineRule="atLeast" w:line="240"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2540"/>
        <w:gridCol w:w="60"/>
        <w:gridCol w:w="125"/>
        <w:gridCol w:w="635"/>
        <w:gridCol w:w="60"/>
        <w:gridCol w:w="125"/>
        <w:gridCol w:w="620"/>
      </w:tblGrid>
      <w:tr>
        <w:trPr/>
        <w:tc>
          <w:tcPr>
            <w:tcW w:w="25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565"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w:t>
            </w:r>
          </w:p>
        </w:tc>
      </w:tr>
      <w:tr>
        <w:trPr/>
        <w:tc>
          <w:tcPr>
            <w:tcW w:w="254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2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25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ATMs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546.2</w:t>
            </w:r>
          </w:p>
        </w:tc>
      </w:tr>
      <w:tr>
        <w:trPr/>
        <w:tc>
          <w:tcPr>
            <w:tcW w:w="25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POS terminals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57.4</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Vehicles and office equipment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70.1</w:t>
            </w:r>
          </w:p>
        </w:tc>
      </w:tr>
      <w:tr>
        <w:trPr/>
        <w:tc>
          <w:tcPr>
            <w:tcW w:w="25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Computers and software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289.1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245.0</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and buildings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r>
      <w:tr>
        <w:trPr/>
        <w:tc>
          <w:tcPr>
            <w:tcW w:w="254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1,078.0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2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919.3</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(702.7)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(589.6)</w:t>
            </w:r>
          </w:p>
        </w:tc>
      </w:tr>
      <w:tr>
        <w:trPr/>
        <w:tc>
          <w:tcPr>
            <w:tcW w:w="254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375.3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329.7</w:t>
            </w:r>
          </w:p>
        </w:tc>
      </w:tr>
    </w:tbl>
    <w:p>
      <w:pPr>
        <w:pStyle w:val="TextBody"/>
        <w:bidi w:val="0"/>
        <w:spacing w:lineRule="atLeast" w:line="240" w:before="0" w:after="0"/>
        <w:jc w:val="left"/>
        <w:rPr/>
      </w:pPr>
      <w:r>
        <w:rPr/>
        <w:t>  </w:t>
      </w:r>
    </w:p>
    <w:p>
      <w:pPr>
        <w:pStyle w:val="TextBody"/>
        <w:bidi w:val="0"/>
        <w:spacing w:lineRule="atLeast" w:line="240" w:before="0" w:after="0"/>
        <w:jc w:val="both"/>
        <w:rPr/>
      </w:pPr>
      <w:r>
        <w:rPr>
          <w:rFonts w:ascii="Times New Roman" w:hAnsi="Times New Roman"/>
          <w:sz w:val="20"/>
        </w:rPr>
        <w:t>Depreciation expenses related to property and equipment, including property and equipment recorded under finance leases, for the years ended December 31, 2025, 2024</w:t>
      </w:r>
      <w:r>
        <w:rPr/>
        <w:t xml:space="preserve"> </w:t>
      </w:r>
      <w:r>
        <w:rPr>
          <w:rFonts w:ascii="Times New Roman" w:hAnsi="Times New Roman"/>
          <w:sz w:val="20"/>
        </w:rPr>
        <w:t>and 2023</w:t>
      </w:r>
      <w:r>
        <w:rPr/>
        <w:t xml:space="preserve"> </w:t>
      </w:r>
      <w:r>
        <w:rPr>
          <w:rFonts w:ascii="Times New Roman" w:hAnsi="Times New Roman"/>
          <w:sz w:val="20"/>
        </w:rPr>
        <w:t>were $105.1</w:t>
      </w:r>
      <w:r>
        <w:rPr/>
        <w:t xml:space="preserve"> </w:t>
      </w:r>
      <w:r>
        <w:rPr>
          <w:rFonts w:ascii="Times New Roman" w:hAnsi="Times New Roman"/>
          <w:sz w:val="20"/>
        </w:rPr>
        <w:t>million, $102.6</w:t>
      </w:r>
      <w:r>
        <w:rPr/>
        <w:t xml:space="preserve"> </w:t>
      </w:r>
      <w:r>
        <w:rPr>
          <w:rFonts w:ascii="Times New Roman" w:hAnsi="Times New Roman"/>
          <w:sz w:val="20"/>
        </w:rPr>
        <w:t>million, and $100.8</w:t>
      </w:r>
      <w:r>
        <w:rPr/>
        <w:t xml:space="preserve"> </w:t>
      </w:r>
      <w:r>
        <w:rPr>
          <w:rFonts w:ascii="Times New Roman" w:hAnsi="Times New Roman"/>
          <w:sz w:val="20"/>
        </w:rPr>
        <w:t>million, respectively.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40" w:before="0" w:after="0"/>
        <w:jc w:val="left"/>
        <w:rPr/>
      </w:pPr>
      <w:hyperlink w:anchor="TOC">
        <w:bookmarkStart w:id="46" w:name="bm_55faf220d1d58fbe"/>
        <w:bookmarkEnd w:id="46"/>
        <w:r>
          <w:rPr>
            <w:rStyle w:val="InternetLink"/>
            <w:rFonts w:ascii="Times New Roman" w:hAnsi="Times New Roman"/>
            <w:b/>
            <w:strike w:val="false"/>
            <w:dstrike w:val="false"/>
            <w:color w:val="000000"/>
            <w:sz w:val="20"/>
            <w:u w:val="none"/>
            <w:effect w:val="none"/>
          </w:rPr>
          <w:t>(9) Goodwill and Acquired Intangible Assets, Net</w:t>
        </w:r>
      </w:hyperlink>
    </w:p>
    <w:p>
      <w:pPr>
        <w:pStyle w:val="TextBody"/>
        <w:bidi w:val="0"/>
        <w:spacing w:lineRule="atLeast" w:line="240" w:before="0" w:after="0"/>
        <w:jc w:val="left"/>
        <w:rPr/>
      </w:pPr>
      <w:r>
        <w:rPr/>
        <w:t> </w:t>
      </w:r>
    </w:p>
    <w:p>
      <w:pPr>
        <w:pStyle w:val="TextBody"/>
        <w:bidi w:val="0"/>
        <w:spacing w:lineRule="atLeast" w:line="240" w:before="0" w:after="0"/>
        <w:jc w:val="left"/>
        <w:rPr/>
      </w:pPr>
      <w:r>
        <w:rPr>
          <w:rFonts w:ascii="Times New Roman" w:hAnsi="Times New Roman"/>
          <w:sz w:val="20"/>
        </w:rPr>
        <w:t>The following table summarizes intangible assets as of December 31, 2025</w:t>
      </w:r>
      <w:r>
        <w:rPr/>
        <w:t xml:space="preserve"> </w:t>
      </w:r>
      <w:r>
        <w:rPr>
          <w:rFonts w:ascii="Times New Roman" w:hAnsi="Times New Roman"/>
          <w:sz w:val="20"/>
        </w:rPr>
        <w:t>and 2024:</w:t>
      </w:r>
      <w:r>
        <w:rPr/>
        <w:t> </w:t>
      </w:r>
    </w:p>
    <w:p>
      <w:pPr>
        <w:pStyle w:val="TextBody"/>
        <w:bidi w:val="0"/>
        <w:spacing w:lineRule="atLeast" w:line="240" w:before="0" w:after="0"/>
        <w:jc w:val="left"/>
        <w:rPr/>
      </w:pPr>
      <w:r>
        <w:rPr/>
        <w:t> </w:t>
      </w:r>
    </w:p>
    <w:tbl>
      <w:tblPr>
        <w:tblW w:w="10167" w:type="dxa"/>
        <w:jc w:val="left"/>
        <w:tblInd w:w="0" w:type="dxa"/>
        <w:tblLayout w:type="fixed"/>
        <w:tblCellMar>
          <w:top w:w="0" w:type="dxa"/>
          <w:left w:w="0" w:type="dxa"/>
          <w:bottom w:w="0" w:type="dxa"/>
          <w:right w:w="0" w:type="dxa"/>
        </w:tblCellMar>
      </w:tblPr>
      <w:tblGrid>
        <w:gridCol w:w="2330"/>
        <w:gridCol w:w="60"/>
        <w:gridCol w:w="365"/>
        <w:gridCol w:w="1424"/>
        <w:gridCol w:w="78"/>
        <w:gridCol w:w="369"/>
        <w:gridCol w:w="1615"/>
        <w:gridCol w:w="60"/>
        <w:gridCol w:w="366"/>
        <w:gridCol w:w="1423"/>
        <w:gridCol w:w="78"/>
        <w:gridCol w:w="364"/>
        <w:gridCol w:w="1635"/>
      </w:tblGrid>
      <w:tr>
        <w:trPr/>
        <w:tc>
          <w:tcPr>
            <w:tcW w:w="23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851"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2025</w:t>
            </w:r>
          </w:p>
        </w:tc>
        <w:tc>
          <w:tcPr>
            <w:tcW w:w="60" w:type="dxa"/>
            <w:tcBorders/>
            <w:vAlign w:val="center"/>
          </w:tcPr>
          <w:p>
            <w:pPr>
              <w:pStyle w:val="TableContents"/>
              <w:bidi w:val="0"/>
              <w:spacing w:before="0" w:after="0"/>
              <w:jc w:val="left"/>
              <w:rPr/>
            </w:pPr>
            <w:r>
              <w:rPr/>
              <w:t> </w:t>
            </w:r>
          </w:p>
        </w:tc>
        <w:tc>
          <w:tcPr>
            <w:tcW w:w="3866"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2024</w:t>
            </w:r>
          </w:p>
        </w:tc>
      </w:tr>
      <w:tr>
        <w:trPr/>
        <w:tc>
          <w:tcPr>
            <w:tcW w:w="2330" w:type="dxa"/>
            <w:tcBorders/>
            <w:vAlign w:val="center"/>
          </w:tcPr>
          <w:p>
            <w:pPr>
              <w:pStyle w:val="TableContents"/>
              <w:bidi w:val="0"/>
              <w:spacing w:before="0" w:after="0"/>
              <w:jc w:val="left"/>
              <w:rPr>
                <w:sz w:val="20"/>
              </w:rPr>
            </w:pPr>
            <w:r>
              <w:rPr>
                <w:rFonts w:ascii="Times New Roman" w:hAnsi="Times New Roman"/>
                <w:sz w:val="20"/>
              </w:rPr>
              <w:t>(</w:t>
            </w: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78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Carrying Amount</w:t>
            </w:r>
          </w:p>
        </w:tc>
        <w:tc>
          <w:tcPr>
            <w:tcW w:w="78" w:type="dxa"/>
            <w:tcBorders>
              <w:top w:val="single" w:sz="8" w:space="0" w:color="000000"/>
            </w:tcBorders>
            <w:tcMar>
              <w:top w:w="28" w:type="dxa"/>
            </w:tcMar>
            <w:vAlign w:val="center"/>
          </w:tcPr>
          <w:p>
            <w:pPr>
              <w:pStyle w:val="TableContents"/>
              <w:bidi w:val="0"/>
              <w:spacing w:before="0" w:after="0"/>
              <w:jc w:val="left"/>
              <w:rPr/>
            </w:pPr>
            <w:r>
              <w:rPr/>
              <w:t> </w:t>
            </w:r>
          </w:p>
        </w:tc>
        <w:tc>
          <w:tcPr>
            <w:tcW w:w="198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Amortization</w:t>
            </w:r>
          </w:p>
        </w:tc>
        <w:tc>
          <w:tcPr>
            <w:tcW w:w="60" w:type="dxa"/>
            <w:tcBorders/>
            <w:vAlign w:val="center"/>
          </w:tcPr>
          <w:p>
            <w:pPr>
              <w:pStyle w:val="TableContents"/>
              <w:bidi w:val="0"/>
              <w:spacing w:before="0" w:after="0"/>
              <w:jc w:val="left"/>
              <w:rPr/>
            </w:pPr>
            <w:r>
              <w:rPr/>
              <w:t> </w:t>
            </w:r>
          </w:p>
        </w:tc>
        <w:tc>
          <w:tcPr>
            <w:tcW w:w="178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Carrying Amount</w:t>
            </w:r>
          </w:p>
        </w:tc>
        <w:tc>
          <w:tcPr>
            <w:tcW w:w="78" w:type="dxa"/>
            <w:tcBorders>
              <w:top w:val="single" w:sz="8" w:space="0" w:color="000000"/>
            </w:tcBorders>
            <w:tcMar>
              <w:top w:w="28" w:type="dxa"/>
            </w:tcMar>
            <w:vAlign w:val="center"/>
          </w:tcPr>
          <w:p>
            <w:pPr>
              <w:pStyle w:val="TableContents"/>
              <w:bidi w:val="0"/>
              <w:spacing w:before="0" w:after="0"/>
              <w:jc w:val="left"/>
              <w:rPr/>
            </w:pPr>
            <w:r>
              <w:rPr/>
              <w:t> </w:t>
            </w:r>
          </w:p>
        </w:tc>
        <w:tc>
          <w:tcPr>
            <w:tcW w:w="199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Amortization</w:t>
            </w:r>
          </w:p>
        </w:tc>
      </w:tr>
      <w:tr>
        <w:trPr/>
        <w:tc>
          <w:tcPr>
            <w:tcW w:w="233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60" w:type="dxa"/>
            <w:tcBorders/>
            <w:shd w:fill="CCEEFF" w:val="clear"/>
            <w:vAlign w:val="center"/>
          </w:tcPr>
          <w:p>
            <w:pPr>
              <w:pStyle w:val="TableContents"/>
              <w:bidi w:val="0"/>
              <w:spacing w:before="0" w:after="0"/>
              <w:jc w:val="left"/>
              <w:rPr/>
            </w:pPr>
            <w:r>
              <w:rPr/>
              <w:t> </w:t>
            </w:r>
          </w:p>
        </w:tc>
        <w:tc>
          <w:tcPr>
            <w:tcW w:w="36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395.7</w:t>
            </w:r>
          </w:p>
        </w:tc>
        <w:tc>
          <w:tcPr>
            <w:tcW w:w="78" w:type="dxa"/>
            <w:tcBorders/>
            <w:shd w:fill="CCEEFF" w:val="clear"/>
            <w:vAlign w:val="center"/>
          </w:tcPr>
          <w:p>
            <w:pPr>
              <w:pStyle w:val="TableContents"/>
              <w:bidi w:val="0"/>
              <w:spacing w:before="0" w:after="0"/>
              <w:jc w:val="left"/>
              <w:rPr/>
            </w:pPr>
            <w:r>
              <w:rPr/>
              <w:t> </w:t>
            </w:r>
          </w:p>
        </w:tc>
        <w:tc>
          <w:tcPr>
            <w:tcW w:w="36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(163.6)</w:t>
            </w:r>
          </w:p>
        </w:tc>
        <w:tc>
          <w:tcPr>
            <w:tcW w:w="60" w:type="dxa"/>
            <w:tcBorders/>
            <w:shd w:fill="CCEEFF" w:val="clear"/>
            <w:vAlign w:val="center"/>
          </w:tcPr>
          <w:p>
            <w:pPr>
              <w:pStyle w:val="TableContents"/>
              <w:bidi w:val="0"/>
              <w:spacing w:before="0" w:after="0"/>
              <w:jc w:val="left"/>
              <w:rPr/>
            </w:pPr>
            <w:r>
              <w:rPr/>
              <w:t> </w:t>
            </w:r>
          </w:p>
        </w:tc>
        <w:tc>
          <w:tcPr>
            <w:tcW w:w="36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308.7</w:t>
            </w:r>
          </w:p>
        </w:tc>
        <w:tc>
          <w:tcPr>
            <w:tcW w:w="78" w:type="dxa"/>
            <w:tcBorders/>
            <w:shd w:fill="CCEEFF" w:val="clear"/>
            <w:vAlign w:val="center"/>
          </w:tcPr>
          <w:p>
            <w:pPr>
              <w:pStyle w:val="TableContents"/>
              <w:bidi w:val="0"/>
              <w:spacing w:before="0" w:after="0"/>
              <w:jc w:val="left"/>
              <w:rPr/>
            </w:pPr>
            <w:r>
              <w:rPr/>
              <w:t> </w:t>
            </w:r>
          </w:p>
        </w:tc>
        <w:tc>
          <w:tcPr>
            <w:tcW w:w="36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(132.7)</w:t>
            </w:r>
          </w:p>
        </w:tc>
      </w:tr>
      <w:tr>
        <w:trPr/>
        <w:tc>
          <w:tcPr>
            <w:tcW w:w="23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60" w:type="dxa"/>
            <w:tcBorders/>
            <w:shd w:fill="FFFFFF" w:val="clear"/>
            <w:vAlign w:val="center"/>
          </w:tcPr>
          <w:p>
            <w:pPr>
              <w:pStyle w:val="TableContents"/>
              <w:bidi w:val="0"/>
              <w:spacing w:before="0" w:after="0"/>
              <w:jc w:val="left"/>
              <w:rPr/>
            </w:pPr>
            <w:r>
              <w:rPr/>
              <w:t> </w:t>
            </w:r>
          </w:p>
        </w:tc>
        <w:tc>
          <w:tcPr>
            <w:tcW w:w="365" w:type="dxa"/>
            <w:tcBorders/>
            <w:shd w:fill="FFFFFF" w:val="clear"/>
            <w:vAlign w:val="center"/>
          </w:tcPr>
          <w:p>
            <w:pPr>
              <w:pStyle w:val="TableContents"/>
              <w:bidi w:val="0"/>
              <w:spacing w:before="0" w:after="0"/>
              <w:jc w:val="left"/>
              <w:rPr/>
            </w:pPr>
            <w:r>
              <w:rPr/>
              <w:t> </w:t>
            </w:r>
          </w:p>
        </w:tc>
        <w:tc>
          <w:tcPr>
            <w:tcW w:w="142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68.4</w:t>
            </w:r>
          </w:p>
        </w:tc>
        <w:tc>
          <w:tcPr>
            <w:tcW w:w="78" w:type="dxa"/>
            <w:tcBorders/>
            <w:shd w:fill="FFFFFF" w:val="clear"/>
            <w:vAlign w:val="center"/>
          </w:tcPr>
          <w:p>
            <w:pPr>
              <w:pStyle w:val="TableContents"/>
              <w:bidi w:val="0"/>
              <w:spacing w:before="0" w:after="0"/>
              <w:jc w:val="left"/>
              <w:rPr/>
            </w:pPr>
            <w:r>
              <w:rPr/>
              <w:t> </w:t>
            </w:r>
          </w:p>
        </w:tc>
        <w:tc>
          <w:tcPr>
            <w:tcW w:w="369" w:type="dxa"/>
            <w:tcBorders/>
            <w:shd w:fill="FFFFFF" w:val="clear"/>
            <w:vAlign w:val="center"/>
          </w:tcPr>
          <w:p>
            <w:pPr>
              <w:pStyle w:val="TableContents"/>
              <w:bidi w:val="0"/>
              <w:spacing w:before="0" w:after="0"/>
              <w:jc w:val="left"/>
              <w:rPr/>
            </w:pPr>
            <w:r>
              <w:rPr/>
              <w:t> </w:t>
            </w:r>
          </w:p>
        </w:tc>
        <w:tc>
          <w:tcPr>
            <w:tcW w:w="16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(57.6)</w:t>
            </w:r>
          </w:p>
        </w:tc>
        <w:tc>
          <w:tcPr>
            <w:tcW w:w="60" w:type="dxa"/>
            <w:tcBorders/>
            <w:shd w:fill="FFFFFF" w:val="clear"/>
            <w:vAlign w:val="center"/>
          </w:tcPr>
          <w:p>
            <w:pPr>
              <w:pStyle w:val="TableContents"/>
              <w:bidi w:val="0"/>
              <w:spacing w:before="0" w:after="0"/>
              <w:jc w:val="left"/>
              <w:rPr/>
            </w:pPr>
            <w:r>
              <w:rPr/>
              <w:t> </w:t>
            </w:r>
          </w:p>
        </w:tc>
        <w:tc>
          <w:tcPr>
            <w:tcW w:w="366" w:type="dxa"/>
            <w:tcBorders/>
            <w:shd w:fill="FFFFFF" w:val="clear"/>
            <w:vAlign w:val="center"/>
          </w:tcPr>
          <w:p>
            <w:pPr>
              <w:pStyle w:val="TableContents"/>
              <w:bidi w:val="0"/>
              <w:spacing w:before="0" w:after="0"/>
              <w:jc w:val="left"/>
              <w:rPr/>
            </w:pPr>
            <w:r>
              <w:rPr/>
              <w:t> </w:t>
            </w:r>
          </w:p>
        </w:tc>
        <w:tc>
          <w:tcPr>
            <w:tcW w:w="142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53.8</w:t>
            </w:r>
          </w:p>
        </w:tc>
        <w:tc>
          <w:tcPr>
            <w:tcW w:w="78" w:type="dxa"/>
            <w:tcBorders/>
            <w:shd w:fill="FFFFFF" w:val="clear"/>
            <w:vAlign w:val="center"/>
          </w:tcPr>
          <w:p>
            <w:pPr>
              <w:pStyle w:val="TableContents"/>
              <w:bidi w:val="0"/>
              <w:spacing w:before="0" w:after="0"/>
              <w:jc w:val="left"/>
              <w:rPr/>
            </w:pPr>
            <w:r>
              <w:rPr/>
              <w:t> </w:t>
            </w:r>
          </w:p>
        </w:tc>
        <w:tc>
          <w:tcPr>
            <w:tcW w:w="364" w:type="dxa"/>
            <w:tcBorders/>
            <w:shd w:fill="FFFFFF" w:val="clear"/>
            <w:vAlign w:val="center"/>
          </w:tcPr>
          <w:p>
            <w:pPr>
              <w:pStyle w:val="TableContents"/>
              <w:bidi w:val="0"/>
              <w:spacing w:before="0" w:after="0"/>
              <w:jc w:val="left"/>
              <w:rPr/>
            </w:pPr>
            <w:r>
              <w:rPr/>
              <w:t> </w:t>
            </w:r>
          </w:p>
        </w:tc>
        <w:tc>
          <w:tcPr>
            <w:tcW w:w="1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(53.8)</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Trademarks and trade names</w:t>
            </w:r>
          </w:p>
        </w:tc>
        <w:tc>
          <w:tcPr>
            <w:tcW w:w="60" w:type="dxa"/>
            <w:tcBorders/>
            <w:shd w:fill="CCEEFF" w:val="clear"/>
            <w:vAlign w:val="center"/>
          </w:tcPr>
          <w:p>
            <w:pPr>
              <w:pStyle w:val="TableContents"/>
              <w:bidi w:val="0"/>
              <w:spacing w:before="0" w:after="0"/>
              <w:jc w:val="left"/>
              <w:rPr/>
            </w:pPr>
            <w:r>
              <w:rPr/>
              <w:t> </w:t>
            </w:r>
          </w:p>
        </w:tc>
        <w:tc>
          <w:tcPr>
            <w:tcW w:w="365" w:type="dxa"/>
            <w:tcBorders/>
            <w:shd w:fill="CCEEFF" w:val="clear"/>
            <w:vAlign w:val="center"/>
          </w:tcPr>
          <w:p>
            <w:pPr>
              <w:pStyle w:val="TableContents"/>
              <w:bidi w:val="0"/>
              <w:spacing w:before="0" w:after="0"/>
              <w:jc w:val="left"/>
              <w:rPr/>
            </w:pPr>
            <w:r>
              <w:rPr/>
              <w:t> </w:t>
            </w:r>
          </w:p>
        </w:tc>
        <w:tc>
          <w:tcPr>
            <w:tcW w:w="142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52.6</w:t>
            </w:r>
          </w:p>
        </w:tc>
        <w:tc>
          <w:tcPr>
            <w:tcW w:w="78" w:type="dxa"/>
            <w:tcBorders/>
            <w:shd w:fill="CCEEFF" w:val="clear"/>
            <w:vAlign w:val="center"/>
          </w:tcPr>
          <w:p>
            <w:pPr>
              <w:pStyle w:val="TableContents"/>
              <w:bidi w:val="0"/>
              <w:spacing w:before="0" w:after="0"/>
              <w:jc w:val="left"/>
              <w:rPr/>
            </w:pPr>
            <w:r>
              <w:rPr/>
              <w:t> </w:t>
            </w:r>
          </w:p>
        </w:tc>
        <w:tc>
          <w:tcPr>
            <w:tcW w:w="369" w:type="dxa"/>
            <w:tcBorders/>
            <w:shd w:fill="CCEEFF" w:val="clear"/>
            <w:vAlign w:val="center"/>
          </w:tcPr>
          <w:p>
            <w:pPr>
              <w:pStyle w:val="TableContents"/>
              <w:bidi w:val="0"/>
              <w:spacing w:before="0" w:after="0"/>
              <w:jc w:val="left"/>
              <w:rPr/>
            </w:pPr>
            <w:r>
              <w:rPr/>
              <w:t> </w:t>
            </w:r>
          </w:p>
        </w:tc>
        <w:tc>
          <w:tcPr>
            <w:tcW w:w="16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(41.1)</w:t>
            </w:r>
          </w:p>
        </w:tc>
        <w:tc>
          <w:tcPr>
            <w:tcW w:w="6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left"/>
              <w:rPr/>
            </w:pPr>
            <w:r>
              <w:rPr/>
              <w:t> </w:t>
            </w:r>
          </w:p>
        </w:tc>
        <w:tc>
          <w:tcPr>
            <w:tcW w:w="142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43.3</w:t>
            </w:r>
          </w:p>
        </w:tc>
        <w:tc>
          <w:tcPr>
            <w:tcW w:w="78" w:type="dxa"/>
            <w:tcBorders/>
            <w:shd w:fill="CCEEFF" w:val="clear"/>
            <w:vAlign w:val="center"/>
          </w:tcPr>
          <w:p>
            <w:pPr>
              <w:pStyle w:val="TableContents"/>
              <w:bidi w:val="0"/>
              <w:spacing w:before="0" w:after="0"/>
              <w:jc w:val="left"/>
              <w:rPr/>
            </w:pPr>
            <w:r>
              <w:rPr/>
              <w:t> </w:t>
            </w:r>
          </w:p>
        </w:tc>
        <w:tc>
          <w:tcPr>
            <w:tcW w:w="364" w:type="dxa"/>
            <w:tcBorders/>
            <w:shd w:fill="CCEEFF" w:val="clear"/>
            <w:vAlign w:val="center"/>
          </w:tcPr>
          <w:p>
            <w:pPr>
              <w:pStyle w:val="TableContents"/>
              <w:bidi w:val="0"/>
              <w:spacing w:before="0" w:after="0"/>
              <w:jc w:val="left"/>
              <w:rPr/>
            </w:pPr>
            <w:r>
              <w:rPr/>
              <w:t> </w:t>
            </w:r>
          </w:p>
        </w:tc>
        <w:tc>
          <w:tcPr>
            <w:tcW w:w="1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(37.3)</w:t>
            </w:r>
          </w:p>
        </w:tc>
      </w:tr>
      <w:tr>
        <w:trPr/>
        <w:tc>
          <w:tcPr>
            <w:tcW w:w="23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Non-compete agreements</w:t>
            </w:r>
          </w:p>
        </w:tc>
        <w:tc>
          <w:tcPr>
            <w:tcW w:w="60" w:type="dxa"/>
            <w:tcBorders/>
            <w:shd w:fill="FFFFFF" w:val="clear"/>
            <w:vAlign w:val="center"/>
          </w:tcPr>
          <w:p>
            <w:pPr>
              <w:pStyle w:val="TableContents"/>
              <w:bidi w:val="0"/>
              <w:spacing w:before="0" w:after="0"/>
              <w:jc w:val="left"/>
              <w:rPr/>
            </w:pPr>
            <w:r>
              <w:rPr/>
              <w:t> </w:t>
            </w:r>
          </w:p>
        </w:tc>
        <w:tc>
          <w:tcPr>
            <w:tcW w:w="36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2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78" w:type="dxa"/>
            <w:tcBorders/>
            <w:shd w:fill="FFFFFF" w:val="clear"/>
            <w:vAlign w:val="center"/>
          </w:tcPr>
          <w:p>
            <w:pPr>
              <w:pStyle w:val="TableContents"/>
              <w:bidi w:val="0"/>
              <w:spacing w:before="0" w:after="0"/>
              <w:jc w:val="left"/>
              <w:rPr/>
            </w:pPr>
            <w:r>
              <w:rPr/>
              <w:t> </w:t>
            </w:r>
          </w:p>
        </w:tc>
        <w:tc>
          <w:tcPr>
            <w:tcW w:w="36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61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60" w:type="dxa"/>
            <w:tcBorders/>
            <w:shd w:fill="FFFFFF" w:val="clear"/>
            <w:vAlign w:val="center"/>
          </w:tcPr>
          <w:p>
            <w:pPr>
              <w:pStyle w:val="TableContents"/>
              <w:bidi w:val="0"/>
              <w:spacing w:before="0" w:after="0"/>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2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78" w:type="dxa"/>
            <w:tcBorders/>
            <w:shd w:fill="FFFFFF" w:val="clear"/>
            <w:vAlign w:val="center"/>
          </w:tcPr>
          <w:p>
            <w:pPr>
              <w:pStyle w:val="TableContents"/>
              <w:bidi w:val="0"/>
              <w:spacing w:before="0" w:after="0"/>
              <w:jc w:val="left"/>
              <w:rPr/>
            </w:pPr>
            <w:r>
              <w:rPr/>
              <w:t> </w:t>
            </w:r>
          </w:p>
        </w:tc>
        <w:tc>
          <w:tcPr>
            <w:tcW w:w="36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6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w:t>
            </w:r>
          </w:p>
        </w:tc>
      </w:tr>
      <w:tr>
        <w:trPr/>
        <w:tc>
          <w:tcPr>
            <w:tcW w:w="23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jc w:val="left"/>
              <w:rPr/>
            </w:pPr>
            <w:r>
              <w:rPr/>
              <w:t> </w:t>
            </w:r>
          </w:p>
        </w:tc>
        <w:tc>
          <w:tcPr>
            <w:tcW w:w="3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2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527.6</w:t>
            </w:r>
          </w:p>
        </w:tc>
        <w:tc>
          <w:tcPr>
            <w:tcW w:w="78" w:type="dxa"/>
            <w:tcBorders/>
            <w:shd w:fill="CCEEFF" w:val="clear"/>
            <w:vAlign w:val="center"/>
          </w:tcPr>
          <w:p>
            <w:pPr>
              <w:pStyle w:val="TableContents"/>
              <w:bidi w:val="0"/>
              <w:spacing w:before="0" w:after="0"/>
              <w:jc w:val="left"/>
              <w:rPr/>
            </w:pPr>
            <w:r>
              <w:rPr/>
              <w:t> </w:t>
            </w:r>
          </w:p>
        </w:tc>
        <w:tc>
          <w:tcPr>
            <w:tcW w:w="3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(266.4)</w:t>
            </w:r>
          </w:p>
        </w:tc>
        <w:tc>
          <w:tcPr>
            <w:tcW w:w="60" w:type="dxa"/>
            <w:tcBorders/>
            <w:shd w:fill="CCEEFF" w:val="clear"/>
            <w:vAlign w:val="center"/>
          </w:tcPr>
          <w:p>
            <w:pPr>
              <w:pStyle w:val="TableContents"/>
              <w:bidi w:val="0"/>
              <w:spacing w:before="0" w:after="0"/>
              <w:jc w:val="left"/>
              <w:rPr/>
            </w:pPr>
            <w:r>
              <w:rPr/>
              <w:t> </w:t>
            </w:r>
          </w:p>
        </w:tc>
        <w:tc>
          <w:tcPr>
            <w:tcW w:w="3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2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415.4</w:t>
            </w:r>
          </w:p>
        </w:tc>
        <w:tc>
          <w:tcPr>
            <w:tcW w:w="78" w:type="dxa"/>
            <w:tcBorders/>
            <w:shd w:fill="CCEEFF" w:val="clear"/>
            <w:vAlign w:val="center"/>
          </w:tcPr>
          <w:p>
            <w:pPr>
              <w:pStyle w:val="TableContents"/>
              <w:bidi w:val="0"/>
              <w:spacing w:before="0" w:after="0"/>
              <w:jc w:val="left"/>
              <w:rPr/>
            </w:pPr>
            <w:r>
              <w:rPr/>
              <w:t> </w:t>
            </w:r>
          </w:p>
        </w:tc>
        <w:tc>
          <w:tcPr>
            <w:tcW w:w="3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(226.5)</w:t>
            </w:r>
          </w:p>
        </w:tc>
      </w:tr>
    </w:tbl>
    <w:p>
      <w:pPr>
        <w:pStyle w:val="TextBody"/>
        <w:bidi w:val="0"/>
        <w:spacing w:lineRule="auto" w:line="288" w:before="0" w:after="0"/>
        <w:jc w:val="left"/>
        <w:rPr/>
      </w:pPr>
      <w:r>
        <w:rPr/>
        <w:t> </w:t>
      </w:r>
    </w:p>
    <w:p>
      <w:pPr>
        <w:pStyle w:val="TextBody"/>
        <w:bidi w:val="0"/>
        <w:spacing w:lineRule="atLeast" w:line="240" w:before="0" w:after="0"/>
        <w:jc w:val="both"/>
        <w:rPr/>
      </w:pPr>
      <w:r>
        <w:rPr>
          <w:rFonts w:ascii="Times New Roman" w:hAnsi="Times New Roman"/>
          <w:sz w:val="20"/>
        </w:rPr>
        <w:t>The following table summarizes the goodwill and amortizable intangible assets activity for the years ended December 31, 2025</w:t>
      </w:r>
      <w:r>
        <w:rPr/>
        <w:t xml:space="preserve"> </w:t>
      </w:r>
      <w:r>
        <w:rPr>
          <w:rFonts w:ascii="Times New Roman" w:hAnsi="Times New Roman"/>
          <w:sz w:val="20"/>
        </w:rPr>
        <w:t>and 2024:</w:t>
      </w:r>
      <w:r>
        <w:rPr/>
        <w:t>  </w:t>
      </w:r>
    </w:p>
    <w:p>
      <w:pPr>
        <w:pStyle w:val="TextBody"/>
        <w:bidi w:val="0"/>
        <w:spacing w:lineRule="atLeast" w:line="240" w:before="0" w:after="0"/>
        <w:jc w:val="left"/>
        <w:rPr/>
      </w:pPr>
      <w:r>
        <w:rPr/>
        <w:t> </w:t>
      </w:r>
    </w:p>
    <w:tbl>
      <w:tblPr>
        <w:tblW w:w="9503" w:type="dxa"/>
        <w:jc w:val="left"/>
        <w:tblInd w:w="0" w:type="dxa"/>
        <w:tblLayout w:type="fixed"/>
        <w:tblCellMar>
          <w:top w:w="0" w:type="dxa"/>
          <w:left w:w="0" w:type="dxa"/>
          <w:bottom w:w="28" w:type="dxa"/>
          <w:right w:w="0" w:type="dxa"/>
        </w:tblCellMar>
      </w:tblPr>
      <w:tblGrid>
        <w:gridCol w:w="4940"/>
        <w:gridCol w:w="60"/>
        <w:gridCol w:w="395"/>
        <w:gridCol w:w="1544"/>
        <w:gridCol w:w="60"/>
        <w:gridCol w:w="125"/>
        <w:gridCol w:w="635"/>
        <w:gridCol w:w="60"/>
        <w:gridCol w:w="271"/>
        <w:gridCol w:w="1413"/>
      </w:tblGrid>
      <w:tr>
        <w:trPr/>
        <w:tc>
          <w:tcPr>
            <w:tcW w:w="4940" w:type="dxa"/>
            <w:tcBorders>
              <w:bottom w:val="single" w:sz="8" w:space="0" w:color="000000"/>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tcMar>
              <w:bottom w:w="0" w:type="dxa"/>
            </w:tcMar>
            <w:vAlign w:val="center"/>
          </w:tcPr>
          <w:p>
            <w:pPr>
              <w:pStyle w:val="TableContents"/>
              <w:bidi w:val="0"/>
              <w:spacing w:before="0" w:after="0"/>
              <w:jc w:val="left"/>
              <w:rPr/>
            </w:pPr>
            <w:r>
              <w:rPr/>
              <w:t> </w:t>
            </w:r>
          </w:p>
        </w:tc>
        <w:tc>
          <w:tcPr>
            <w:tcW w:w="1939"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Acquired Intangible Assets</w:t>
            </w:r>
          </w:p>
        </w:tc>
        <w:tc>
          <w:tcPr>
            <w:tcW w:w="60" w:type="dxa"/>
            <w:tcBorders/>
            <w:tcMar>
              <w:bottom w:w="0" w:type="dxa"/>
            </w:tcMar>
            <w:vAlign w:val="center"/>
          </w:tcPr>
          <w:p>
            <w:pPr>
              <w:pStyle w:val="TableContents"/>
              <w:bidi w:val="0"/>
              <w:spacing w:before="0" w:after="0"/>
              <w:jc w:val="left"/>
              <w:rPr/>
            </w:pPr>
            <w:r>
              <w:rPr/>
              <w:t> </w:t>
            </w:r>
          </w:p>
        </w:tc>
        <w:tc>
          <w:tcPr>
            <w:tcW w:w="760"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Goodwill</w:t>
            </w:r>
          </w:p>
        </w:tc>
        <w:tc>
          <w:tcPr>
            <w:tcW w:w="60" w:type="dxa"/>
            <w:tcBorders/>
            <w:tcMar>
              <w:bottom w:w="0" w:type="dxa"/>
            </w:tcMar>
            <w:vAlign w:val="center"/>
          </w:tcPr>
          <w:p>
            <w:pPr>
              <w:pStyle w:val="TableContents"/>
              <w:bidi w:val="0"/>
              <w:spacing w:before="0" w:after="0"/>
              <w:jc w:val="left"/>
              <w:rPr/>
            </w:pPr>
            <w:r>
              <w:rPr/>
              <w:t> </w:t>
            </w:r>
          </w:p>
        </w:tc>
        <w:tc>
          <w:tcPr>
            <w:tcW w:w="168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Intangible Assets</w:t>
            </w:r>
          </w:p>
        </w:tc>
      </w:tr>
      <w:tr>
        <w:trPr/>
        <w:tc>
          <w:tcPr>
            <w:tcW w:w="494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 2024</w:t>
            </w:r>
          </w:p>
        </w:tc>
        <w:tc>
          <w:tcPr>
            <w:tcW w:w="60" w:type="dxa"/>
            <w:tcBorders/>
            <w:shd w:fill="CCEEFF" w:val="clear"/>
            <w:tcMar>
              <w:bottom w:w="0" w:type="dxa"/>
            </w:tcMar>
            <w:vAlign w:val="center"/>
          </w:tcPr>
          <w:p>
            <w:pPr>
              <w:pStyle w:val="TableContents"/>
              <w:bidi w:val="0"/>
              <w:spacing w:before="0" w:after="0"/>
              <w:jc w:val="left"/>
              <w:rPr/>
            </w:pPr>
            <w:r>
              <w:rPr/>
              <w:t> </w:t>
            </w:r>
          </w:p>
        </w:tc>
        <w:tc>
          <w:tcPr>
            <w:tcW w:w="39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4"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167.6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847.5</w:t>
            </w:r>
          </w:p>
        </w:tc>
        <w:tc>
          <w:tcPr>
            <w:tcW w:w="60" w:type="dxa"/>
            <w:tcBorders/>
            <w:shd w:fill="CCEEFF" w:val="clear"/>
            <w:tcMar>
              <w:bottom w:w="0" w:type="dxa"/>
            </w:tcMar>
            <w:vAlign w:val="center"/>
          </w:tcPr>
          <w:p>
            <w:pPr>
              <w:pStyle w:val="TableContents"/>
              <w:bidi w:val="0"/>
              <w:spacing w:before="0" w:after="0"/>
              <w:jc w:val="left"/>
              <w:rPr/>
            </w:pPr>
            <w:r>
              <w:rPr/>
              <w:t> </w:t>
            </w:r>
          </w:p>
        </w:tc>
        <w:tc>
          <w:tcPr>
            <w:tcW w:w="271"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3"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1,015.1</w:t>
            </w:r>
          </w:p>
        </w:tc>
      </w:tr>
      <w:tr>
        <w:trPr/>
        <w:tc>
          <w:tcPr>
            <w:tcW w:w="494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Increases (decreases):</w:t>
            </w:r>
          </w:p>
        </w:tc>
        <w:tc>
          <w:tcPr>
            <w:tcW w:w="60" w:type="dxa"/>
            <w:tcBorders/>
            <w:shd w:fill="FFFFFF" w:val="clear"/>
            <w:tcMar>
              <w:bottom w:w="0" w:type="dxa"/>
            </w:tcMar>
            <w:vAlign w:val="center"/>
          </w:tcPr>
          <w:p>
            <w:pPr>
              <w:pStyle w:val="TableContents"/>
              <w:bidi w:val="0"/>
              <w:spacing w:before="0" w:after="0"/>
              <w:jc w:val="left"/>
              <w:rPr/>
            </w:pPr>
            <w:r>
              <w:rPr/>
              <w:t> </w:t>
            </w:r>
          </w:p>
        </w:tc>
        <w:tc>
          <w:tcPr>
            <w:tcW w:w="395" w:type="dxa"/>
            <w:tcBorders/>
            <w:shd w:fill="FFFFFF" w:val="clear"/>
            <w:tcMar>
              <w:bottom w:w="0" w:type="dxa"/>
            </w:tcMar>
            <w:vAlign w:val="center"/>
          </w:tcPr>
          <w:p>
            <w:pPr>
              <w:pStyle w:val="TableContents"/>
              <w:bidi w:val="0"/>
              <w:spacing w:before="0" w:after="0"/>
              <w:jc w:val="left"/>
              <w:rPr/>
            </w:pPr>
            <w:r>
              <w:rPr/>
              <w:t> </w:t>
            </w:r>
          </w:p>
        </w:tc>
        <w:tc>
          <w:tcPr>
            <w:tcW w:w="1544"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35"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271" w:type="dxa"/>
            <w:tcBorders/>
            <w:shd w:fill="FFFFFF" w:val="clear"/>
            <w:tcMar>
              <w:bottom w:w="0" w:type="dxa"/>
            </w:tcMar>
            <w:vAlign w:val="center"/>
          </w:tcPr>
          <w:p>
            <w:pPr>
              <w:pStyle w:val="TableContents"/>
              <w:bidi w:val="0"/>
              <w:spacing w:before="0" w:after="0"/>
              <w:jc w:val="left"/>
              <w:rPr/>
            </w:pPr>
            <w:r>
              <w:rPr/>
              <w:t> </w:t>
            </w:r>
          </w:p>
        </w:tc>
        <w:tc>
          <w:tcPr>
            <w:tcW w:w="1413" w:type="dxa"/>
            <w:tcBorders/>
            <w:shd w:fill="FFFFFF" w:val="clear"/>
            <w:tcMar>
              <w:bottom w:w="0" w:type="dxa"/>
            </w:tcMar>
            <w:vAlign w:val="center"/>
          </w:tcPr>
          <w:p>
            <w:pPr>
              <w:pStyle w:val="TableContents"/>
              <w:bidi w:val="0"/>
              <w:spacing w:before="0" w:after="0"/>
              <w:jc w:val="right"/>
              <w:rPr/>
            </w:pPr>
            <w:r>
              <w:rPr/>
              <w:t> </w:t>
            </w:r>
          </w:p>
        </w:tc>
      </w:tr>
      <w:tr>
        <w:trPr/>
        <w:tc>
          <w:tcPr>
            <w:tcW w:w="4940"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Acquisitions (see footnote 6)</w:t>
            </w:r>
          </w:p>
        </w:tc>
        <w:tc>
          <w:tcPr>
            <w:tcW w:w="60" w:type="dxa"/>
            <w:tcBorders/>
            <w:shd w:fill="CCEEFF" w:val="clear"/>
            <w:tcMar>
              <w:bottom w:w="0" w:type="dxa"/>
            </w:tcMar>
            <w:vAlign w:val="center"/>
          </w:tcPr>
          <w:p>
            <w:pPr>
              <w:pStyle w:val="TableContents"/>
              <w:bidi w:val="0"/>
              <w:spacing w:before="0" w:after="0"/>
              <w:jc w:val="left"/>
              <w:rPr/>
            </w:pPr>
            <w:r>
              <w:rPr/>
              <w:t> </w:t>
            </w:r>
          </w:p>
        </w:tc>
        <w:tc>
          <w:tcPr>
            <w:tcW w:w="395" w:type="dxa"/>
            <w:tcBorders/>
            <w:shd w:fill="CCEEFF" w:val="clear"/>
            <w:tcMar>
              <w:bottom w:w="0" w:type="dxa"/>
            </w:tcMar>
            <w:vAlign w:val="center"/>
          </w:tcPr>
          <w:p>
            <w:pPr>
              <w:pStyle w:val="TableContents"/>
              <w:bidi w:val="0"/>
              <w:spacing w:before="0" w:after="0"/>
              <w:jc w:val="left"/>
              <w:rPr/>
            </w:pPr>
            <w:r>
              <w:rPr/>
              <w:t> </w:t>
            </w:r>
          </w:p>
        </w:tc>
        <w:tc>
          <w:tcPr>
            <w:tcW w:w="154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3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60" w:type="dxa"/>
            <w:tcBorders/>
            <w:shd w:fill="CCEEFF" w:val="clear"/>
            <w:tcMar>
              <w:bottom w:w="0" w:type="dxa"/>
            </w:tcMar>
            <w:vAlign w:val="center"/>
          </w:tcPr>
          <w:p>
            <w:pPr>
              <w:pStyle w:val="TableContents"/>
              <w:bidi w:val="0"/>
              <w:spacing w:before="0" w:after="0"/>
              <w:jc w:val="left"/>
              <w:rPr/>
            </w:pPr>
            <w:r>
              <w:rPr/>
              <w:t> </w:t>
            </w:r>
          </w:p>
        </w:tc>
        <w:tc>
          <w:tcPr>
            <w:tcW w:w="271" w:type="dxa"/>
            <w:tcBorders/>
            <w:shd w:fill="CCEEFF" w:val="clear"/>
            <w:tcMar>
              <w:bottom w:w="0" w:type="dxa"/>
            </w:tcMar>
            <w:vAlign w:val="center"/>
          </w:tcPr>
          <w:p>
            <w:pPr>
              <w:pStyle w:val="TableContents"/>
              <w:bidi w:val="0"/>
              <w:spacing w:before="0" w:after="0"/>
              <w:jc w:val="left"/>
              <w:rPr/>
            </w:pPr>
            <w:r>
              <w:rPr/>
              <w:t> </w:t>
            </w:r>
          </w:p>
        </w:tc>
        <w:tc>
          <w:tcPr>
            <w:tcW w:w="141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101.2</w:t>
            </w:r>
          </w:p>
        </w:tc>
      </w:tr>
      <w:tr>
        <w:trPr/>
        <w:tc>
          <w:tcPr>
            <w:tcW w:w="4940"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Amortization</w:t>
            </w:r>
          </w:p>
        </w:tc>
        <w:tc>
          <w:tcPr>
            <w:tcW w:w="60" w:type="dxa"/>
            <w:tcBorders/>
            <w:shd w:fill="FFFFFF" w:val="clear"/>
            <w:tcMar>
              <w:bottom w:w="0" w:type="dxa"/>
            </w:tcMar>
            <w:vAlign w:val="center"/>
          </w:tcPr>
          <w:p>
            <w:pPr>
              <w:pStyle w:val="TableContents"/>
              <w:bidi w:val="0"/>
              <w:spacing w:before="0" w:after="0"/>
              <w:jc w:val="left"/>
              <w:rPr/>
            </w:pPr>
            <w:r>
              <w:rPr/>
              <w:t> </w:t>
            </w:r>
          </w:p>
        </w:tc>
        <w:tc>
          <w:tcPr>
            <w:tcW w:w="395" w:type="dxa"/>
            <w:tcBorders/>
            <w:shd w:fill="FFFFFF" w:val="clear"/>
            <w:tcMar>
              <w:bottom w:w="0" w:type="dxa"/>
            </w:tcMar>
            <w:vAlign w:val="center"/>
          </w:tcPr>
          <w:p>
            <w:pPr>
              <w:pStyle w:val="TableContents"/>
              <w:bidi w:val="0"/>
              <w:spacing w:before="0" w:after="0"/>
              <w:jc w:val="left"/>
              <w:rPr/>
            </w:pPr>
            <w:r>
              <w:rPr/>
              <w:t> </w:t>
            </w:r>
          </w:p>
        </w:tc>
        <w:tc>
          <w:tcPr>
            <w:tcW w:w="154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35" w:type="dxa"/>
            <w:tcBorders/>
            <w:shd w:fill="FFFFFF" w:val="clear"/>
            <w:tcMar>
              <w:bottom w:w="0" w:type="dxa"/>
            </w:tcMar>
            <w:vAlign w:val="center"/>
          </w:tcPr>
          <w:p>
            <w:pPr>
              <w:pStyle w:val="TableContents"/>
              <w:bidi w:val="0"/>
              <w:spacing w:before="0" w:after="0"/>
              <w:jc w:val="right"/>
              <w:rPr/>
            </w:pPr>
            <w:r>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271" w:type="dxa"/>
            <w:tcBorders/>
            <w:shd w:fill="FFFFFF" w:val="clear"/>
            <w:tcMar>
              <w:bottom w:w="0" w:type="dxa"/>
            </w:tcMar>
            <w:vAlign w:val="center"/>
          </w:tcPr>
          <w:p>
            <w:pPr>
              <w:pStyle w:val="TableContents"/>
              <w:bidi w:val="0"/>
              <w:spacing w:before="0" w:after="0"/>
              <w:jc w:val="left"/>
              <w:rPr/>
            </w:pPr>
            <w:r>
              <w:rPr/>
              <w:t> </w:t>
            </w:r>
          </w:p>
        </w:tc>
        <w:tc>
          <w:tcPr>
            <w:tcW w:w="141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(21.7)</w:t>
            </w:r>
          </w:p>
        </w:tc>
      </w:tr>
      <w:tr>
        <w:trPr/>
        <w:tc>
          <w:tcPr>
            <w:tcW w:w="4940"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(primarily changes in foreign currency exchange rates)</w:t>
            </w:r>
          </w:p>
        </w:tc>
        <w:tc>
          <w:tcPr>
            <w:tcW w:w="60" w:type="dxa"/>
            <w:tcBorders/>
            <w:shd w:fill="CCEEFF" w:val="clear"/>
            <w:tcMar>
              <w:bottom w:w="0" w:type="dxa"/>
            </w:tcMar>
            <w:vAlign w:val="center"/>
          </w:tcPr>
          <w:p>
            <w:pPr>
              <w:pStyle w:val="TableContents"/>
              <w:bidi w:val="0"/>
              <w:spacing w:before="0" w:after="0"/>
              <w:jc w:val="left"/>
              <w:rPr/>
            </w:pPr>
            <w:r>
              <w:rPr/>
              <w:t> </w:t>
            </w:r>
          </w:p>
        </w:tc>
        <w:tc>
          <w:tcPr>
            <w:tcW w:w="395" w:type="dxa"/>
            <w:tcBorders>
              <w:bottom w:val="single" w:sz="8" w:space="0" w:color="000000"/>
            </w:tcBorders>
            <w:shd w:fill="CCEEFF" w:val="clear"/>
            <w:vAlign w:val="center"/>
          </w:tcPr>
          <w:p>
            <w:pPr>
              <w:pStyle w:val="TableContents"/>
              <w:bidi w:val="0"/>
              <w:spacing w:before="0" w:after="0"/>
              <w:jc w:val="left"/>
              <w:rPr/>
            </w:pPr>
            <w:r>
              <w:rPr/>
              <w:t> </w:t>
            </w:r>
          </w:p>
        </w:tc>
        <w:tc>
          <w:tcPr>
            <w:tcW w:w="1544"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bottom w:val="single" w:sz="8" w:space="0" w:color="000000"/>
            </w:tcBorders>
            <w:shd w:fill="CCEEFF" w:val="clear"/>
            <w:vAlign w:val="center"/>
          </w:tcPr>
          <w:p>
            <w:pPr>
              <w:pStyle w:val="TableContents"/>
              <w:bidi w:val="0"/>
              <w:spacing w:before="0" w:after="0"/>
              <w:jc w:val="left"/>
              <w:rPr/>
            </w:pPr>
            <w:r>
              <w:rPr/>
              <w:t> </w:t>
            </w:r>
          </w:p>
        </w:tc>
        <w:tc>
          <w:tcPr>
            <w:tcW w:w="635"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60" w:type="dxa"/>
            <w:tcBorders/>
            <w:shd w:fill="CCEEFF" w:val="clear"/>
            <w:tcMar>
              <w:bottom w:w="0" w:type="dxa"/>
            </w:tcMar>
            <w:vAlign w:val="center"/>
          </w:tcPr>
          <w:p>
            <w:pPr>
              <w:pStyle w:val="TableContents"/>
              <w:bidi w:val="0"/>
              <w:spacing w:before="0" w:after="0"/>
              <w:jc w:val="left"/>
              <w:rPr/>
            </w:pPr>
            <w:r>
              <w:rPr/>
              <w:t> </w:t>
            </w:r>
          </w:p>
        </w:tc>
        <w:tc>
          <w:tcPr>
            <w:tcW w:w="271" w:type="dxa"/>
            <w:tcBorders>
              <w:bottom w:val="single" w:sz="8" w:space="0" w:color="000000"/>
            </w:tcBorders>
            <w:shd w:fill="CCEEFF" w:val="clear"/>
            <w:vAlign w:val="center"/>
          </w:tcPr>
          <w:p>
            <w:pPr>
              <w:pStyle w:val="TableContents"/>
              <w:bidi w:val="0"/>
              <w:spacing w:before="0" w:after="0"/>
              <w:jc w:val="left"/>
              <w:rPr/>
            </w:pPr>
            <w:r>
              <w:rPr/>
              <w:t> </w:t>
            </w:r>
          </w:p>
        </w:tc>
        <w:tc>
          <w:tcPr>
            <w:tcW w:w="1413"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(46.5)</w:t>
            </w:r>
          </w:p>
        </w:tc>
      </w:tr>
      <w:tr>
        <w:trPr/>
        <w:tc>
          <w:tcPr>
            <w:tcW w:w="494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60" w:type="dxa"/>
            <w:tcBorders/>
            <w:shd w:fill="FFFFFF" w:val="clear"/>
            <w:tcMar>
              <w:bottom w:w="0" w:type="dxa"/>
            </w:tcMar>
            <w:vAlign w:val="center"/>
          </w:tcPr>
          <w:p>
            <w:pPr>
              <w:pStyle w:val="TableContents"/>
              <w:bidi w:val="0"/>
              <w:spacing w:before="0" w:after="0"/>
              <w:jc w:val="left"/>
              <w:rPr/>
            </w:pPr>
            <w:r>
              <w:rPr/>
              <w:t> </w:t>
            </w:r>
          </w:p>
        </w:tc>
        <w:tc>
          <w:tcPr>
            <w:tcW w:w="395"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4"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188.9</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859.2</w:t>
            </w:r>
          </w:p>
        </w:tc>
        <w:tc>
          <w:tcPr>
            <w:tcW w:w="60" w:type="dxa"/>
            <w:tcBorders/>
            <w:shd w:fill="FFFFFF" w:val="clear"/>
            <w:tcMar>
              <w:bottom w:w="0" w:type="dxa"/>
            </w:tcMar>
            <w:vAlign w:val="center"/>
          </w:tcPr>
          <w:p>
            <w:pPr>
              <w:pStyle w:val="TableContents"/>
              <w:bidi w:val="0"/>
              <w:spacing w:before="0" w:after="0"/>
              <w:jc w:val="left"/>
              <w:rPr/>
            </w:pPr>
            <w:r>
              <w:rPr/>
              <w:t> </w:t>
            </w:r>
          </w:p>
        </w:tc>
        <w:tc>
          <w:tcPr>
            <w:tcW w:w="271" w:type="dxa"/>
            <w:tcBorders>
              <w:top w:val="single" w:sz="8" w:space="0" w:color="000000"/>
            </w:tcBorders>
            <w:shd w:fill="FFFF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3" w:type="dxa"/>
            <w:tcBorders>
              <w:top w:val="single" w:sz="8"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1,048.1</w:t>
            </w:r>
          </w:p>
        </w:tc>
      </w:tr>
      <w:tr>
        <w:trPr/>
        <w:tc>
          <w:tcPr>
            <w:tcW w:w="494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Increases (decreases):</w:t>
            </w:r>
          </w:p>
        </w:tc>
        <w:tc>
          <w:tcPr>
            <w:tcW w:w="60" w:type="dxa"/>
            <w:tcBorders/>
            <w:shd w:fill="CCEEFF" w:val="clear"/>
            <w:tcMar>
              <w:bottom w:w="0" w:type="dxa"/>
            </w:tcMar>
            <w:vAlign w:val="center"/>
          </w:tcPr>
          <w:p>
            <w:pPr>
              <w:pStyle w:val="TableContents"/>
              <w:bidi w:val="0"/>
              <w:spacing w:before="0" w:after="0"/>
              <w:jc w:val="left"/>
              <w:rPr/>
            </w:pPr>
            <w:r>
              <w:rPr/>
              <w:t> </w:t>
            </w:r>
          </w:p>
        </w:tc>
        <w:tc>
          <w:tcPr>
            <w:tcW w:w="395" w:type="dxa"/>
            <w:tcBorders/>
            <w:shd w:fill="CCEEFF" w:val="clear"/>
            <w:tcMar>
              <w:bottom w:w="0" w:type="dxa"/>
            </w:tcMar>
            <w:vAlign w:val="center"/>
          </w:tcPr>
          <w:p>
            <w:pPr>
              <w:pStyle w:val="TableContents"/>
              <w:bidi w:val="0"/>
              <w:spacing w:before="0" w:after="0"/>
              <w:jc w:val="left"/>
              <w:rPr/>
            </w:pPr>
            <w:r>
              <w:rPr/>
              <w:t> </w:t>
            </w:r>
          </w:p>
        </w:tc>
        <w:tc>
          <w:tcPr>
            <w:tcW w:w="1544"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35" w:type="dxa"/>
            <w:tcBorders/>
            <w:shd w:fill="CCEEFF" w:val="clear"/>
            <w:tcMar>
              <w:bottom w:w="0" w:type="dxa"/>
            </w:tcMar>
            <w:vAlign w:val="center"/>
          </w:tcPr>
          <w:p>
            <w:pPr>
              <w:pStyle w:val="TableContents"/>
              <w:bidi w:val="0"/>
              <w:spacing w:before="0" w:after="0"/>
              <w:jc w:val="righ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271" w:type="dxa"/>
            <w:tcBorders/>
            <w:shd w:fill="CCEEFF" w:val="clear"/>
            <w:tcMar>
              <w:bottom w:w="0" w:type="dxa"/>
            </w:tcMar>
            <w:vAlign w:val="center"/>
          </w:tcPr>
          <w:p>
            <w:pPr>
              <w:pStyle w:val="TableContents"/>
              <w:bidi w:val="0"/>
              <w:spacing w:before="0" w:after="0"/>
              <w:jc w:val="left"/>
              <w:rPr/>
            </w:pPr>
            <w:r>
              <w:rPr/>
              <w:t> </w:t>
            </w:r>
          </w:p>
        </w:tc>
        <w:tc>
          <w:tcPr>
            <w:tcW w:w="1413" w:type="dxa"/>
            <w:tcBorders/>
            <w:shd w:fill="CCEEFF" w:val="clear"/>
            <w:tcMar>
              <w:bottom w:w="0" w:type="dxa"/>
            </w:tcMar>
            <w:vAlign w:val="center"/>
          </w:tcPr>
          <w:p>
            <w:pPr>
              <w:pStyle w:val="TableContents"/>
              <w:bidi w:val="0"/>
              <w:spacing w:before="0" w:after="0"/>
              <w:jc w:val="right"/>
              <w:rPr/>
            </w:pPr>
            <w:r>
              <w:rPr/>
              <w:t> </w:t>
            </w:r>
          </w:p>
        </w:tc>
      </w:tr>
      <w:tr>
        <w:trPr/>
        <w:tc>
          <w:tcPr>
            <w:tcW w:w="4940"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Acquisitions (see footnote 6)</w:t>
            </w:r>
          </w:p>
        </w:tc>
        <w:tc>
          <w:tcPr>
            <w:tcW w:w="60" w:type="dxa"/>
            <w:tcBorders/>
            <w:shd w:fill="FFFFFF" w:val="clear"/>
            <w:tcMar>
              <w:bottom w:w="0" w:type="dxa"/>
            </w:tcMar>
            <w:vAlign w:val="center"/>
          </w:tcPr>
          <w:p>
            <w:pPr>
              <w:pStyle w:val="TableContents"/>
              <w:bidi w:val="0"/>
              <w:spacing w:before="0" w:after="0"/>
              <w:jc w:val="left"/>
              <w:rPr/>
            </w:pPr>
            <w:r>
              <w:rPr/>
              <w:t> </w:t>
            </w:r>
          </w:p>
        </w:tc>
        <w:tc>
          <w:tcPr>
            <w:tcW w:w="395" w:type="dxa"/>
            <w:tcBorders/>
            <w:shd w:fill="FFFFFF" w:val="clear"/>
            <w:tcMar>
              <w:bottom w:w="0" w:type="dxa"/>
            </w:tcMar>
            <w:vAlign w:val="center"/>
          </w:tcPr>
          <w:p>
            <w:pPr>
              <w:pStyle w:val="TableContents"/>
              <w:bidi w:val="0"/>
              <w:spacing w:before="0" w:after="0"/>
              <w:jc w:val="left"/>
              <w:rPr/>
            </w:pPr>
            <w:r>
              <w:rPr/>
              <w:t> </w:t>
            </w:r>
          </w:p>
        </w:tc>
        <w:tc>
          <w:tcPr>
            <w:tcW w:w="1544"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63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106.3</w:t>
            </w:r>
          </w:p>
        </w:tc>
        <w:tc>
          <w:tcPr>
            <w:tcW w:w="60" w:type="dxa"/>
            <w:tcBorders/>
            <w:shd w:fill="FFFFFF" w:val="clear"/>
            <w:tcMar>
              <w:bottom w:w="0" w:type="dxa"/>
            </w:tcMar>
            <w:vAlign w:val="center"/>
          </w:tcPr>
          <w:p>
            <w:pPr>
              <w:pStyle w:val="TableContents"/>
              <w:bidi w:val="0"/>
              <w:spacing w:before="0" w:after="0"/>
              <w:jc w:val="left"/>
              <w:rPr/>
            </w:pPr>
            <w:r>
              <w:rPr/>
              <w:t> </w:t>
            </w:r>
          </w:p>
        </w:tc>
        <w:tc>
          <w:tcPr>
            <w:tcW w:w="271" w:type="dxa"/>
            <w:tcBorders/>
            <w:shd w:fill="FFFFFF" w:val="clear"/>
            <w:tcMar>
              <w:bottom w:w="0" w:type="dxa"/>
            </w:tcMar>
            <w:vAlign w:val="center"/>
          </w:tcPr>
          <w:p>
            <w:pPr>
              <w:pStyle w:val="TableContents"/>
              <w:bidi w:val="0"/>
              <w:spacing w:before="0" w:after="0"/>
              <w:jc w:val="left"/>
              <w:rPr/>
            </w:pPr>
            <w:r>
              <w:rPr/>
              <w:t> </w:t>
            </w:r>
          </w:p>
        </w:tc>
        <w:tc>
          <w:tcPr>
            <w:tcW w:w="1413"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185.8</w:t>
            </w:r>
          </w:p>
        </w:tc>
      </w:tr>
      <w:tr>
        <w:trPr/>
        <w:tc>
          <w:tcPr>
            <w:tcW w:w="4940" w:type="dxa"/>
            <w:tcBorders/>
            <w:shd w:fill="CCEE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tcMar>
              <w:bottom w:w="0" w:type="dxa"/>
            </w:tcMar>
            <w:vAlign w:val="center"/>
          </w:tcPr>
          <w:p>
            <w:pPr>
              <w:pStyle w:val="TableContents"/>
              <w:bidi w:val="0"/>
              <w:spacing w:before="0" w:after="0"/>
              <w:jc w:val="left"/>
              <w:rPr/>
            </w:pPr>
            <w:r>
              <w:rPr/>
              <w:t> </w:t>
            </w:r>
          </w:p>
        </w:tc>
        <w:tc>
          <w:tcPr>
            <w:tcW w:w="395" w:type="dxa"/>
            <w:tcBorders/>
            <w:shd w:fill="CCEEFF" w:val="clear"/>
            <w:tcMar>
              <w:bottom w:w="0" w:type="dxa"/>
            </w:tcMar>
            <w:vAlign w:val="center"/>
          </w:tcPr>
          <w:p>
            <w:pPr>
              <w:pStyle w:val="TableContents"/>
              <w:bidi w:val="0"/>
              <w:spacing w:before="0" w:after="0"/>
              <w:jc w:val="left"/>
              <w:rPr/>
            </w:pPr>
            <w:r>
              <w:rPr/>
              <w:t> </w:t>
            </w:r>
          </w:p>
        </w:tc>
        <w:tc>
          <w:tcPr>
            <w:tcW w:w="1544"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635"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271" w:type="dxa"/>
            <w:tcBorders/>
            <w:shd w:fill="CCEEFF" w:val="clear"/>
            <w:tcMar>
              <w:bottom w:w="0" w:type="dxa"/>
            </w:tcMar>
            <w:vAlign w:val="center"/>
          </w:tcPr>
          <w:p>
            <w:pPr>
              <w:pStyle w:val="TableContents"/>
              <w:bidi w:val="0"/>
              <w:spacing w:before="0" w:after="0"/>
              <w:jc w:val="left"/>
              <w:rPr/>
            </w:pPr>
            <w:r>
              <w:rPr/>
              <w:t> </w:t>
            </w:r>
          </w:p>
        </w:tc>
        <w:tc>
          <w:tcPr>
            <w:tcW w:w="1413"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(22.2)</w:t>
            </w:r>
          </w:p>
        </w:tc>
      </w:tr>
      <w:tr>
        <w:trPr/>
        <w:tc>
          <w:tcPr>
            <w:tcW w:w="4940" w:type="dxa"/>
            <w:tcBorders/>
            <w:shd w:fill="FFFFFF" w:val="clear"/>
            <w:tcMar>
              <w:bottom w:w="0" w:type="dxa"/>
            </w:tcM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(primarily changes in foreign currency exchange rates)</w:t>
            </w:r>
          </w:p>
        </w:tc>
        <w:tc>
          <w:tcPr>
            <w:tcW w:w="60" w:type="dxa"/>
            <w:tcBorders/>
            <w:shd w:fill="FFFFFF" w:val="clear"/>
            <w:tcMar>
              <w:bottom w:w="0" w:type="dxa"/>
            </w:tcMar>
            <w:vAlign w:val="center"/>
          </w:tcPr>
          <w:p>
            <w:pPr>
              <w:pStyle w:val="TableContents"/>
              <w:bidi w:val="0"/>
              <w:spacing w:before="0" w:after="0"/>
              <w:jc w:val="left"/>
              <w:rPr/>
            </w:pPr>
            <w:r>
              <w:rPr/>
              <w:t> </w:t>
            </w:r>
          </w:p>
        </w:tc>
        <w:tc>
          <w:tcPr>
            <w:tcW w:w="395" w:type="dxa"/>
            <w:tcBorders>
              <w:bottom w:val="single" w:sz="8" w:space="0" w:color="000000"/>
            </w:tcBorders>
            <w:shd w:fill="FFFFFF" w:val="clear"/>
            <w:vAlign w:val="center"/>
          </w:tcPr>
          <w:p>
            <w:pPr>
              <w:pStyle w:val="TableContents"/>
              <w:bidi w:val="0"/>
              <w:spacing w:before="0" w:after="0"/>
              <w:jc w:val="left"/>
              <w:rPr/>
            </w:pPr>
            <w:r>
              <w:rPr/>
              <w:t> </w:t>
            </w:r>
          </w:p>
        </w:tc>
        <w:tc>
          <w:tcPr>
            <w:tcW w:w="1544"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8" w:space="0" w:color="000000"/>
            </w:tcBorders>
            <w:shd w:fill="FFFFFF" w:val="clear"/>
            <w:vAlign w:val="center"/>
          </w:tcPr>
          <w:p>
            <w:pPr>
              <w:pStyle w:val="TableContents"/>
              <w:bidi w:val="0"/>
              <w:spacing w:before="0" w:after="0"/>
              <w:jc w:val="left"/>
              <w:rPr/>
            </w:pPr>
            <w:r>
              <w:rPr/>
              <w:t> </w:t>
            </w:r>
          </w:p>
        </w:tc>
        <w:tc>
          <w:tcPr>
            <w:tcW w:w="635"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76.8</w:t>
            </w:r>
          </w:p>
        </w:tc>
        <w:tc>
          <w:tcPr>
            <w:tcW w:w="60" w:type="dxa"/>
            <w:tcBorders/>
            <w:shd w:fill="FFFFFF" w:val="clear"/>
            <w:tcMar>
              <w:bottom w:w="0" w:type="dxa"/>
            </w:tcMar>
            <w:vAlign w:val="center"/>
          </w:tcPr>
          <w:p>
            <w:pPr>
              <w:pStyle w:val="TableContents"/>
              <w:bidi w:val="0"/>
              <w:spacing w:before="0" w:after="0"/>
              <w:jc w:val="left"/>
              <w:rPr/>
            </w:pPr>
            <w:r>
              <w:rPr/>
              <w:t> </w:t>
            </w:r>
          </w:p>
        </w:tc>
        <w:tc>
          <w:tcPr>
            <w:tcW w:w="271" w:type="dxa"/>
            <w:tcBorders>
              <w:bottom w:val="single" w:sz="8" w:space="0" w:color="000000"/>
            </w:tcBorders>
            <w:shd w:fill="FFFFFF" w:val="clear"/>
            <w:vAlign w:val="center"/>
          </w:tcPr>
          <w:p>
            <w:pPr>
              <w:pStyle w:val="TableContents"/>
              <w:bidi w:val="0"/>
              <w:spacing w:before="0" w:after="0"/>
              <w:jc w:val="left"/>
              <w:rPr/>
            </w:pPr>
            <w:r>
              <w:rPr/>
              <w:t> </w:t>
            </w:r>
          </w:p>
        </w:tc>
        <w:tc>
          <w:tcPr>
            <w:tcW w:w="1413" w:type="dxa"/>
            <w:tcBorders>
              <w:bottom w:val="single" w:sz="8"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91.8</w:t>
            </w:r>
          </w:p>
        </w:tc>
      </w:tr>
      <w:tr>
        <w:trPr/>
        <w:tc>
          <w:tcPr>
            <w:tcW w:w="494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60" w:type="dxa"/>
            <w:tcBorders/>
            <w:shd w:fill="CCEEFF" w:val="clear"/>
            <w:tcMar>
              <w:bottom w:w="0" w:type="dxa"/>
            </w:tcMar>
            <w:vAlign w:val="center"/>
          </w:tcPr>
          <w:p>
            <w:pPr>
              <w:pStyle w:val="TableContents"/>
              <w:bidi w:val="0"/>
              <w:spacing w:before="0" w:after="0"/>
              <w:jc w:val="left"/>
              <w:rPr/>
            </w:pPr>
            <w:r>
              <w:rPr/>
              <w:t> </w:t>
            </w:r>
          </w:p>
        </w:tc>
        <w:tc>
          <w:tcPr>
            <w:tcW w:w="39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44"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1,042.3</w:t>
            </w:r>
          </w:p>
        </w:tc>
        <w:tc>
          <w:tcPr>
            <w:tcW w:w="60" w:type="dxa"/>
            <w:tcBorders/>
            <w:shd w:fill="CCEEFF" w:val="clear"/>
            <w:tcMar>
              <w:bottom w:w="0" w:type="dxa"/>
            </w:tcMar>
            <w:vAlign w:val="center"/>
          </w:tcPr>
          <w:p>
            <w:pPr>
              <w:pStyle w:val="TableContents"/>
              <w:bidi w:val="0"/>
              <w:spacing w:before="0" w:after="0"/>
              <w:jc w:val="left"/>
              <w:rPr/>
            </w:pPr>
            <w:r>
              <w:rPr/>
              <w:t> </w:t>
            </w:r>
          </w:p>
        </w:tc>
        <w:tc>
          <w:tcPr>
            <w:tcW w:w="271"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3"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1,303.5</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Of the total goodwill balance of $1,042.3</w:t>
      </w:r>
      <w:r>
        <w:rPr/>
        <w:t xml:space="preserve"> </w:t>
      </w:r>
      <w:r>
        <w:rPr>
          <w:rFonts w:ascii="Times New Roman" w:hAnsi="Times New Roman"/>
          <w:sz w:val="20"/>
        </w:rPr>
        <w:t>million as of December 31, 2025, $401.7</w:t>
      </w:r>
      <w:r>
        <w:rPr/>
        <w:t xml:space="preserve"> </w:t>
      </w:r>
      <w:r>
        <w:rPr>
          <w:rFonts w:ascii="Times New Roman" w:hAnsi="Times New Roman"/>
          <w:sz w:val="20"/>
        </w:rPr>
        <w:t>million relates to the Money Transfer Segment, $71.3</w:t>
      </w:r>
      <w:r>
        <w:rPr/>
        <w:t xml:space="preserve"> </w:t>
      </w:r>
      <w:r>
        <w:rPr>
          <w:rFonts w:ascii="Times New Roman" w:hAnsi="Times New Roman"/>
          <w:sz w:val="20"/>
        </w:rPr>
        <w:t>million relates to the epay Segment and the remaining $569.3</w:t>
      </w:r>
      <w:r>
        <w:rPr/>
        <w:t xml:space="preserve"> </w:t>
      </w:r>
      <w:r>
        <w:rPr>
          <w:rFonts w:ascii="Times New Roman" w:hAnsi="Times New Roman"/>
          <w:sz w:val="20"/>
        </w:rPr>
        <w:t>million relates to the EFT Processing Segment. Amortization expense for intangible assets with finite lives was $22.2</w:t>
      </w:r>
      <w:r>
        <w:rPr/>
        <w:t xml:space="preserve"> </w:t>
      </w:r>
      <w:r>
        <w:rPr>
          <w:rFonts w:ascii="Times New Roman" w:hAnsi="Times New Roman"/>
          <w:sz w:val="20"/>
        </w:rPr>
        <w:t>million, $21.7</w:t>
      </w:r>
      <w:r>
        <w:rPr/>
        <w:t xml:space="preserve"> </w:t>
      </w:r>
      <w:r>
        <w:rPr>
          <w:rFonts w:ascii="Times New Roman" w:hAnsi="Times New Roman"/>
          <w:sz w:val="20"/>
        </w:rPr>
        <w:t>million, and $24.5</w:t>
      </w:r>
      <w:r>
        <w:rPr/>
        <w:t xml:space="preserve"> </w:t>
      </w:r>
      <w:r>
        <w:rPr>
          <w:rFonts w:ascii="Times New Roman" w:hAnsi="Times New Roman"/>
          <w:sz w:val="20"/>
        </w:rPr>
        <w:t>million for the years ended December 31, 2025, 2024</w:t>
      </w:r>
      <w:r>
        <w:rPr/>
        <w:t xml:space="preserve"> </w:t>
      </w:r>
      <w:r>
        <w:rPr>
          <w:rFonts w:ascii="Times New Roman" w:hAnsi="Times New Roman"/>
          <w:sz w:val="20"/>
        </w:rPr>
        <w:t>and 2023, respectively. Estimated annual amortization expense on intangible assets with finite lives as of December 31, 2025, is expected to be</w:t>
      </w:r>
      <w:r>
        <w:rPr/>
        <w:t> </w:t>
      </w:r>
      <w:r>
        <w:rPr>
          <w:rFonts w:ascii="Times New Roman" w:hAnsi="Times New Roman"/>
          <w:sz w:val="20"/>
        </w:rPr>
        <w:t>$37.7</w:t>
      </w:r>
      <w:r>
        <w:rPr/>
        <w:t xml:space="preserve"> </w:t>
      </w:r>
      <w:r>
        <w:rPr>
          <w:rFonts w:ascii="Times New Roman" w:hAnsi="Times New Roman"/>
          <w:sz w:val="20"/>
        </w:rPr>
        <w:t>million for 2026,</w:t>
      </w:r>
      <w:r>
        <w:rPr/>
        <w:t> </w:t>
      </w:r>
      <w:r>
        <w:rPr>
          <w:rFonts w:ascii="Times New Roman" w:hAnsi="Times New Roman"/>
          <w:sz w:val="20"/>
        </w:rPr>
        <w:t>$37.2</w:t>
      </w:r>
      <w:r>
        <w:rPr/>
        <w:t xml:space="preserve"> </w:t>
      </w:r>
      <w:r>
        <w:rPr>
          <w:rFonts w:ascii="Times New Roman" w:hAnsi="Times New Roman"/>
          <w:sz w:val="20"/>
        </w:rPr>
        <w:t>million for 2027,</w:t>
      </w:r>
      <w:r>
        <w:rPr/>
        <w:t> </w:t>
      </w:r>
      <w:r>
        <w:rPr>
          <w:rFonts w:ascii="Times New Roman" w:hAnsi="Times New Roman"/>
          <w:sz w:val="20"/>
        </w:rPr>
        <w:t>$24.3</w:t>
      </w:r>
      <w:r>
        <w:rPr/>
        <w:t xml:space="preserve"> </w:t>
      </w:r>
      <w:r>
        <w:rPr>
          <w:rFonts w:ascii="Times New Roman" w:hAnsi="Times New Roman"/>
          <w:sz w:val="20"/>
        </w:rPr>
        <w:t>million for 2028, $20.1</w:t>
      </w:r>
      <w:r>
        <w:rPr/>
        <w:t xml:space="preserve"> </w:t>
      </w:r>
      <w:r>
        <w:rPr>
          <w:rFonts w:ascii="Times New Roman" w:hAnsi="Times New Roman"/>
          <w:sz w:val="20"/>
        </w:rPr>
        <w:t>million for 2029, and</w:t>
      </w:r>
      <w:r>
        <w:rPr/>
        <w:t> </w:t>
      </w:r>
      <w:r>
        <w:rPr>
          <w:rFonts w:ascii="Times New Roman" w:hAnsi="Times New Roman"/>
          <w:sz w:val="20"/>
        </w:rPr>
        <w:t>$20.0</w:t>
      </w:r>
      <w:r>
        <w:rPr/>
        <w:t xml:space="preserve"> </w:t>
      </w:r>
      <w:r>
        <w:rPr>
          <w:rFonts w:ascii="Times New Roman" w:hAnsi="Times New Roman"/>
          <w:sz w:val="20"/>
        </w:rPr>
        <w:t>million for 2030.</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(10) Convertible Notes Receivable</w:t>
      </w:r>
      <w:bookmarkStart w:id="47" w:name="bm_8ef584b385da3bb7"/>
      <w:bookmarkEnd w:id="47"/>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loaned $60.0</w:t>
      </w:r>
      <w:r>
        <w:rPr/>
        <w:t> </w:t>
      </w:r>
      <w:r>
        <w:rPr>
          <w:rFonts w:ascii="Times New Roman" w:hAnsi="Times New Roman"/>
          <w:sz w:val="20"/>
        </w:rPr>
        <w:t>million to Koin</w:t>
      </w:r>
      <w:r>
        <w:rPr/>
        <w:t> </w:t>
      </w:r>
      <w:r>
        <w:rPr>
          <w:rFonts w:ascii="Times New Roman" w:hAnsi="Times New Roman"/>
          <w:sz w:val="20"/>
        </w:rPr>
        <w:t>Mobile, LLC and</w:t>
      </w:r>
      <w:r>
        <w:rPr/>
        <w:t> </w:t>
      </w:r>
      <w:r>
        <w:rPr>
          <w:rFonts w:ascii="Times New Roman" w:hAnsi="Times New Roman"/>
          <w:sz w:val="20"/>
        </w:rPr>
        <w:t>Marker Trax, LLC under</w:t>
      </w:r>
      <w:r>
        <w:rPr/>
        <w:t> </w:t>
      </w:r>
      <w:r>
        <w:rPr>
          <w:rFonts w:ascii="Times New Roman" w:hAnsi="Times New Roman"/>
          <w:sz w:val="20"/>
        </w:rPr>
        <w:t>two</w:t>
      </w:r>
      <w:r>
        <w:rPr/>
        <w:t> </w:t>
      </w:r>
      <w:r>
        <w:rPr>
          <w:rFonts w:ascii="Times New Roman" w:hAnsi="Times New Roman"/>
          <w:sz w:val="20"/>
        </w:rPr>
        <w:t>promissory notes (the "2028</w:t>
      </w:r>
      <w:r>
        <w:rPr/>
        <w:t> </w:t>
      </w:r>
      <w:r>
        <w:rPr>
          <w:rFonts w:ascii="Times New Roman" w:hAnsi="Times New Roman"/>
          <w:sz w:val="20"/>
        </w:rPr>
        <w:t>Notes"), which were fully executed on October</w:t>
      </w:r>
      <w:r>
        <w:rPr/>
        <w:t> </w:t>
      </w:r>
      <w:r>
        <w:rPr>
          <w:rFonts w:ascii="Times New Roman" w:hAnsi="Times New Roman"/>
          <w:sz w:val="20"/>
        </w:rPr>
        <w:t>19,</w:t>
      </w:r>
      <w:r>
        <w:rPr/>
        <w:t> </w:t>
      </w:r>
      <w:r>
        <w:rPr>
          <w:rFonts w:ascii="Times New Roman" w:hAnsi="Times New Roman"/>
          <w:sz w:val="20"/>
        </w:rPr>
        <w:t>2023. Under the terms of the</w:t>
      </w:r>
      <w:r>
        <w:rPr/>
        <w:t> </w:t>
      </w:r>
      <w:r>
        <w:rPr>
          <w:rFonts w:ascii="Times New Roman" w:hAnsi="Times New Roman"/>
          <w:sz w:val="20"/>
        </w:rPr>
        <w:t>2028</w:t>
      </w:r>
      <w:r>
        <w:rPr/>
        <w:t> </w:t>
      </w:r>
      <w:r>
        <w:rPr>
          <w:rFonts w:ascii="Times New Roman" w:hAnsi="Times New Roman"/>
          <w:sz w:val="20"/>
        </w:rPr>
        <w:t>Notes, interest will accrue on the Notes at</w:t>
      </w:r>
      <w:r>
        <w:rPr/>
        <w:t> </w:t>
      </w:r>
      <w:r>
        <w:rPr>
          <w:rFonts w:ascii="Times New Roman" w:hAnsi="Times New Roman"/>
          <w:sz w:val="20"/>
        </w:rPr>
        <w:t>2% per annum and all unpaid principal and interest will be due and payable on</w:t>
      </w:r>
      <w:r>
        <w:rPr/>
        <w:t> </w:t>
      </w:r>
      <w:r>
        <w:rPr>
          <w:rFonts w:ascii="Times New Roman" w:hAnsi="Times New Roman"/>
          <w:sz w:val="20"/>
        </w:rPr>
        <w:t>October 18, 2028</w:t>
      </w:r>
      <w:r>
        <w:rPr/>
        <w:t> </w:t>
      </w:r>
      <w:r>
        <w:rPr>
          <w:rFonts w:ascii="Times New Roman" w:hAnsi="Times New Roman"/>
          <w:sz w:val="20"/>
        </w:rPr>
        <w:t>if not converted earlier as discussed below.</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March</w:t>
      </w:r>
      <w:r>
        <w:rPr/>
        <w:t> </w:t>
      </w:r>
      <w:r>
        <w:rPr>
          <w:rFonts w:ascii="Times New Roman" w:hAnsi="Times New Roman"/>
          <w:sz w:val="20"/>
        </w:rPr>
        <w:t>27,</w:t>
      </w:r>
      <w:r>
        <w:rPr/>
        <w:t> </w:t>
      </w:r>
      <w:r>
        <w:rPr>
          <w:rFonts w:ascii="Times New Roman" w:hAnsi="Times New Roman"/>
          <w:sz w:val="20"/>
        </w:rPr>
        <w:t>2025, the Company loaned $25.0</w:t>
      </w:r>
      <w:r>
        <w:rPr/>
        <w:t> </w:t>
      </w:r>
      <w:r>
        <w:rPr>
          <w:rFonts w:ascii="Times New Roman" w:hAnsi="Times New Roman"/>
          <w:sz w:val="20"/>
        </w:rPr>
        <w:t>million to Marker Trax</w:t>
      </w:r>
      <w:r>
        <w:rPr/>
        <w:t> </w:t>
      </w:r>
      <w:r>
        <w:rPr>
          <w:rFonts w:ascii="Times New Roman" w:hAnsi="Times New Roman"/>
          <w:sz w:val="20"/>
        </w:rPr>
        <w:t>Digital,</w:t>
      </w:r>
      <w:r>
        <w:rPr/>
        <w:t> </w:t>
      </w:r>
      <w:r>
        <w:rPr>
          <w:rFonts w:ascii="Times New Roman" w:hAnsi="Times New Roman"/>
          <w:sz w:val="20"/>
        </w:rPr>
        <w:t>LLC under a</w:t>
      </w:r>
      <w:r>
        <w:rPr/>
        <w:t> </w:t>
      </w:r>
      <w:r>
        <w:rPr>
          <w:rFonts w:ascii="Times New Roman" w:hAnsi="Times New Roman"/>
          <w:sz w:val="20"/>
        </w:rPr>
        <w:t>promissory note (the "2030</w:t>
      </w:r>
      <w:r>
        <w:rPr/>
        <w:t> </w:t>
      </w:r>
      <w:r>
        <w:rPr>
          <w:rFonts w:ascii="Times New Roman" w:hAnsi="Times New Roman"/>
          <w:sz w:val="20"/>
        </w:rPr>
        <w:t>Note"). Under the terms of the</w:t>
      </w:r>
      <w:r>
        <w:rPr/>
        <w:t> </w:t>
      </w:r>
      <w:r>
        <w:rPr>
          <w:rFonts w:ascii="Times New Roman" w:hAnsi="Times New Roman"/>
          <w:sz w:val="20"/>
        </w:rPr>
        <w:t>2030</w:t>
      </w:r>
      <w:r>
        <w:rPr/>
        <w:t> </w:t>
      </w:r>
      <w:r>
        <w:rPr>
          <w:rFonts w:ascii="Times New Roman" w:hAnsi="Times New Roman"/>
          <w:sz w:val="20"/>
        </w:rPr>
        <w:t>Note, interest will accrue on the</w:t>
      </w:r>
      <w:r>
        <w:rPr/>
        <w:t> </w:t>
      </w:r>
      <w:r>
        <w:rPr>
          <w:rFonts w:ascii="Times New Roman" w:hAnsi="Times New Roman"/>
          <w:sz w:val="20"/>
        </w:rPr>
        <w:t>2030</w:t>
      </w:r>
      <w:r>
        <w:rPr/>
        <w:t> </w:t>
      </w:r>
      <w:r>
        <w:rPr>
          <w:rFonts w:ascii="Times New Roman" w:hAnsi="Times New Roman"/>
          <w:sz w:val="20"/>
        </w:rPr>
        <w:t>Note at</w:t>
      </w:r>
      <w:r>
        <w:rPr/>
        <w:t> </w:t>
      </w:r>
      <w:r>
        <w:rPr>
          <w:rFonts w:ascii="Times New Roman" w:hAnsi="Times New Roman"/>
          <w:sz w:val="20"/>
        </w:rPr>
        <w:t>2% per annum and all unpaid principal and interest will be due and payable on</w:t>
      </w:r>
      <w:r>
        <w:rPr/>
        <w:t> </w:t>
      </w:r>
      <w:r>
        <w:rPr>
          <w:rFonts w:ascii="Times New Roman" w:hAnsi="Times New Roman"/>
          <w:sz w:val="20"/>
        </w:rPr>
        <w:t>March 27, 2030</w:t>
      </w:r>
      <w:r>
        <w:rPr/>
        <w:t> </w:t>
      </w:r>
      <w:r>
        <w:rPr>
          <w:rFonts w:ascii="Times New Roman" w:hAnsi="Times New Roman"/>
          <w:sz w:val="20"/>
        </w:rPr>
        <w:t>if not converted earlier as discussed below.</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has a security interest in all of the assets of Koin Mobile, LLC, Marker Trax, LLC, and Marker Trax</w:t>
      </w:r>
      <w:r>
        <w:rPr/>
        <w:t> </w:t>
      </w:r>
      <w:r>
        <w:rPr>
          <w:rFonts w:ascii="Times New Roman" w:hAnsi="Times New Roman"/>
          <w:sz w:val="20"/>
        </w:rPr>
        <w:t>Digital, LLC. The aggregate outstanding principal and accrued interest under the</w:t>
      </w:r>
      <w:r>
        <w:rPr/>
        <w:t> </w:t>
      </w:r>
      <w:r>
        <w:rPr>
          <w:rFonts w:ascii="Times New Roman" w:hAnsi="Times New Roman"/>
          <w:sz w:val="20"/>
        </w:rPr>
        <w:t>2028</w:t>
      </w:r>
      <w:r>
        <w:rPr/>
        <w:t> </w:t>
      </w:r>
      <w:r>
        <w:rPr>
          <w:rFonts w:ascii="Times New Roman" w:hAnsi="Times New Roman"/>
          <w:sz w:val="20"/>
        </w:rPr>
        <w:t>Notes and the</w:t>
      </w:r>
      <w:r>
        <w:rPr/>
        <w:t> </w:t>
      </w:r>
      <w:r>
        <w:rPr>
          <w:rFonts w:ascii="Times New Roman" w:hAnsi="Times New Roman"/>
          <w:sz w:val="20"/>
        </w:rPr>
        <w:t>2030</w:t>
      </w:r>
      <w:r>
        <w:rPr/>
        <w:t> </w:t>
      </w:r>
      <w:r>
        <w:rPr>
          <w:rFonts w:ascii="Times New Roman" w:hAnsi="Times New Roman"/>
          <w:sz w:val="20"/>
        </w:rPr>
        <w:t>Note were $85.0</w:t>
      </w:r>
      <w:r>
        <w:rPr/>
        <w:t> </w:t>
      </w:r>
      <w:r>
        <w:rPr>
          <w:rFonts w:ascii="Times New Roman" w:hAnsi="Times New Roman"/>
          <w:sz w:val="20"/>
        </w:rPr>
        <w:t>million and $3.0</w:t>
      </w:r>
      <w:r>
        <w:rPr/>
        <w:t> </w:t>
      </w:r>
      <w:r>
        <w:rPr>
          <w:rFonts w:ascii="Times New Roman" w:hAnsi="Times New Roman"/>
          <w:sz w:val="20"/>
        </w:rPr>
        <w:t>million at</w:t>
      </w:r>
      <w:r>
        <w:rPr/>
        <w:t> </w:t>
      </w:r>
      <w:r>
        <w:rPr>
          <w:rFonts w:ascii="Times New Roman" w:hAnsi="Times New Roman"/>
          <w:sz w:val="20"/>
        </w:rPr>
        <w:t>December 30, 2025.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pStyle w:val="TextBody"/>
        <w:bidi w:val="0"/>
        <w:spacing w:before="0" w:after="0"/>
        <w:jc w:val="left"/>
        <w:rPr/>
      </w:pPr>
      <w:r>
        <w:rPr/>
        <w:t> </w:t>
      </w:r>
    </w:p>
    <w:p>
      <w:pPr>
        <w:pStyle w:val="TextBody"/>
        <w:bidi w:val="0"/>
        <w:spacing w:before="0" w:after="0"/>
        <w:jc w:val="left"/>
        <w:rPr/>
      </w:pPr>
      <w:hyperlink w:anchor="TOC">
        <w:r>
          <w:rPr>
            <w:rStyle w:val="InternetLink"/>
            <w:rFonts w:ascii="Times New Roman" w:hAnsi="Times New Roman"/>
            <w:b/>
            <w:strike w:val="false"/>
            <w:dstrike w:val="false"/>
            <w:color w:val="000000"/>
            <w:sz w:val="20"/>
            <w:u w:val="none"/>
            <w:effect w:val="none"/>
          </w:rPr>
          <w:t>(11) Accrued Expenses and Other Current Liabilities</w:t>
        </w:r>
      </w:hyperlink>
      <w:bookmarkStart w:id="48" w:name="bm_76ff711b8d0b3d06"/>
      <w:bookmarkEnd w:id="48"/>
    </w:p>
    <w:p>
      <w:pPr>
        <w:pStyle w:val="TextBody"/>
        <w:bidi w:val="0"/>
        <w:spacing w:before="0" w:after="0"/>
        <w:jc w:val="left"/>
        <w:rPr/>
      </w:pPr>
      <w:r>
        <w:rPr/>
        <w:t> </w:t>
      </w:r>
    </w:p>
    <w:p>
      <w:pPr>
        <w:pStyle w:val="TextBody"/>
        <w:bidi w:val="0"/>
        <w:spacing w:before="0" w:after="0"/>
        <w:jc w:val="left"/>
        <w:rPr>
          <w:sz w:val="20"/>
        </w:rPr>
      </w:pPr>
      <w:r>
        <w:rPr>
          <w:rFonts w:ascii="Times New Roman" w:hAnsi="Times New Roman"/>
          <w:sz w:val="20"/>
        </w:rPr>
        <w:t>The balances as of</w:t>
      </w:r>
      <w:r>
        <w:rPr>
          <w:sz w:val="20"/>
        </w:rPr>
        <w:t> </w:t>
      </w:r>
      <w:r>
        <w:rPr>
          <w:rFonts w:ascii="Times New Roman" w:hAnsi="Times New Roman"/>
          <w:sz w:val="20"/>
        </w:rPr>
        <w:t>December 31, 2025</w:t>
      </w:r>
      <w:r>
        <w:rPr>
          <w:sz w:val="20"/>
        </w:rPr>
        <w:t xml:space="preserve"> </w:t>
      </w:r>
      <w:r>
        <w:rPr>
          <w:rFonts w:ascii="Times New Roman" w:hAnsi="Times New Roman"/>
          <w:sz w:val="20"/>
        </w:rPr>
        <w:t>and 2024</w:t>
      </w:r>
      <w:r>
        <w:rPr>
          <w:sz w:val="20"/>
        </w:rPr>
        <w:t xml:space="preserve"> </w:t>
      </w:r>
      <w:r>
        <w:rPr>
          <w:rFonts w:ascii="Times New Roman" w:hAnsi="Times New Roman"/>
          <w:sz w:val="20"/>
        </w:rPr>
        <w:t>were as follows:</w:t>
      </w:r>
    </w:p>
    <w:p>
      <w:pPr>
        <w:pStyle w:val="TextBody"/>
        <w:bidi w:val="0"/>
        <w:spacing w:before="0" w:after="0"/>
        <w:jc w:val="left"/>
        <w:rPr/>
      </w:pPr>
      <w:r>
        <w:rPr/>
        <w:t> </w:t>
      </w:r>
    </w:p>
    <w:tbl>
      <w:tblPr>
        <w:tblW w:w="5077" w:type="dxa"/>
        <w:jc w:val="left"/>
        <w:tblInd w:w="0" w:type="dxa"/>
        <w:tblLayout w:type="fixed"/>
        <w:tblCellMar>
          <w:top w:w="0" w:type="dxa"/>
          <w:left w:w="0" w:type="dxa"/>
          <w:bottom w:w="0" w:type="dxa"/>
          <w:right w:w="0" w:type="dxa"/>
        </w:tblCellMar>
      </w:tblPr>
      <w:tblGrid>
        <w:gridCol w:w="3575"/>
        <w:gridCol w:w="60"/>
        <w:gridCol w:w="139"/>
        <w:gridCol w:w="541"/>
        <w:gridCol w:w="66"/>
        <w:gridCol w:w="139"/>
        <w:gridCol w:w="557"/>
      </w:tblGrid>
      <w:tr>
        <w:trPr/>
        <w:tc>
          <w:tcPr>
            <w:tcW w:w="35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42" w:type="dxa"/>
            <w:gridSpan w:val="5"/>
            <w:tcBorders>
              <w:bottom w:val="single" w:sz="8" w:space="0" w:color="000000"/>
            </w:tcBorders>
            <w:tcMar>
              <w:bottom w:w="28" w:type="dxa"/>
            </w:tcMar>
            <w:vAlign w:val="center"/>
          </w:tcPr>
          <w:p>
            <w:pPr>
              <w:pStyle w:val="TableContents"/>
              <w:bidi w:val="0"/>
              <w:spacing w:before="0" w:after="0"/>
              <w:jc w:val="center"/>
              <w:rPr>
                <w:sz w:val="16"/>
              </w:rPr>
            </w:pPr>
            <w:r>
              <w:rPr>
                <w:rFonts w:ascii="Times New Roman" w:hAnsi="Times New Roman"/>
                <w:b/>
                <w:sz w:val="16"/>
              </w:rPr>
              <w:t>As of</w:t>
            </w:r>
            <w:r>
              <w:rPr>
                <w:sz w:val="16"/>
              </w:rPr>
              <w:t> </w:t>
            </w:r>
            <w:r>
              <w:rPr>
                <w:rFonts w:ascii="Times New Roman" w:hAnsi="Times New Roman"/>
                <w:b/>
                <w:sz w:val="16"/>
              </w:rPr>
              <w:t>December 31,</w:t>
            </w:r>
          </w:p>
        </w:tc>
      </w:tr>
      <w:tr>
        <w:trPr/>
        <w:tc>
          <w:tcPr>
            <w:tcW w:w="357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68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6" w:type="dxa"/>
            <w:tcBorders>
              <w:top w:val="single" w:sz="8" w:space="0" w:color="000000"/>
            </w:tcBorders>
            <w:tcMar>
              <w:top w:w="28" w:type="dxa"/>
            </w:tcMar>
            <w:vAlign w:val="center"/>
          </w:tcPr>
          <w:p>
            <w:pPr>
              <w:pStyle w:val="TableContents"/>
              <w:bidi w:val="0"/>
              <w:spacing w:before="0" w:after="0"/>
              <w:jc w:val="left"/>
              <w:rPr/>
            </w:pPr>
            <w:r>
              <w:rPr/>
              <w:t> </w:t>
            </w:r>
          </w:p>
        </w:tc>
        <w:tc>
          <w:tcPr>
            <w:tcW w:w="69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357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center"/>
          </w:tcPr>
          <w:p>
            <w:pPr>
              <w:pStyle w:val="TableContents"/>
              <w:bidi w:val="0"/>
              <w:spacing w:before="0" w:after="0"/>
              <w:jc w:val="left"/>
              <w:rPr/>
            </w:pPr>
            <w:r>
              <w:rPr/>
              <w:t> </w:t>
            </w:r>
          </w:p>
        </w:tc>
        <w:tc>
          <w:tcPr>
            <w:tcW w:w="13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349.6</w:t>
            </w:r>
          </w:p>
        </w:tc>
        <w:tc>
          <w:tcPr>
            <w:tcW w:w="66" w:type="dxa"/>
            <w:tcBorders/>
            <w:shd w:fill="CCEEFF" w:val="clear"/>
            <w:vAlign w:val="center"/>
          </w:tcPr>
          <w:p>
            <w:pPr>
              <w:pStyle w:val="TableContents"/>
              <w:bidi w:val="0"/>
              <w:spacing w:before="0" w:after="0"/>
              <w:jc w:val="left"/>
              <w:rPr/>
            </w:pPr>
            <w:r>
              <w:rPr/>
              <w:t> </w:t>
            </w:r>
          </w:p>
        </w:tc>
        <w:tc>
          <w:tcPr>
            <w:tcW w:w="13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322.4</w:t>
            </w:r>
          </w:p>
        </w:tc>
      </w:tr>
      <w:tr>
        <w:trPr/>
        <w:tc>
          <w:tcPr>
            <w:tcW w:w="35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 payables</w:t>
            </w:r>
          </w:p>
        </w:tc>
        <w:tc>
          <w:tcPr>
            <w:tcW w:w="60" w:type="dxa"/>
            <w:tcBorders/>
            <w:shd w:fill="FFFFFF" w:val="clear"/>
            <w:vAlign w:val="center"/>
          </w:tcPr>
          <w:p>
            <w:pPr>
              <w:pStyle w:val="TableContents"/>
              <w:bidi w:val="0"/>
              <w:spacing w:before="0" w:after="0"/>
              <w:jc w:val="left"/>
              <w:rPr/>
            </w:pPr>
            <w:r>
              <w:rPr/>
              <w:t> </w:t>
            </w:r>
          </w:p>
        </w:tc>
        <w:tc>
          <w:tcPr>
            <w:tcW w:w="139" w:type="dxa"/>
            <w:tcBorders/>
            <w:shd w:fill="FFFFFF" w:val="clear"/>
            <w:vAlign w:val="center"/>
          </w:tcPr>
          <w:p>
            <w:pPr>
              <w:pStyle w:val="TableContents"/>
              <w:bidi w:val="0"/>
              <w:spacing w:before="0" w:after="0"/>
              <w:jc w:val="left"/>
              <w:rPr/>
            </w:pPr>
            <w:r>
              <w:rPr/>
              <w:t> </w:t>
            </w:r>
          </w:p>
        </w:tc>
        <w:tc>
          <w:tcPr>
            <w:tcW w:w="54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33.0</w:t>
            </w:r>
          </w:p>
        </w:tc>
        <w:tc>
          <w:tcPr>
            <w:tcW w:w="66" w:type="dxa"/>
            <w:tcBorders/>
            <w:shd w:fill="FFFFFF" w:val="clear"/>
            <w:vAlign w:val="center"/>
          </w:tcPr>
          <w:p>
            <w:pPr>
              <w:pStyle w:val="TableContents"/>
              <w:bidi w:val="0"/>
              <w:spacing w:before="0" w:after="0"/>
              <w:jc w:val="left"/>
              <w:rPr/>
            </w:pPr>
            <w:r>
              <w:rPr/>
              <w:t> </w:t>
            </w:r>
          </w:p>
        </w:tc>
        <w:tc>
          <w:tcPr>
            <w:tcW w:w="139" w:type="dxa"/>
            <w:tcBorders/>
            <w:shd w:fill="FFFFFF" w:val="clear"/>
            <w:vAlign w:val="center"/>
          </w:tcPr>
          <w:p>
            <w:pPr>
              <w:pStyle w:val="TableContents"/>
              <w:bidi w:val="0"/>
              <w:spacing w:before="0" w:after="0"/>
              <w:jc w:val="left"/>
              <w:rPr/>
            </w:pPr>
            <w:r>
              <w:rPr/>
              <w:t> </w:t>
            </w:r>
          </w:p>
        </w:tc>
        <w:tc>
          <w:tcPr>
            <w:tcW w:w="5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r>
      <w:tr>
        <w:trPr/>
        <w:tc>
          <w:tcPr>
            <w:tcW w:w="35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center"/>
          </w:tcPr>
          <w:p>
            <w:pPr>
              <w:pStyle w:val="TableContents"/>
              <w:bidi w:val="0"/>
              <w:spacing w:before="0" w:after="0"/>
              <w:jc w:val="left"/>
              <w:rPr/>
            </w:pPr>
            <w:r>
              <w:rPr/>
              <w:t> </w:t>
            </w:r>
          </w:p>
        </w:tc>
        <w:tc>
          <w:tcPr>
            <w:tcW w:w="139" w:type="dxa"/>
            <w:tcBorders/>
            <w:shd w:fill="CCEEFF" w:val="clear"/>
            <w:vAlign w:val="center"/>
          </w:tcPr>
          <w:p>
            <w:pPr>
              <w:pStyle w:val="TableContents"/>
              <w:bidi w:val="0"/>
              <w:spacing w:before="0" w:after="0"/>
              <w:jc w:val="left"/>
              <w:rPr/>
            </w:pPr>
            <w:r>
              <w:rPr/>
              <w:t> </w:t>
            </w:r>
          </w:p>
        </w:tc>
        <w:tc>
          <w:tcPr>
            <w:tcW w:w="541"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23.5</w:t>
            </w:r>
          </w:p>
        </w:tc>
        <w:tc>
          <w:tcPr>
            <w:tcW w:w="66" w:type="dxa"/>
            <w:tcBorders/>
            <w:shd w:fill="CCEEFF" w:val="clear"/>
            <w:vAlign w:val="center"/>
          </w:tcPr>
          <w:p>
            <w:pPr>
              <w:pStyle w:val="TableContents"/>
              <w:bidi w:val="0"/>
              <w:spacing w:before="0" w:after="0"/>
              <w:jc w:val="left"/>
              <w:rPr>
                <w:color w:val="333333"/>
              </w:rPr>
            </w:pPr>
            <w:r>
              <w:rPr>
                <w:color w:val="333333"/>
              </w:rPr>
              <w:t> </w:t>
            </w:r>
          </w:p>
        </w:tc>
        <w:tc>
          <w:tcPr>
            <w:tcW w:w="139" w:type="dxa"/>
            <w:tcBorders/>
            <w:shd w:fill="CCEEFF" w:val="clear"/>
            <w:vAlign w:val="center"/>
          </w:tcPr>
          <w:p>
            <w:pPr>
              <w:pStyle w:val="TableContents"/>
              <w:bidi w:val="0"/>
              <w:spacing w:before="0" w:after="0"/>
              <w:jc w:val="left"/>
              <w:rPr/>
            </w:pPr>
            <w:r>
              <w:rPr/>
              <w:t> </w:t>
            </w:r>
          </w:p>
        </w:tc>
        <w:tc>
          <w:tcPr>
            <w:tcW w:w="557"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53.7</w:t>
            </w:r>
          </w:p>
        </w:tc>
      </w:tr>
      <w:tr>
        <w:trPr/>
        <w:tc>
          <w:tcPr>
            <w:tcW w:w="35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expenses</w:t>
            </w:r>
          </w:p>
        </w:tc>
        <w:tc>
          <w:tcPr>
            <w:tcW w:w="60" w:type="dxa"/>
            <w:tcBorders/>
            <w:shd w:fill="FFFFFF" w:val="clear"/>
            <w:vAlign w:val="center"/>
          </w:tcPr>
          <w:p>
            <w:pPr>
              <w:pStyle w:val="TableContents"/>
              <w:bidi w:val="0"/>
              <w:spacing w:before="0" w:after="0"/>
              <w:jc w:val="left"/>
              <w:rPr/>
            </w:pPr>
            <w:r>
              <w:rPr/>
              <w:t> </w:t>
            </w:r>
          </w:p>
        </w:tc>
        <w:tc>
          <w:tcPr>
            <w:tcW w:w="139" w:type="dxa"/>
            <w:tcBorders/>
            <w:shd w:fill="FFFFFF" w:val="clear"/>
            <w:vAlign w:val="center"/>
          </w:tcPr>
          <w:p>
            <w:pPr>
              <w:pStyle w:val="TableContents"/>
              <w:bidi w:val="0"/>
              <w:spacing w:before="0" w:after="0"/>
              <w:jc w:val="left"/>
              <w:rPr/>
            </w:pPr>
            <w:r>
              <w:rPr/>
              <w:t> </w:t>
            </w:r>
          </w:p>
        </w:tc>
        <w:tc>
          <w:tcPr>
            <w:tcW w:w="54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87.8</w:t>
            </w:r>
          </w:p>
        </w:tc>
        <w:tc>
          <w:tcPr>
            <w:tcW w:w="66" w:type="dxa"/>
            <w:tcBorders/>
            <w:shd w:fill="FFFFFF" w:val="clear"/>
            <w:vAlign w:val="center"/>
          </w:tcPr>
          <w:p>
            <w:pPr>
              <w:pStyle w:val="TableContents"/>
              <w:bidi w:val="0"/>
              <w:spacing w:before="0" w:after="0"/>
              <w:jc w:val="left"/>
              <w:rPr/>
            </w:pPr>
            <w:r>
              <w:rPr/>
              <w:t> </w:t>
            </w:r>
          </w:p>
        </w:tc>
        <w:tc>
          <w:tcPr>
            <w:tcW w:w="139" w:type="dxa"/>
            <w:tcBorders/>
            <w:shd w:fill="FFFFFF" w:val="clear"/>
            <w:vAlign w:val="center"/>
          </w:tcPr>
          <w:p>
            <w:pPr>
              <w:pStyle w:val="TableContents"/>
              <w:bidi w:val="0"/>
              <w:spacing w:before="0" w:after="0"/>
              <w:jc w:val="left"/>
              <w:rPr/>
            </w:pPr>
            <w:r>
              <w:rPr/>
              <w:t> </w:t>
            </w:r>
          </w:p>
        </w:tc>
        <w:tc>
          <w:tcPr>
            <w:tcW w:w="5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75.5</w:t>
            </w:r>
          </w:p>
        </w:tc>
      </w:tr>
      <w:tr>
        <w:trPr/>
        <w:tc>
          <w:tcPr>
            <w:tcW w:w="35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obligations</w:t>
            </w:r>
          </w:p>
        </w:tc>
        <w:tc>
          <w:tcPr>
            <w:tcW w:w="60" w:type="dxa"/>
            <w:tcBorders/>
            <w:shd w:fill="CCEEFF" w:val="clear"/>
            <w:vAlign w:val="center"/>
          </w:tcPr>
          <w:p>
            <w:pPr>
              <w:pStyle w:val="TableContents"/>
              <w:bidi w:val="0"/>
              <w:spacing w:before="0" w:after="0"/>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6" w:type="dxa"/>
            <w:tcBorders/>
            <w:shd w:fill="CCEEFF" w:val="clear"/>
            <w:vAlign w:val="center"/>
          </w:tcPr>
          <w:p>
            <w:pPr>
              <w:pStyle w:val="TableContents"/>
              <w:bidi w:val="0"/>
              <w:spacing w:before="0" w:after="0"/>
              <w:jc w:val="left"/>
              <w:rPr/>
            </w:pPr>
            <w:r>
              <w:rPr/>
              <w:t> </w:t>
            </w:r>
          </w:p>
        </w:tc>
        <w:tc>
          <w:tcPr>
            <w:tcW w:w="13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5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357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494.9</w:t>
            </w:r>
          </w:p>
        </w:tc>
        <w:tc>
          <w:tcPr>
            <w:tcW w:w="66" w:type="dxa"/>
            <w:tcBorders/>
            <w:shd w:fill="FFFFFF" w:val="clear"/>
            <w:vAlign w:val="center"/>
          </w:tcPr>
          <w:p>
            <w:pPr>
              <w:pStyle w:val="TableContents"/>
              <w:bidi w:val="0"/>
              <w:spacing w:before="0" w:after="0"/>
              <w:jc w:val="left"/>
              <w:rPr/>
            </w:pPr>
            <w:r>
              <w:rPr/>
              <w:t> </w:t>
            </w:r>
          </w:p>
        </w:tc>
        <w:tc>
          <w:tcPr>
            <w:tcW w:w="1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475.7</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Restructuring and Related Costs</w:t>
      </w:r>
    </w:p>
    <w:p>
      <w:pPr>
        <w:pStyle w:val="TextBody"/>
        <w:bidi w:val="0"/>
        <w:spacing w:before="0" w:after="0"/>
        <w:jc w:val="left"/>
        <w:rPr/>
      </w:pPr>
      <w:r>
        <w:rPr/>
        <w:t> </w:t>
      </w:r>
    </w:p>
    <w:p>
      <w:pPr>
        <w:pStyle w:val="TextBody"/>
        <w:bidi w:val="0"/>
        <w:spacing w:lineRule="atLeast" w:line="240" w:before="0" w:after="0"/>
        <w:jc w:val="both"/>
        <w:rPr/>
      </w:pPr>
      <w:r>
        <w:rPr>
          <w:rFonts w:ascii="Times New Roman" w:hAnsi="Times New Roman"/>
          <w:sz w:val="20"/>
        </w:rPr>
        <w:t>In 2025, the Company initiated a restructuring program within its Money Transfer segment designed to streamline operations, reduce costs, and improve organizational efficiency. The restructuring actions were developed with the assistance of an external consulting firm and included a reduction in workforce and organizational realignment activities. The Company expects these actions to enhance long</w:t>
      </w:r>
      <w:r>
        <w:rPr/>
        <w:noBreakHyphen/>
      </w:r>
      <w:r>
        <w:rPr>
          <w:rFonts w:ascii="Times New Roman" w:hAnsi="Times New Roman"/>
          <w:sz w:val="20"/>
        </w:rPr>
        <w:t>term operating margins within the segment.</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Restructuring Charges</w:t>
      </w:r>
    </w:p>
    <w:p>
      <w:pPr>
        <w:pStyle w:val="TextBody"/>
        <w:bidi w:val="0"/>
        <w:spacing w:before="0" w:after="0"/>
        <w:jc w:val="left"/>
        <w:rPr/>
      </w:pPr>
      <w:r>
        <w:rPr/>
        <w:t> </w:t>
      </w:r>
    </w:p>
    <w:p>
      <w:pPr>
        <w:pStyle w:val="TextBody"/>
        <w:bidi w:val="0"/>
        <w:spacing w:before="0" w:after="0"/>
        <w:jc w:val="left"/>
        <w:rPr>
          <w:sz w:val="20"/>
        </w:rPr>
      </w:pPr>
      <w:r>
        <w:rPr>
          <w:rFonts w:ascii="Times New Roman" w:hAnsi="Times New Roman"/>
          <w:b/>
          <w:sz w:val="20"/>
        </w:rPr>
        <w:t>Severance and Employee</w:t>
      </w:r>
      <w:r>
        <w:rPr>
          <w:sz w:val="20"/>
        </w:rPr>
        <w:noBreakHyphen/>
      </w:r>
      <w:r>
        <w:rPr>
          <w:rFonts w:ascii="Times New Roman" w:hAnsi="Times New Roman"/>
          <w:b/>
          <w:sz w:val="20"/>
        </w:rPr>
        <w:t>Related Costs</w:t>
      </w:r>
    </w:p>
    <w:p>
      <w:pPr>
        <w:pStyle w:val="TextBody"/>
        <w:bidi w:val="0"/>
        <w:spacing w:before="0" w:after="0"/>
        <w:jc w:val="left"/>
        <w:rPr/>
      </w:pPr>
      <w:r>
        <w:rPr/>
        <w:t> </w:t>
      </w:r>
    </w:p>
    <w:p>
      <w:pPr>
        <w:pStyle w:val="TextBody"/>
        <w:bidi w:val="0"/>
        <w:spacing w:lineRule="atLeast" w:line="240" w:before="0" w:after="0"/>
        <w:jc w:val="both"/>
        <w:rPr/>
      </w:pPr>
      <w:r>
        <w:rPr>
          <w:rFonts w:ascii="Times New Roman" w:hAnsi="Times New Roman"/>
          <w:sz w:val="20"/>
        </w:rPr>
        <w:t>During 2025, the Company recognized $3.0</w:t>
      </w:r>
      <w:r>
        <w:rPr/>
        <w:t xml:space="preserve"> </w:t>
      </w:r>
      <w:r>
        <w:rPr>
          <w:rFonts w:ascii="Times New Roman" w:hAnsi="Times New Roman"/>
          <w:sz w:val="20"/>
        </w:rPr>
        <w:t>million of severance and employee</w:t>
      </w:r>
      <w:r>
        <w:rPr/>
        <w:noBreakHyphen/>
      </w:r>
      <w:r>
        <w:rPr>
          <w:rFonts w:ascii="Times New Roman" w:hAnsi="Times New Roman"/>
          <w:sz w:val="20"/>
        </w:rPr>
        <w:t>related costs associated with involuntary terminations. These costs qualified as exit and disposal activities under ASC 420, Exit or Disposal Cost Obligations, and were recorded within Operating expenses on the Consolidated Statements of Operations. All severance</w:t>
      </w:r>
      <w:r>
        <w:rPr/>
        <w:noBreakHyphen/>
      </w:r>
      <w:r>
        <w:rPr>
          <w:rFonts w:ascii="Times New Roman" w:hAnsi="Times New Roman"/>
          <w:sz w:val="20"/>
        </w:rPr>
        <w:t>related liabilities were paid during 2025, and no</w:t>
      </w:r>
      <w:r>
        <w:rPr/>
        <w:t xml:space="preserve"> </w:t>
      </w:r>
      <w:r>
        <w:rPr>
          <w:rFonts w:ascii="Times New Roman" w:hAnsi="Times New Roman"/>
          <w:sz w:val="20"/>
        </w:rPr>
        <w:t>remaining liability was outstanding as of December 31, 2025.</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Professional Fees and Other Costs</w:t>
      </w:r>
    </w:p>
    <w:p>
      <w:pPr>
        <w:pStyle w:val="TextBody"/>
        <w:bidi w:val="0"/>
        <w:spacing w:before="0" w:after="0"/>
        <w:jc w:val="left"/>
        <w:rPr/>
      </w:pPr>
      <w:r>
        <w:rPr/>
        <w:t> </w:t>
      </w:r>
    </w:p>
    <w:p>
      <w:pPr>
        <w:pStyle w:val="TextBody"/>
        <w:bidi w:val="0"/>
        <w:spacing w:lineRule="atLeast" w:line="240" w:before="0" w:after="0"/>
        <w:jc w:val="both"/>
        <w:rPr/>
      </w:pPr>
      <w:r>
        <w:rPr>
          <w:rFonts w:ascii="Times New Roman" w:hAnsi="Times New Roman"/>
          <w:sz w:val="20"/>
        </w:rPr>
        <w:t>In connection with the restructuring program, the Company engaged a global consulting firm to support organizational design, operational process redesign, and implementation activities. The Company incurred $17.4</w:t>
      </w:r>
      <w:r>
        <w:rPr/>
        <w:t xml:space="preserve"> </w:t>
      </w:r>
      <w:r>
        <w:rPr>
          <w:rFonts w:ascii="Times New Roman" w:hAnsi="Times New Roman"/>
          <w:sz w:val="20"/>
        </w:rPr>
        <w:t>million of consulting and professional service fees during 2025. These costs do not meet the criteria for exit or disposal costs under ASC 420 and were expensed as incurred within Operating expenses.</w:t>
      </w:r>
    </w:p>
    <w:p>
      <w:pPr>
        <w:pStyle w:val="TextBody"/>
        <w:bidi w:val="0"/>
        <w:spacing w:before="0" w:after="0"/>
        <w:jc w:val="left"/>
        <w:rPr/>
      </w:pPr>
      <w:r>
        <w:rPr/>
        <w:t> </w:t>
      </w:r>
    </w:p>
    <w:p>
      <w:pPr>
        <w:pStyle w:val="TextBody"/>
        <w:bidi w:val="0"/>
        <w:spacing w:lineRule="atLeast" w:line="240" w:before="0" w:after="120"/>
        <w:jc w:val="both"/>
        <w:rPr/>
      </w:pPr>
      <w:r>
        <w:rPr>
          <w:rFonts w:ascii="Times New Roman" w:hAnsi="Times New Roman"/>
          <w:sz w:val="20"/>
        </w:rPr>
        <w:t>As of December 31, 2025, the Company had outstanding liabilities related to these consulting fees totaling $10.9</w:t>
      </w:r>
      <w:r>
        <w:rPr/>
        <w:t xml:space="preserve"> </w:t>
      </w:r>
      <w:r>
        <w:rPr>
          <w:rFonts w:ascii="Times New Roman" w:hAnsi="Times New Roman"/>
          <w:sz w:val="20"/>
        </w:rPr>
        <w:t>million, consisting of:</w:t>
      </w:r>
    </w:p>
    <w:p>
      <w:pPr>
        <w:pStyle w:val="TextBody"/>
        <w:bidi w:val="0"/>
        <w:spacing w:before="0" w:after="0"/>
        <w:ind w:left="720" w:right="0" w:hanging="360"/>
        <w:jc w:val="left"/>
        <w:rPr/>
      </w:pPr>
      <w:r>
        <w:rPr/>
        <w:t></w:t>
      </w:r>
      <w:r>
        <w:rPr>
          <w:caps w:val="false"/>
          <w:smallCaps w:val="false"/>
        </w:rPr>
        <w:t xml:space="preserve">         </w:t>
      </w:r>
      <w:r>
        <w:rPr>
          <w:rFonts w:ascii="Times New Roman" w:hAnsi="Times New Roman"/>
          <w:sz w:val="20"/>
        </w:rPr>
        <w:t>$2.0</w:t>
      </w:r>
      <w:r>
        <w:rPr>
          <w:sz w:val="20"/>
        </w:rPr>
        <w:t xml:space="preserve"> </w:t>
      </w:r>
      <w:r>
        <w:rPr>
          <w:rFonts w:ascii="Times New Roman" w:hAnsi="Times New Roman"/>
          <w:sz w:val="20"/>
        </w:rPr>
        <w:t>million recorded in Accounts payable, and</w:t>
      </w:r>
    </w:p>
    <w:p>
      <w:pPr>
        <w:pStyle w:val="TextBody"/>
        <w:bidi w:val="0"/>
        <w:spacing w:before="0" w:after="0"/>
        <w:ind w:left="720" w:right="0" w:hanging="360"/>
        <w:jc w:val="left"/>
        <w:rPr/>
      </w:pPr>
      <w:r>
        <w:rPr/>
        <w:t></w:t>
      </w:r>
      <w:r>
        <w:rPr>
          <w:caps w:val="false"/>
          <w:smallCaps w:val="false"/>
        </w:rPr>
        <w:t xml:space="preserve">         </w:t>
      </w:r>
      <w:r>
        <w:rPr>
          <w:rFonts w:ascii="Times New Roman" w:hAnsi="Times New Roman"/>
          <w:sz w:val="20"/>
        </w:rPr>
        <w:t>$8.9</w:t>
      </w:r>
      <w:r>
        <w:rPr>
          <w:sz w:val="20"/>
        </w:rPr>
        <w:t xml:space="preserve"> </w:t>
      </w:r>
      <w:r>
        <w:rPr>
          <w:rFonts w:ascii="Times New Roman" w:hAnsi="Times New Roman"/>
          <w:sz w:val="20"/>
        </w:rPr>
        <w:t>million recorded in Accrued expenses and other current liabilities.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b/>
          <w:sz w:val="20"/>
        </w:rPr>
      </w:pPr>
      <w:r>
        <w:rPr>
          <w:rFonts w:ascii="Times New Roman" w:hAnsi="Times New Roman"/>
          <w:b/>
          <w:sz w:val="20"/>
        </w:rPr>
        <w:t>(12) Debt Obligations</w:t>
      </w:r>
      <w:bookmarkStart w:id="49" w:name="bm_bb23c9381af8a78a"/>
      <w:bookmarkEnd w:id="49"/>
    </w:p>
    <w:p>
      <w:pPr>
        <w:pStyle w:val="TextBody"/>
        <w:bidi w:val="0"/>
        <w:spacing w:lineRule="atLeast" w:line="240" w:before="200" w:after="200"/>
        <w:jc w:val="both"/>
        <w:rPr/>
      </w:pPr>
      <w:r>
        <w:rPr>
          <w:rFonts w:ascii="Times New Roman" w:hAnsi="Times New Roman"/>
          <w:sz w:val="20"/>
        </w:rPr>
        <w:t>Debt obligations consist of the following as of December 31, 2025</w:t>
      </w:r>
      <w:r>
        <w:rPr/>
        <w:t xml:space="preserve"> </w:t>
      </w:r>
      <w:r>
        <w:rPr>
          <w:rFonts w:ascii="Times New Roman" w:hAnsi="Times New Roman"/>
          <w:sz w:val="20"/>
        </w:rPr>
        <w:t>and 2024:</w:t>
      </w:r>
      <w:r>
        <w:rPr/>
        <w:t> </w:t>
      </w:r>
    </w:p>
    <w:tbl>
      <w:tblPr>
        <w:tblW w:w="8170" w:type="dxa"/>
        <w:jc w:val="left"/>
        <w:tblInd w:w="0" w:type="dxa"/>
        <w:tblLayout w:type="fixed"/>
        <w:tblCellMar>
          <w:top w:w="0" w:type="dxa"/>
          <w:left w:w="0" w:type="dxa"/>
          <w:bottom w:w="0" w:type="dxa"/>
          <w:right w:w="0" w:type="dxa"/>
        </w:tblCellMar>
      </w:tblPr>
      <w:tblGrid>
        <w:gridCol w:w="6515"/>
        <w:gridCol w:w="60"/>
        <w:gridCol w:w="125"/>
        <w:gridCol w:w="635"/>
        <w:gridCol w:w="60"/>
        <w:gridCol w:w="125"/>
        <w:gridCol w:w="650"/>
      </w:tblGrid>
      <w:tr>
        <w:trPr/>
        <w:tc>
          <w:tcPr>
            <w:tcW w:w="651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595" w:type="dxa"/>
            <w:gridSpan w:val="5"/>
            <w:tcBorders>
              <w:bottom w:val="single" w:sz="8" w:space="0" w:color="000000"/>
            </w:tcBorders>
            <w:tcMar>
              <w:bottom w:w="28" w:type="dxa"/>
            </w:tcMar>
            <w:vAlign w:val="center"/>
          </w:tcPr>
          <w:p>
            <w:pPr>
              <w:pStyle w:val="TableContents"/>
              <w:bidi w:val="0"/>
              <w:spacing w:lineRule="atLeast" w:line="240" w:before="0" w:after="0"/>
              <w:jc w:val="center"/>
              <w:rPr/>
            </w:pPr>
            <w:r>
              <w:rPr>
                <w:rFonts w:ascii="Times New Roman" w:hAnsi="Times New Roman"/>
                <w:b/>
                <w:sz w:val="16"/>
              </w:rPr>
              <w:t>As of</w:t>
            </w:r>
            <w:r>
              <w:rPr/>
              <w:t> </w:t>
            </w:r>
            <w:r>
              <w:rPr>
                <w:rFonts w:ascii="Times New Roman" w:hAnsi="Times New Roman"/>
                <w:b/>
                <w:sz w:val="16"/>
              </w:rPr>
              <w:t>December 31,</w:t>
            </w:r>
          </w:p>
        </w:tc>
      </w:tr>
      <w:tr>
        <w:trPr/>
        <w:tc>
          <w:tcPr>
            <w:tcW w:w="651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lineRule="atLeast" w:line="240" w:before="0" w:after="0"/>
              <w:jc w:val="left"/>
              <w:rPr/>
            </w:pPr>
            <w:r>
              <w:rPr/>
              <w:t> </w:t>
            </w:r>
          </w:p>
        </w:tc>
        <w:tc>
          <w:tcPr>
            <w:tcW w:w="76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7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r>
      <w:tr>
        <w:trPr/>
        <w:tc>
          <w:tcPr>
            <w:tcW w:w="651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Credit Facility:</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3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5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651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Revolving credit agreement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24.6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520.4</w:t>
            </w:r>
          </w:p>
        </w:tc>
      </w:tr>
      <w:tr>
        <w:trPr/>
        <w:tc>
          <w:tcPr>
            <w:tcW w:w="651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pPr>
            <w:r>
              <w:rPr/>
              <w:t> </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Convertible Debt: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left"/>
              <w:rPr/>
            </w:pPr>
            <w:r>
              <w:rPr/>
              <w:t> </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pPr>
            <w:r>
              <w:rPr/>
              <w:t> </w:t>
            </w:r>
          </w:p>
        </w:tc>
      </w:tr>
      <w:tr>
        <w:trPr/>
        <w:tc>
          <w:tcPr>
            <w:tcW w:w="651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0.625% convertible notes, unsecured, due 2030</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1,000.0</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pPr>
            <w:r>
              <w:rPr/>
              <w:t>—</w:t>
            </w:r>
          </w:p>
        </w:tc>
      </w:tr>
      <w:tr>
        <w:trPr/>
        <w:tc>
          <w:tcPr>
            <w:tcW w:w="651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0.75% convertible notes, unsecured, due 2049</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33.2</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525.0</w:t>
            </w:r>
          </w:p>
        </w:tc>
      </w:tr>
      <w:tr>
        <w:trPr/>
        <w:tc>
          <w:tcPr>
            <w:tcW w:w="651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pPr>
            <w:r>
              <w:rPr/>
              <w:t> </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1.375% Senior Notes, due 2026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704.6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621.5</w:t>
            </w:r>
          </w:p>
        </w:tc>
      </w:tr>
      <w:tr>
        <w:trPr/>
        <w:tc>
          <w:tcPr>
            <w:tcW w:w="651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pPr>
            <w:r>
              <w:rPr/>
              <w:t> </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Uncommitted credit agreement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250.0</w:t>
            </w:r>
          </w:p>
        </w:tc>
      </w:tr>
      <w:tr>
        <w:trPr/>
        <w:tc>
          <w:tcPr>
            <w:tcW w:w="651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35" w:type="dxa"/>
            <w:tcBorders/>
            <w:shd w:fill="CCEEFF" w:val="clear"/>
            <w:vAlign w:val="center"/>
          </w:tcPr>
          <w:p>
            <w:pPr>
              <w:pStyle w:val="TableContents"/>
              <w:bidi w:val="0"/>
              <w:spacing w:lineRule="atLeast" w:line="240" w:before="0" w:after="0"/>
              <w:jc w:val="righ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50" w:type="dxa"/>
            <w:tcBorders/>
            <w:shd w:fill="CCEEFF" w:val="clear"/>
            <w:vAlign w:val="center"/>
          </w:tcPr>
          <w:p>
            <w:pPr>
              <w:pStyle w:val="TableContents"/>
              <w:bidi w:val="0"/>
              <w:spacing w:lineRule="atLeast" w:line="240" w:before="0" w:after="0"/>
              <w:jc w:val="right"/>
              <w:rPr/>
            </w:pPr>
            <w:r>
              <w:rPr/>
              <w:t> </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Other obligations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3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34.9</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37.7</w:t>
            </w:r>
          </w:p>
        </w:tc>
      </w:tr>
      <w:tr>
        <w:trPr/>
        <w:tc>
          <w:tcPr>
            <w:tcW w:w="6515" w:type="dxa"/>
            <w:tcBorders/>
            <w:shd w:fill="CCEEFF" w:val="cle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35" w:type="dxa"/>
            <w:tcBorders>
              <w:bottom w:val="single" w:sz="6" w:space="0" w:color="000000"/>
            </w:tcBorders>
            <w:shd w:fill="CCEEFF" w:val="clear"/>
            <w:tcMar>
              <w:bottom w:w="28" w:type="dxa"/>
            </w:tcMar>
            <w:vAlign w:val="center"/>
          </w:tcPr>
          <w:p>
            <w:pPr>
              <w:pStyle w:val="TableContents"/>
              <w:bidi w:val="0"/>
              <w:spacing w:lineRule="atLeast" w:line="240" w:before="0" w:after="0"/>
              <w:jc w:val="righ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50" w:type="dxa"/>
            <w:tcBorders>
              <w:bottom w:val="single" w:sz="6" w:space="0" w:color="000000"/>
            </w:tcBorders>
            <w:shd w:fill="CCEEFF" w:val="clear"/>
            <w:tcMar>
              <w:bottom w:w="28" w:type="dxa"/>
            </w:tcMar>
            <w:vAlign w:val="center"/>
          </w:tcPr>
          <w:p>
            <w:pPr>
              <w:pStyle w:val="TableContents"/>
              <w:bidi w:val="0"/>
              <w:spacing w:lineRule="atLeast" w:line="240" w:before="0" w:after="0"/>
              <w:jc w:val="right"/>
              <w:rPr/>
            </w:pPr>
            <w:r>
              <w:rPr/>
              <w:t> </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debt obligations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2,047.3</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1,954.6</w:t>
            </w:r>
          </w:p>
        </w:tc>
      </w:tr>
      <w:tr>
        <w:trPr/>
        <w:tc>
          <w:tcPr>
            <w:tcW w:w="651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Unamortized debt issuance costs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635"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(26.5)</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650"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(7.5)</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Carrying value of debt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2,020.8</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1,947.1</w:t>
            </w:r>
          </w:p>
        </w:tc>
      </w:tr>
      <w:tr>
        <w:trPr/>
        <w:tc>
          <w:tcPr>
            <w:tcW w:w="651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Short-term debt obligations and current maturities of long-term debt obligations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635"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(983.2)</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650" w:type="dxa"/>
            <w:tcBorders>
              <w:top w:val="double" w:sz="6" w:space="0" w:color="000000"/>
              <w:bottom w:val="sing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(812.7)</w:t>
            </w:r>
          </w:p>
        </w:tc>
      </w:tr>
      <w:tr>
        <w:trPr/>
        <w:tc>
          <w:tcPr>
            <w:tcW w:w="651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Long-term debt obligations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3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b/>
                <w:sz w:val="20"/>
              </w:rPr>
            </w:pPr>
            <w:r>
              <w:rPr>
                <w:rFonts w:ascii="Times New Roman" w:hAnsi="Times New Roman"/>
                <w:b/>
                <w:sz w:val="20"/>
              </w:rPr>
              <w:t>1,037.6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50" w:type="dxa"/>
            <w:tcBorders>
              <w:top w:val="single" w:sz="6"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b/>
                <w:sz w:val="20"/>
              </w:rPr>
            </w:pPr>
            <w:r>
              <w:rPr>
                <w:rFonts w:ascii="Times New Roman" w:hAnsi="Times New Roman"/>
                <w:b/>
                <w:sz w:val="20"/>
              </w:rPr>
              <w:t>1,134.4</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As of December 31, 2025, annual maturities of long</w:t>
      </w:r>
      <w:r>
        <w:rPr/>
        <w:noBreakHyphen/>
      </w:r>
      <w:r>
        <w:rPr>
          <w:rFonts w:ascii="Times New Roman" w:hAnsi="Times New Roman"/>
          <w:sz w:val="20"/>
        </w:rPr>
        <w:t>term debt are our 2030 Convertible Notes, which mature in 2030, our 2049 Convertible Notes, which mature in 2049 with an earlier optional repurchase date of March 15, 2029, and our revolving credit facility which expires in December 2029.</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b/>
          <w:i/>
          <w:sz w:val="20"/>
        </w:rPr>
        <w:t>Credit Facility</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December 17, 2024, the Company amended its revolving credit agreement (the “Credit Facility”) to increase the facility from $1.25</w:t>
      </w:r>
      <w:r>
        <w:rPr/>
        <w:t> </w:t>
      </w:r>
      <w:r>
        <w:rPr>
          <w:rFonts w:ascii="Times New Roman" w:hAnsi="Times New Roman"/>
          <w:sz w:val="20"/>
        </w:rPr>
        <w:t>billion to $1.9</w:t>
      </w:r>
      <w:r>
        <w:rPr/>
        <w:t> </w:t>
      </w:r>
      <w:r>
        <w:rPr>
          <w:rFonts w:ascii="Times New Roman" w:hAnsi="Times New Roman"/>
          <w:sz w:val="20"/>
        </w:rPr>
        <w:t>billion and to extend the expiration to December 17, 2029.</w:t>
      </w:r>
      <w:r>
        <w:rPr/>
        <w:t> </w:t>
      </w:r>
      <w:r>
        <w:rPr>
          <w:rFonts w:ascii="Times New Roman" w:hAnsi="Times New Roman"/>
          <w:sz w:val="20"/>
        </w:rPr>
        <w:t>The amended Credit Facility includes a multi-currency borrowing tranche totaling $1,685</w:t>
      </w:r>
      <w:r>
        <w:rPr/>
        <w:t xml:space="preserve"> </w:t>
      </w:r>
      <w:r>
        <w:rPr>
          <w:rFonts w:ascii="Times New Roman" w:hAnsi="Times New Roman"/>
          <w:sz w:val="20"/>
        </w:rPr>
        <w:t>million</w:t>
      </w:r>
      <w:r>
        <w:rPr/>
        <w:t> </w:t>
      </w:r>
      <w:r>
        <w:rPr>
          <w:rFonts w:ascii="Times New Roman" w:hAnsi="Times New Roman"/>
          <w:sz w:val="20"/>
        </w:rPr>
        <w:t>and a USD borrowing tranche totaling $215</w:t>
      </w:r>
      <w:r>
        <w:rPr/>
        <w:t xml:space="preserve"> </w:t>
      </w:r>
      <w:r>
        <w:rPr>
          <w:rFonts w:ascii="Times New Roman" w:hAnsi="Times New Roman"/>
          <w:sz w:val="20"/>
        </w:rPr>
        <w:t>million. The amended Credit Facility also removes the credit spread adjustment on SOFR and SONIA borrowings. All other terms remain substantially the same as the existing Credit Facility.</w:t>
      </w:r>
      <w:r>
        <w:rPr/>
        <w:t> </w:t>
      </w:r>
      <w:r>
        <w:rPr>
          <w:rFonts w:ascii="Times New Roman" w:hAnsi="Times New Roman"/>
          <w:sz w:val="20"/>
        </w:rPr>
        <w:t>The multi-currency tranche of the revolving Credit Facility contains a sublimit</w:t>
      </w:r>
      <w:r>
        <w:rPr/>
        <w:t> </w:t>
      </w:r>
      <w:r>
        <w:rPr>
          <w:rFonts w:ascii="Times New Roman" w:hAnsi="Times New Roman"/>
          <w:sz w:val="20"/>
        </w:rPr>
        <w:t>of up to $250</w:t>
      </w:r>
      <w:r>
        <w:rPr/>
        <w:t> </w:t>
      </w:r>
      <w:r>
        <w:rPr>
          <w:rFonts w:ascii="Times New Roman" w:hAnsi="Times New Roman"/>
          <w:sz w:val="20"/>
        </w:rPr>
        <w:t>million</w:t>
      </w:r>
      <w:r>
        <w:rPr/>
        <w:t> </w:t>
      </w:r>
      <w:r>
        <w:rPr>
          <w:rFonts w:ascii="Times New Roman" w:hAnsi="Times New Roman"/>
          <w:sz w:val="20"/>
        </w:rPr>
        <w:t>for the issuance of letters of credit, a $75</w:t>
      </w:r>
      <w:r>
        <w:rPr/>
        <w:t> </w:t>
      </w:r>
      <w:r>
        <w:rPr>
          <w:rFonts w:ascii="Times New Roman" w:hAnsi="Times New Roman"/>
          <w:sz w:val="20"/>
        </w:rPr>
        <w:t>million</w:t>
      </w:r>
      <w:r>
        <w:rPr/>
        <w:t> </w:t>
      </w:r>
      <w:r>
        <w:rPr>
          <w:rFonts w:ascii="Times New Roman" w:hAnsi="Times New Roman"/>
          <w:sz w:val="20"/>
        </w:rPr>
        <w:t>sublimit</w:t>
      </w:r>
      <w:r>
        <w:rPr/>
        <w:t> </w:t>
      </w:r>
      <w:r>
        <w:rPr>
          <w:rFonts w:ascii="Times New Roman" w:hAnsi="Times New Roman"/>
          <w:sz w:val="20"/>
        </w:rPr>
        <w:t>for U.S. dollar</w:t>
      </w:r>
      <w:r>
        <w:rPr/>
        <w:t> </w:t>
      </w:r>
      <w:r>
        <w:rPr>
          <w:rFonts w:ascii="Times New Roman" w:hAnsi="Times New Roman"/>
          <w:sz w:val="20"/>
        </w:rPr>
        <w:t>swingline</w:t>
      </w:r>
      <w:r>
        <w:rPr/>
        <w:t> </w:t>
      </w:r>
      <w:r>
        <w:rPr>
          <w:rFonts w:ascii="Times New Roman" w:hAnsi="Times New Roman"/>
          <w:sz w:val="20"/>
        </w:rPr>
        <w:t>loans and a $75</w:t>
      </w:r>
      <w:r>
        <w:rPr/>
        <w:t> </w:t>
      </w:r>
      <w:r>
        <w:rPr>
          <w:rFonts w:ascii="Times New Roman" w:hAnsi="Times New Roman"/>
          <w:sz w:val="20"/>
        </w:rPr>
        <w:t>million sublimit for</w:t>
      </w:r>
      <w:r>
        <w:rPr/>
        <w:t> </w:t>
      </w:r>
      <w:r>
        <w:rPr>
          <w:rFonts w:ascii="Times New Roman" w:hAnsi="Times New Roman"/>
          <w:sz w:val="20"/>
        </w:rPr>
        <w:t>swingline</w:t>
      </w:r>
      <w:r>
        <w:rPr/>
        <w:t> </w:t>
      </w:r>
      <w:r>
        <w:rPr>
          <w:rFonts w:ascii="Times New Roman" w:hAnsi="Times New Roman"/>
          <w:sz w:val="20"/>
        </w:rPr>
        <w:t>loans in euros or British pounds sterling.</w:t>
      </w:r>
      <w:r>
        <w:rPr/>
        <w:t> </w:t>
      </w:r>
      <w:r>
        <w:rPr>
          <w:rFonts w:ascii="Times New Roman" w:hAnsi="Times New Roman"/>
          <w:sz w:val="20"/>
        </w:rPr>
        <w:t>The multi-currency tranche of the</w:t>
      </w:r>
      <w:r>
        <w:rPr/>
        <w:t> </w:t>
      </w:r>
      <w:r>
        <w:rPr>
          <w:rFonts w:ascii="Times New Roman" w:hAnsi="Times New Roman"/>
          <w:sz w:val="20"/>
        </w:rPr>
        <w:t>Credit Facility allows for borrowings in British pounds sterling, euro and U.S. dollars. Subject to certain conditions, the Company has the option to increase the Credit Facility by up to an additional $500</w:t>
      </w:r>
      <w:r>
        <w:rPr/>
        <w:t> </w:t>
      </w:r>
      <w:r>
        <w:rPr>
          <w:rFonts w:ascii="Times New Roman" w:hAnsi="Times New Roman"/>
          <w:sz w:val="20"/>
        </w:rPr>
        <w:t xml:space="preserve">million by requesting additional commitments from existing or new lenders.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Borrowings under the Revolving Credit Facility (other than swing line loans) bear interest on a margin over a secured financing rate or the base rate, as selected by the Company, which varies from 0.875% to 1.375%, in each case based on the Company’s current credit rating.</w:t>
      </w:r>
      <w:r>
        <w:rPr/>
        <w:t> </w:t>
      </w:r>
      <w:r>
        <w:rPr>
          <w:rFonts w:ascii="Times New Roman" w:hAnsi="Times New Roman"/>
          <w:sz w:val="20"/>
        </w:rPr>
        <w:t>The applicable margin for borrowings under the credit facility, based on the Company’s current credit rating is 1.075%.</w:t>
      </w:r>
      <w:r>
        <w:rPr/>
        <w:t> </w:t>
      </w:r>
      <w:r>
        <w:rPr>
          <w:rFonts w:ascii="Times New Roman" w:hAnsi="Times New Roman"/>
          <w:sz w:val="20"/>
        </w:rPr>
        <w:t>In addition, the Company pays a facility fee on the total commitments made under the Revolving Credit Facility, which varies from 0.125% to 0.250%. The current facility fee is 0.175%.</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agreement contains customary affirmative and negative covenants, events of default and financial covenants, including (all as defined in the Credit Facility):</w:t>
      </w:r>
      <w:r>
        <w:rPr/>
        <w:t> </w:t>
      </w:r>
      <w:r>
        <w:rPr>
          <w:rFonts w:ascii="Times New Roman" w:hAnsi="Times New Roman"/>
          <w:sz w:val="20"/>
        </w:rPr>
        <w:t>(i)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w:t>
      </w:r>
      <w:r>
        <w:rPr/>
        <w:t xml:space="preserve"> </w:t>
      </w:r>
      <w:r>
        <w:rPr>
          <w:rFonts w:ascii="Times New Roman" w:hAnsi="Times New Roman"/>
          <w:sz w:val="20"/>
        </w:rPr>
        <w:t>The Company was in compliance with all debt covenants as of December 31, 2025.</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weighted-average interest rate of the Company's borrowings under the Credit Facility from</w:t>
      </w:r>
      <w:r>
        <w:rPr/>
        <w:t> </w:t>
      </w:r>
      <w:r>
        <w:rPr>
          <w:rFonts w:ascii="Times New Roman" w:hAnsi="Times New Roman"/>
          <w:sz w:val="20"/>
        </w:rPr>
        <w:t>January 1, 2025 to December 31, 2025</w:t>
      </w:r>
      <w:r>
        <w:rPr/>
        <w:t xml:space="preserve"> </w:t>
      </w:r>
      <w:r>
        <w:rPr>
          <w:rFonts w:ascii="Times New Roman" w:hAnsi="Times New Roman"/>
          <w:sz w:val="20"/>
        </w:rPr>
        <w:t>was</w:t>
      </w:r>
      <w:r>
        <w:rPr/>
        <w:t> </w:t>
      </w:r>
      <w:r>
        <w:rPr>
          <w:rFonts w:ascii="Times New Roman" w:hAnsi="Times New Roman"/>
          <w:sz w:val="20"/>
        </w:rPr>
        <w:t>5.44%.</w:t>
      </w:r>
    </w:p>
    <w:p>
      <w:pPr>
        <w:pStyle w:val="TextBody"/>
        <w:bidi w:val="0"/>
        <w:spacing w:lineRule="atLeast" w:line="240" w:before="200" w:after="200"/>
        <w:jc w:val="both"/>
        <w:rPr/>
      </w:pPr>
      <w:r>
        <w:rPr>
          <w:rFonts w:ascii="Times New Roman" w:hAnsi="Times New Roman"/>
          <w:sz w:val="20"/>
        </w:rPr>
        <w:t>As of December 31, 2025</w:t>
      </w:r>
      <w:r>
        <w:rPr/>
        <w:t xml:space="preserve"> </w:t>
      </w:r>
      <w:r>
        <w:rPr>
          <w:rFonts w:ascii="Times New Roman" w:hAnsi="Times New Roman"/>
          <w:sz w:val="20"/>
        </w:rPr>
        <w:t>and 2024, the Company had stand-by letters of credit/bank guarantees outstanding under the Credit Facility of $94.9</w:t>
      </w:r>
      <w:r>
        <w:rPr/>
        <w:t xml:space="preserve"> </w:t>
      </w:r>
      <w:r>
        <w:rPr>
          <w:rFonts w:ascii="Times New Roman" w:hAnsi="Times New Roman"/>
          <w:sz w:val="20"/>
        </w:rPr>
        <w:t>million and $44.5</w:t>
      </w:r>
      <w:r>
        <w:rPr/>
        <w:t xml:space="preserve"> </w:t>
      </w:r>
      <w:r>
        <w:rPr>
          <w:rFonts w:ascii="Times New Roman" w:hAnsi="Times New Roman"/>
          <w:sz w:val="20"/>
        </w:rPr>
        <w:t>million, respectively. Stand-by letters of credit/bank guarantees reduce the Company's borrowing capacity under the Credit Facility and are generally used to secure trade credit and performance obligations. As of December 31, 2025</w:t>
      </w:r>
      <w:r>
        <w:rPr/>
        <w:t xml:space="preserve"> </w:t>
      </w:r>
      <w:r>
        <w:rPr>
          <w:rFonts w:ascii="Times New Roman" w:hAnsi="Times New Roman"/>
          <w:sz w:val="20"/>
        </w:rPr>
        <w:t>and 2024, the stand-by letters of credit interest charges were each</w:t>
      </w:r>
      <w:r>
        <w:rPr/>
        <w:t> </w:t>
      </w:r>
      <w:r>
        <w:rPr>
          <w:rFonts w:ascii="Times New Roman" w:hAnsi="Times New Roman"/>
          <w:sz w:val="20"/>
        </w:rPr>
        <w:t>1.075% per annum. Available borrowing capacity under the Credit Facility as of December 31, 2025</w:t>
      </w:r>
      <w:r>
        <w:rPr/>
        <w:t xml:space="preserve"> </w:t>
      </w:r>
      <w:r>
        <w:rPr>
          <w:rFonts w:ascii="Times New Roman" w:hAnsi="Times New Roman"/>
          <w:sz w:val="20"/>
        </w:rPr>
        <w:t>was $1,780.5</w:t>
      </w:r>
      <w:r>
        <w:rPr/>
        <w:t xml:space="preserve"> </w:t>
      </w:r>
      <w:r>
        <w:rPr>
          <w:rFonts w:ascii="Times New Roman" w:hAnsi="Times New Roman"/>
          <w:sz w:val="20"/>
        </w:rPr>
        <w:t>million.</w:t>
      </w:r>
    </w:p>
    <w:p>
      <w:pPr>
        <w:pStyle w:val="TextBody"/>
        <w:bidi w:val="0"/>
        <w:spacing w:before="0" w:after="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Uncommitted Credit Agreements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w:t>
      </w:r>
      <w:r>
        <w:rPr/>
        <w:t> </w:t>
      </w:r>
      <w:r>
        <w:rPr>
          <w:rFonts w:ascii="Times New Roman" w:hAnsi="Times New Roman"/>
          <w:sz w:val="20"/>
        </w:rPr>
        <w:t>20,</w:t>
      </w:r>
      <w:r>
        <w:rPr/>
        <w:t> </w:t>
      </w:r>
      <w:r>
        <w:rPr>
          <w:rFonts w:ascii="Times New Roman" w:hAnsi="Times New Roman"/>
          <w:sz w:val="20"/>
        </w:rPr>
        <w:t>2025, the Company entered into an Uncommitted Loan Agreement</w:t>
      </w:r>
      <w:r>
        <w:rPr/>
        <w:t> </w:t>
      </w:r>
      <w:r>
        <w:rPr>
          <w:rFonts w:ascii="Times New Roman" w:hAnsi="Times New Roman"/>
          <w:sz w:val="20"/>
        </w:rPr>
        <w:t>for the sole purpose of providing vault cash for</w:t>
      </w:r>
      <w:r>
        <w:rPr/>
        <w:t> </w:t>
      </w:r>
      <w:r>
        <w:rPr>
          <w:rFonts w:ascii="Times New Roman" w:hAnsi="Times New Roman"/>
          <w:sz w:val="20"/>
        </w:rPr>
        <w:t>ATMs,</w:t>
      </w:r>
      <w:r>
        <w:rPr/>
        <w:t> </w:t>
      </w:r>
      <w:r>
        <w:rPr>
          <w:rFonts w:ascii="Times New Roman" w:hAnsi="Times New Roman"/>
          <w:sz w:val="20"/>
        </w:rPr>
        <w:t>that expires no later than</w:t>
      </w:r>
      <w:r>
        <w:rPr/>
        <w:t> </w:t>
      </w:r>
      <w:r>
        <w:rPr>
          <w:rFonts w:ascii="Times New Roman" w:hAnsi="Times New Roman"/>
          <w:sz w:val="20"/>
        </w:rPr>
        <w:t>June 19, 2026.</w:t>
      </w:r>
      <w:r>
        <w:rPr/>
        <w:t>  </w:t>
      </w:r>
      <w:r>
        <w:rPr>
          <w:rFonts w:ascii="Times New Roman" w:hAnsi="Times New Roman"/>
          <w:sz w:val="20"/>
        </w:rPr>
        <w:t>This Uncommitted Line of Credit had a credit limit of $400</w:t>
      </w:r>
      <w:r>
        <w:rPr/>
        <w:t xml:space="preserve"> </w:t>
      </w:r>
      <w:r>
        <w:rPr>
          <w:rFonts w:ascii="Times New Roman" w:hAnsi="Times New Roman"/>
          <w:sz w:val="20"/>
        </w:rPr>
        <w:t>million prior to September 30, 2025 and $250</w:t>
      </w:r>
      <w:r>
        <w:rPr/>
        <w:t> </w:t>
      </w:r>
      <w:r>
        <w:rPr>
          <w:rFonts w:ascii="Times New Roman" w:hAnsi="Times New Roman"/>
          <w:sz w:val="20"/>
        </w:rPr>
        <w:t>million thereafter.The loan is a Prime Rate Loan, a</w:t>
      </w:r>
      <w:r>
        <w:rPr/>
        <w:t> </w:t>
      </w:r>
      <w:r>
        <w:rPr>
          <w:rFonts w:ascii="Times New Roman" w:hAnsi="Times New Roman"/>
          <w:sz w:val="20"/>
        </w:rPr>
        <w:t>Daily Term SOFR Rate Loan</w:t>
      </w:r>
      <w:r>
        <w:rPr/>
        <w:t> </w:t>
      </w:r>
      <w:r>
        <w:rPr>
          <w:rFonts w:ascii="Times New Roman" w:hAnsi="Times New Roman"/>
          <w:sz w:val="20"/>
        </w:rPr>
        <w:t>plus</w:t>
      </w:r>
      <w:r>
        <w:rPr/>
        <w:t> </w:t>
      </w:r>
      <w:r>
        <w:rPr>
          <w:rFonts w:ascii="Times New Roman" w:hAnsi="Times New Roman"/>
          <w:sz w:val="20"/>
        </w:rPr>
        <w:t>1.00% or shall bear interest at the rate agreed to by the Bank and the Company at the time such loan is made. The weighted-average interest rate from loan inception date to</w:t>
      </w:r>
      <w:r>
        <w:rPr/>
        <w:t> </w:t>
      </w:r>
      <w:r>
        <w:rPr>
          <w:rFonts w:ascii="Times New Roman" w:hAnsi="Times New Roman"/>
          <w:sz w:val="20"/>
        </w:rPr>
        <w:t>December</w:t>
      </w:r>
      <w:r>
        <w:rPr/>
        <w:t> </w:t>
      </w:r>
      <w:r>
        <w:rPr>
          <w:rFonts w:ascii="Times New Roman" w:hAnsi="Times New Roman"/>
          <w:sz w:val="20"/>
        </w:rPr>
        <w:t>31,</w:t>
      </w:r>
      <w:r>
        <w:rPr/>
        <w:t> </w:t>
      </w:r>
      <w:r>
        <w:rPr>
          <w:rFonts w:ascii="Times New Roman" w:hAnsi="Times New Roman"/>
          <w:sz w:val="20"/>
        </w:rPr>
        <w:t>2025, was</w:t>
      </w:r>
      <w:r>
        <w:rPr/>
        <w:t> </w:t>
      </w:r>
      <w:r>
        <w:rPr>
          <w:rFonts w:ascii="Times New Roman" w:hAnsi="Times New Roman"/>
          <w:sz w:val="20"/>
        </w:rPr>
        <w:t>5.53%.</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 21, 2024, the Company rolled its existing $150</w:t>
      </w:r>
      <w:r>
        <w:rPr/>
        <w:t> </w:t>
      </w:r>
      <w:r>
        <w:rPr>
          <w:rFonts w:ascii="Times New Roman" w:hAnsi="Times New Roman"/>
          <w:sz w:val="20"/>
        </w:rPr>
        <w:t>million Uncommitted Loan Agreement into a new Uncommitted Loan Agreement with a $400</w:t>
      </w:r>
      <w:r>
        <w:rPr/>
        <w:t> </w:t>
      </w:r>
      <w:r>
        <w:rPr>
          <w:rFonts w:ascii="Times New Roman" w:hAnsi="Times New Roman"/>
          <w:sz w:val="20"/>
        </w:rPr>
        <w:t>million credit limit through September 30, 2024, and a credit limit of $250</w:t>
      </w:r>
      <w:r>
        <w:rPr/>
        <w:t> </w:t>
      </w:r>
      <w:r>
        <w:rPr>
          <w:rFonts w:ascii="Times New Roman" w:hAnsi="Times New Roman"/>
          <w:sz w:val="20"/>
        </w:rPr>
        <w:t>million thereafter for the sole purpose of providing vault cash for ATMs.</w:t>
      </w:r>
      <w:r>
        <w:rPr/>
        <w:t> </w:t>
      </w:r>
      <w:r>
        <w:rPr>
          <w:rFonts w:ascii="Times New Roman" w:hAnsi="Times New Roman"/>
          <w:sz w:val="20"/>
        </w:rPr>
        <w:t>The loan had an outstanding balance of $250</w:t>
      </w:r>
      <w:r>
        <w:rPr/>
        <w:t> </w:t>
      </w:r>
      <w:r>
        <w:rPr>
          <w:rFonts w:ascii="Times New Roman" w:hAnsi="Times New Roman"/>
          <w:sz w:val="20"/>
        </w:rPr>
        <w:t>million at</w:t>
      </w:r>
      <w:r>
        <w:rPr/>
        <w:t> </w:t>
      </w:r>
      <w:r>
        <w:rPr>
          <w:rFonts w:ascii="Times New Roman" w:hAnsi="Times New Roman"/>
          <w:sz w:val="20"/>
        </w:rPr>
        <w:t>December 31,</w:t>
      </w:r>
      <w:r>
        <w:rPr/>
        <w:t> </w:t>
      </w:r>
      <w:r>
        <w:rPr>
          <w:rFonts w:ascii="Times New Roman" w:hAnsi="Times New Roman"/>
          <w:sz w:val="20"/>
        </w:rPr>
        <w:t>2024.</w:t>
      </w:r>
      <w:r>
        <w:rPr/>
        <w:t> </w:t>
      </w:r>
      <w:r>
        <w:rPr>
          <w:rFonts w:ascii="Times New Roman" w:hAnsi="Times New Roman"/>
          <w:sz w:val="20"/>
        </w:rPr>
        <w:t>The loan is a Prime Rate Loan, a</w:t>
      </w:r>
      <w:r>
        <w:rPr/>
        <w:t> </w:t>
      </w:r>
      <w:r>
        <w:rPr>
          <w:rFonts w:ascii="Times New Roman" w:hAnsi="Times New Roman"/>
          <w:sz w:val="20"/>
        </w:rPr>
        <w:t>Daily SOFR Rate Loan</w:t>
      </w:r>
      <w:r>
        <w:rPr/>
        <w:t> </w:t>
      </w:r>
      <w:r>
        <w:rPr>
          <w:rFonts w:ascii="Times New Roman" w:hAnsi="Times New Roman"/>
          <w:sz w:val="20"/>
        </w:rPr>
        <w:t>plus</w:t>
      </w:r>
      <w:r>
        <w:rPr/>
        <w:t> </w:t>
      </w:r>
      <w:r>
        <w:rPr>
          <w:rFonts w:ascii="Times New Roman" w:hAnsi="Times New Roman"/>
          <w:sz w:val="20"/>
        </w:rPr>
        <w:t>1.05% or shall bear interest at the rate agreed to by the Bank and the Company at the time such Loan is made. The weighted-average interest rate from loan inception date to</w:t>
      </w:r>
      <w:r>
        <w:rPr/>
        <w:t> </w:t>
      </w:r>
      <w:r>
        <w:rPr>
          <w:rFonts w:ascii="Times New Roman" w:hAnsi="Times New Roman"/>
          <w:sz w:val="20"/>
        </w:rPr>
        <w:t>December</w:t>
      </w:r>
      <w:r>
        <w:rPr/>
        <w:t> </w:t>
      </w:r>
      <w:r>
        <w:rPr>
          <w:rFonts w:ascii="Times New Roman" w:hAnsi="Times New Roman"/>
          <w:sz w:val="20"/>
        </w:rPr>
        <w:t>31, 2024, was</w:t>
      </w:r>
      <w:r>
        <w:rPr/>
        <w:t> </w:t>
      </w:r>
      <w:r>
        <w:rPr>
          <w:rFonts w:ascii="Times New Roman" w:hAnsi="Times New Roman"/>
          <w:sz w:val="20"/>
        </w:rPr>
        <w:t>6.07%.</w:t>
      </w:r>
      <w:r>
        <w:rPr/>
        <w:t> </w:t>
      </w:r>
      <w:r>
        <w:rPr>
          <w:rFonts w:ascii="Times New Roman" w:hAnsi="Times New Roman"/>
          <w:sz w:val="20"/>
        </w:rPr>
        <w:t>The agreement expired on June 20, 2025. The</w:t>
      </w:r>
      <w:r>
        <w:rPr/>
        <w:t> </w:t>
      </w:r>
      <w:r>
        <w:rPr>
          <w:rFonts w:ascii="Times New Roman" w:hAnsi="Times New Roman"/>
          <w:sz w:val="20"/>
        </w:rPr>
        <w:t>loan was fully repaid and there was</w:t>
      </w:r>
      <w:r>
        <w:rPr/>
        <w:t> </w:t>
      </w:r>
      <w:r>
        <w:rPr>
          <w:rFonts w:ascii="Times New Roman" w:hAnsi="Times New Roman"/>
          <w:sz w:val="20"/>
        </w:rPr>
        <w:t>no</w:t>
      </w:r>
      <w:r>
        <w:rPr/>
        <w:t> </w:t>
      </w:r>
      <w:r>
        <w:rPr>
          <w:rFonts w:ascii="Times New Roman" w:hAnsi="Times New Roman"/>
          <w:sz w:val="20"/>
        </w:rPr>
        <w:t>balance at December 31, 2025.</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June 27, 2024, the Company entered into an Uncommitted Loan Agreement for $300</w:t>
      </w:r>
      <w:r>
        <w:rPr/>
        <w:t> </w:t>
      </w:r>
      <w:r>
        <w:rPr>
          <w:rFonts w:ascii="Times New Roman" w:hAnsi="Times New Roman"/>
          <w:sz w:val="20"/>
        </w:rPr>
        <w:t>million,</w:t>
      </w:r>
      <w:r>
        <w:rPr/>
        <w:t> </w:t>
      </w:r>
      <w:r>
        <w:rPr>
          <w:rFonts w:ascii="Times New Roman" w:hAnsi="Times New Roman"/>
          <w:sz w:val="20"/>
        </w:rPr>
        <w:t>for the sole purpose of providing vault cash for</w:t>
      </w:r>
      <w:r>
        <w:rPr/>
        <w:t> </w:t>
      </w:r>
      <w:r>
        <w:rPr>
          <w:rFonts w:ascii="Times New Roman" w:hAnsi="Times New Roman"/>
          <w:sz w:val="20"/>
        </w:rPr>
        <w:t>ATMs,</w:t>
      </w:r>
      <w:r>
        <w:rPr/>
        <w:t> </w:t>
      </w:r>
      <w:r>
        <w:rPr>
          <w:rFonts w:ascii="Times New Roman" w:hAnsi="Times New Roman"/>
          <w:sz w:val="20"/>
        </w:rPr>
        <w:t>that expired on</w:t>
      </w:r>
      <w:r>
        <w:rPr/>
        <w:t> </w:t>
      </w:r>
      <w:r>
        <w:rPr>
          <w:rFonts w:ascii="Times New Roman" w:hAnsi="Times New Roman"/>
          <w:sz w:val="20"/>
        </w:rPr>
        <w:t>November 30, 2024.</w:t>
      </w:r>
      <w:r>
        <w:rPr/>
        <w:t> </w:t>
      </w:r>
      <w:r>
        <w:rPr>
          <w:rFonts w:ascii="Times New Roman" w:hAnsi="Times New Roman"/>
          <w:sz w:val="20"/>
        </w:rPr>
        <w:t>The</w:t>
      </w:r>
      <w:r>
        <w:rPr/>
        <w:t> </w:t>
      </w:r>
      <w:r>
        <w:rPr>
          <w:rFonts w:ascii="Times New Roman" w:hAnsi="Times New Roman"/>
          <w:sz w:val="20"/>
        </w:rPr>
        <w:t>loan was fully repaid and there was</w:t>
      </w:r>
      <w:r>
        <w:rPr/>
        <w:t> </w:t>
      </w:r>
      <w:r>
        <w:rPr>
          <w:rFonts w:ascii="Times New Roman" w:hAnsi="Times New Roman"/>
          <w:sz w:val="20"/>
        </w:rPr>
        <w:t>no</w:t>
      </w:r>
      <w:r>
        <w:rPr/>
        <w:t> </w:t>
      </w:r>
      <w:r>
        <w:rPr>
          <w:rFonts w:ascii="Times New Roman" w:hAnsi="Times New Roman"/>
          <w:sz w:val="20"/>
        </w:rPr>
        <w:t>balance at December 31, 2024.</w:t>
      </w:r>
      <w:r>
        <w:rPr/>
        <w:t> </w:t>
      </w:r>
      <w:r>
        <w:rPr>
          <w:rFonts w:ascii="Times New Roman" w:hAnsi="Times New Roman"/>
          <w:sz w:val="20"/>
        </w:rPr>
        <w:t>The loan was a Prime Rate Loan, a</w:t>
      </w:r>
      <w:r>
        <w:rPr/>
        <w:t> </w:t>
      </w:r>
      <w:r>
        <w:rPr>
          <w:rFonts w:ascii="Times New Roman" w:hAnsi="Times New Roman"/>
          <w:sz w:val="20"/>
        </w:rPr>
        <w:t>Daily Simple SOFR Rate Loan</w:t>
      </w:r>
      <w:r>
        <w:rPr/>
        <w:t> </w:t>
      </w:r>
      <w:r>
        <w:rPr>
          <w:rFonts w:ascii="Times New Roman" w:hAnsi="Times New Roman"/>
          <w:sz w:val="20"/>
        </w:rPr>
        <w:t>plus</w:t>
      </w:r>
      <w:r>
        <w:rPr/>
        <w:t> </w:t>
      </w:r>
      <w:r>
        <w:rPr>
          <w:rFonts w:ascii="Times New Roman" w:hAnsi="Times New Roman"/>
          <w:sz w:val="20"/>
        </w:rPr>
        <w:t>1.125% or bore interest at the rate agreed to by the Bank and the Company at the time such Loan was made.</w:t>
      </w:r>
      <w:r>
        <w:rPr/>
        <w:t> </w:t>
      </w:r>
      <w:r>
        <w:rPr>
          <w:rFonts w:ascii="Times New Roman" w:hAnsi="Times New Roman"/>
          <w:sz w:val="20"/>
        </w:rPr>
        <w:t>The weighted-average interest rate from the loan inception date to</w:t>
      </w:r>
      <w:r>
        <w:rPr/>
        <w:t> </w:t>
      </w:r>
      <w:r>
        <w:rPr>
          <w:rFonts w:ascii="Times New Roman" w:hAnsi="Times New Roman"/>
          <w:sz w:val="20"/>
        </w:rPr>
        <w:t>November 30,</w:t>
      </w:r>
      <w:r>
        <w:rPr/>
        <w:t> </w:t>
      </w:r>
      <w:r>
        <w:rPr>
          <w:rFonts w:ascii="Times New Roman" w:hAnsi="Times New Roman"/>
          <w:sz w:val="20"/>
        </w:rPr>
        <w:t>2024</w:t>
      </w:r>
      <w:r>
        <w:rPr/>
        <w:t> </w:t>
      </w:r>
      <w:r>
        <w:rPr>
          <w:rFonts w:ascii="Times New Roman" w:hAnsi="Times New Roman"/>
          <w:sz w:val="20"/>
        </w:rPr>
        <w:t>was</w:t>
      </w:r>
      <w:r>
        <w:rPr/>
        <w:t> </w:t>
      </w:r>
      <w:r>
        <w:rPr>
          <w:rFonts w:ascii="Times New Roman" w:hAnsi="Times New Roman"/>
          <w:sz w:val="20"/>
        </w:rPr>
        <w:t>6.24%.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2030 Convertible Notes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August 15, 2025, the Company completed the sale of</w:t>
      </w:r>
      <w:r>
        <w:rPr/>
        <w:t> </w:t>
      </w:r>
      <w:r>
        <w:rPr>
          <w:rFonts w:ascii="Times New Roman" w:hAnsi="Times New Roman"/>
          <w:sz w:val="20"/>
        </w:rPr>
        <w:t>$1,000.0</w:t>
      </w:r>
      <w:r>
        <w:rPr/>
        <w:t> </w:t>
      </w:r>
      <w:r>
        <w:rPr>
          <w:rFonts w:ascii="Times New Roman" w:hAnsi="Times New Roman"/>
          <w:sz w:val="20"/>
        </w:rPr>
        <w:t>million</w:t>
      </w:r>
      <w:r>
        <w:rPr/>
        <w:t> </w:t>
      </w:r>
      <w:r>
        <w:rPr>
          <w:rFonts w:ascii="Times New Roman" w:hAnsi="Times New Roman"/>
          <w:sz w:val="20"/>
        </w:rPr>
        <w:t>of Convertible Senior Notes due</w:t>
      </w:r>
      <w:r>
        <w:rPr/>
        <w:t> </w:t>
      </w:r>
      <w:r>
        <w:rPr>
          <w:rFonts w:ascii="Times New Roman" w:hAnsi="Times New Roman"/>
          <w:sz w:val="20"/>
        </w:rPr>
        <w:t>October 2030. ("2030 Convertible Notes"). The 2030 Convertible Notes mature in October 2030 unless redeemed or converted prior to such date and are convertible into shares of Euronet common stock at a conversion price of approximately</w:t>
      </w:r>
      <w:r>
        <w:rPr/>
        <w:t> </w:t>
      </w:r>
      <w:r>
        <w:rPr>
          <w:rFonts w:ascii="Times New Roman" w:hAnsi="Times New Roman"/>
          <w:sz w:val="20"/>
        </w:rPr>
        <w:t>$127.04</w:t>
      </w:r>
      <w:r>
        <w:rPr/>
        <w:t> </w:t>
      </w:r>
      <w:r>
        <w:rPr>
          <w:rFonts w:ascii="Times New Roman" w:hAnsi="Times New Roman"/>
          <w:sz w:val="20"/>
        </w:rPr>
        <w:t>per share if certain conditions are met (relating to the closing price of Euronet common stock exceeding certain thresholds for specified periods).</w:t>
      </w:r>
      <w:r>
        <w:rPr/>
        <w:t>  </w:t>
      </w:r>
      <w:r>
        <w:rPr>
          <w:rFonts w:ascii="Times New Roman" w:hAnsi="Times New Roman"/>
          <w:sz w:val="20"/>
        </w:rPr>
        <w:t>The 2030 Convertible Notes will bear interest at a rate of</w:t>
      </w:r>
      <w:r>
        <w:rPr/>
        <w:t> </w:t>
      </w:r>
      <w:r>
        <w:rPr>
          <w:rFonts w:ascii="Times New Roman" w:hAnsi="Times New Roman"/>
          <w:sz w:val="20"/>
        </w:rPr>
        <w:t>0.625% per year, payable</w:t>
      </w:r>
      <w:r>
        <w:rPr/>
        <w:t> </w:t>
      </w:r>
      <w:r>
        <w:rPr>
          <w:rFonts w:ascii="Times New Roman" w:hAnsi="Times New Roman"/>
          <w:sz w:val="20"/>
        </w:rPr>
        <w:t>semi-annually</w:t>
      </w:r>
      <w:r>
        <w:rPr/>
        <w:t> </w:t>
      </w:r>
      <w:r>
        <w:rPr>
          <w:rFonts w:ascii="Times New Roman" w:hAnsi="Times New Roman"/>
          <w:sz w:val="20"/>
        </w:rPr>
        <w:t>in arrears on</w:t>
      </w:r>
      <w:r>
        <w:rPr/>
        <w:t> </w:t>
      </w:r>
      <w:r>
        <w:rPr>
          <w:rFonts w:ascii="Times New Roman" w:hAnsi="Times New Roman"/>
          <w:sz w:val="20"/>
        </w:rPr>
        <w:t>April 1</w:t>
      </w:r>
      <w:r>
        <w:rPr/>
        <w:t> </w:t>
      </w:r>
      <w:r>
        <w:rPr>
          <w:rFonts w:ascii="Times New Roman" w:hAnsi="Times New Roman"/>
          <w:sz w:val="20"/>
        </w:rPr>
        <w:t>and</w:t>
      </w:r>
      <w:r>
        <w:rPr/>
        <w:t> </w:t>
      </w:r>
      <w:r>
        <w:rPr>
          <w:rFonts w:ascii="Times New Roman" w:hAnsi="Times New Roman"/>
          <w:sz w:val="20"/>
        </w:rPr>
        <w:t>October 1</w:t>
      </w:r>
      <w:r>
        <w:rPr/>
        <w:t> </w:t>
      </w:r>
      <w:r>
        <w:rPr>
          <w:rFonts w:ascii="Times New Roman" w:hAnsi="Times New Roman"/>
          <w:sz w:val="20"/>
        </w:rPr>
        <w:t>of each year, beginning on</w:t>
      </w:r>
      <w:r>
        <w:rPr/>
        <w:t> </w:t>
      </w:r>
      <w:r>
        <w:rPr>
          <w:rFonts w:ascii="Times New Roman" w:hAnsi="Times New Roman"/>
          <w:sz w:val="20"/>
        </w:rPr>
        <w:t>April 1, 2026. In connection with the issuance of the 2030 Convertible Notes, we incurred $23.5</w:t>
      </w:r>
      <w:r>
        <w:rPr/>
        <w:t> </w:t>
      </w:r>
      <w:r>
        <w:rPr>
          <w:rFonts w:ascii="Times New Roman" w:hAnsi="Times New Roman"/>
          <w:sz w:val="20"/>
        </w:rPr>
        <w:t>million in debt issuance costs, which will be amortized</w:t>
      </w:r>
      <w:r>
        <w:rPr/>
        <w:t> </w:t>
      </w:r>
      <w:r>
        <w:rPr>
          <w:rFonts w:ascii="Times New Roman" w:hAnsi="Times New Roman"/>
          <w:sz w:val="20"/>
        </w:rPr>
        <w:t>through October 1, 2030. The 2030 Convertible Notes are convertible at the option of the holders at any time prior to the close of business on the business day immediately preceding</w:t>
      </w:r>
      <w:r>
        <w:rPr/>
        <w:t> </w:t>
      </w:r>
      <w:r>
        <w:rPr>
          <w:rFonts w:ascii="Times New Roman" w:hAnsi="Times New Roman"/>
          <w:sz w:val="20"/>
        </w:rPr>
        <w:t>April 1, 2030</w:t>
      </w:r>
      <w:r>
        <w:rPr/>
        <w:t> </w:t>
      </w:r>
      <w:r>
        <w:rPr>
          <w:rFonts w:ascii="Times New Roman" w:hAnsi="Times New Roman"/>
          <w:sz w:val="20"/>
        </w:rPr>
        <w:t>if certain conditions are met.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Capped Call Transactions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w:t>
      </w:r>
      <w:r>
        <w:rPr/>
        <w:t> </w:t>
      </w:r>
      <w:r>
        <w:rPr>
          <w:rFonts w:ascii="Times New Roman" w:hAnsi="Times New Roman"/>
          <w:sz w:val="20"/>
        </w:rPr>
        <w:t>August 2025, in connection with the issuance of the 2030 Convertible Notes, the Company entered into privately negotiated capped call transactions (the “Capped Call Transactions”) with</w:t>
      </w:r>
      <w:r>
        <w:rPr/>
        <w:t> </w:t>
      </w:r>
      <w:r>
        <w:rPr>
          <w:rFonts w:ascii="Times New Roman" w:hAnsi="Times New Roman"/>
          <w:sz w:val="20"/>
        </w:rPr>
        <w:t>certain</w:t>
      </w:r>
      <w:r>
        <w:rPr/>
        <w:t> </w:t>
      </w:r>
      <w:r>
        <w:rPr>
          <w:rFonts w:ascii="Times New Roman" w:hAnsi="Times New Roman"/>
          <w:sz w:val="20"/>
        </w:rPr>
        <w:t>of the initial purchasers of the 2030 Convertible Notes</w:t>
      </w:r>
      <w:r>
        <w:rPr/>
        <w:t> </w:t>
      </w:r>
      <w:r>
        <w:rPr>
          <w:rFonts w:ascii="Times New Roman" w:hAnsi="Times New Roman"/>
          <w:sz w:val="20"/>
        </w:rPr>
        <w:t>or affiliates thereof</w:t>
      </w:r>
      <w:r>
        <w:rPr/>
        <w:t> </w:t>
      </w:r>
      <w:r>
        <w:rPr>
          <w:rFonts w:ascii="Times New Roman" w:hAnsi="Times New Roman"/>
          <w:sz w:val="20"/>
        </w:rPr>
        <w:t>and other financial institutions</w:t>
      </w:r>
      <w:r>
        <w:rPr/>
        <w:t> </w:t>
      </w:r>
      <w:r>
        <w:rPr>
          <w:rFonts w:ascii="Times New Roman" w:hAnsi="Times New Roman"/>
          <w:sz w:val="20"/>
        </w:rPr>
        <w:t>(the “Option Counterparties”).</w:t>
      </w:r>
      <w:r>
        <w:rPr/>
        <w:t>  </w:t>
      </w:r>
      <w:r>
        <w:rPr>
          <w:rFonts w:ascii="Times New Roman" w:hAnsi="Times New Roman"/>
          <w:sz w:val="20"/>
        </w:rPr>
        <w:t>The Capped Call Transactions initially cover, subject to customary anti-dilution adjustments, the number of shares of the Company’s common stock that initially would be issuable upon conversion of the 2030 Convertible Notes.</w:t>
      </w:r>
      <w:r>
        <w:rPr/>
        <w:t> </w:t>
      </w:r>
      <w:r>
        <w:rPr>
          <w:rFonts w:ascii="Times New Roman" w:hAnsi="Times New Roman"/>
          <w:sz w:val="20"/>
        </w:rPr>
        <w:t>The Capped Call Transactions are net purchased call options in Euronet common stock.</w:t>
      </w:r>
      <w:r>
        <w:rPr/>
        <w:t> </w:t>
      </w:r>
      <w:r>
        <w:rPr>
          <w:rFonts w:ascii="Times New Roman" w:hAnsi="Times New Roman"/>
          <w:sz w:val="20"/>
        </w:rPr>
        <w:t>The Capped Call Transactions are separate transactions,</w:t>
      </w:r>
      <w:r>
        <w:rPr/>
        <w:t> </w:t>
      </w:r>
      <w:r>
        <w:rPr>
          <w:rFonts w:ascii="Times New Roman" w:hAnsi="Times New Roman"/>
          <w:sz w:val="20"/>
        </w:rPr>
        <w:t>entered into</w:t>
      </w:r>
      <w:r>
        <w:rPr/>
        <w:t> </w:t>
      </w:r>
      <w:r>
        <w:rPr>
          <w:rFonts w:ascii="Times New Roman" w:hAnsi="Times New Roman"/>
          <w:sz w:val="20"/>
        </w:rPr>
        <w:t>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w:t>
      </w:r>
      <w:r>
        <w:rPr/>
        <w:t> </w:t>
      </w:r>
      <w:r>
        <w:rPr>
          <w:rFonts w:ascii="Times New Roman" w:hAnsi="Times New Roman"/>
          <w:sz w:val="20"/>
        </w:rPr>
        <w:t>The Company has concluded that the Capped Call Transactions meet the scope exceptions for derivative instruments, and as such, the Capped Call Transactions meet the criteria for classification in equity and are included as a reduction to additional paid in capital.</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2049 Convertible Notes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March</w:t>
      </w:r>
      <w:r>
        <w:rPr/>
        <w:t> </w:t>
      </w:r>
      <w:r>
        <w:rPr>
          <w:rFonts w:ascii="Times New Roman" w:hAnsi="Times New Roman"/>
          <w:sz w:val="20"/>
        </w:rPr>
        <w:t>18, 2019, the Company completed the sale of</w:t>
      </w:r>
      <w:r>
        <w:rPr/>
        <w:t> </w:t>
      </w:r>
      <w:r>
        <w:rPr>
          <w:rFonts w:ascii="Times New Roman" w:hAnsi="Times New Roman"/>
          <w:sz w:val="20"/>
        </w:rPr>
        <w:t>$525.0</w:t>
      </w:r>
      <w:r>
        <w:rPr/>
        <w:t> </w:t>
      </w:r>
      <w:r>
        <w:rPr>
          <w:rFonts w:ascii="Times New Roman" w:hAnsi="Times New Roman"/>
          <w:sz w:val="20"/>
        </w:rPr>
        <w:t>million</w:t>
      </w:r>
      <w:r>
        <w:rPr/>
        <w:t> </w:t>
      </w:r>
      <w:r>
        <w:rPr>
          <w:rFonts w:ascii="Times New Roman" w:hAnsi="Times New Roman"/>
          <w:sz w:val="20"/>
        </w:rPr>
        <w:t>of Convertible Senior Notes ("2049 Convertible Notes"). The 2049 Convertible Notes mature in March 2049 unless redeemed or converted prior to such date and are convertible into shares of Euronet common stock at a conversion price of approximately</w:t>
      </w:r>
      <w:r>
        <w:rPr/>
        <w:t> </w:t>
      </w:r>
      <w:r>
        <w:rPr>
          <w:rFonts w:ascii="Times New Roman" w:hAnsi="Times New Roman"/>
          <w:sz w:val="20"/>
        </w:rPr>
        <w:t>$188.73</w:t>
      </w:r>
      <w:r>
        <w:rPr/>
        <w:t> </w:t>
      </w:r>
      <w:r>
        <w:rPr>
          <w:rFonts w:ascii="Times New Roman" w:hAnsi="Times New Roman"/>
          <w:sz w:val="20"/>
        </w:rPr>
        <w:t>per share if certain conditions are met (relating to the closing price of Euronet common stock exceeding certain thresholds for specified periods). Holders of the 2049 Convertible Notes have the option to require the Company to purchase their notes on each of March</w:t>
      </w:r>
      <w:r>
        <w:rPr/>
        <w:t> </w:t>
      </w:r>
      <w:r>
        <w:rPr>
          <w:rFonts w:ascii="Times New Roman" w:hAnsi="Times New Roman"/>
          <w:sz w:val="20"/>
        </w:rPr>
        <w:t>15,</w:t>
      </w:r>
      <w:r>
        <w:rPr/>
        <w:t> </w:t>
      </w:r>
      <w:r>
        <w:rPr>
          <w:rFonts w:ascii="Times New Roman" w:hAnsi="Times New Roman"/>
          <w:sz w:val="20"/>
        </w:rPr>
        <w:t>2025, March</w:t>
      </w:r>
      <w:r>
        <w:rPr/>
        <w:t> </w:t>
      </w:r>
      <w:r>
        <w:rPr>
          <w:rFonts w:ascii="Times New Roman" w:hAnsi="Times New Roman"/>
          <w:sz w:val="20"/>
        </w:rPr>
        <w:t>15,</w:t>
      </w:r>
      <w:r>
        <w:rPr/>
        <w:t> </w:t>
      </w:r>
      <w:r>
        <w:rPr>
          <w:rFonts w:ascii="Times New Roman" w:hAnsi="Times New Roman"/>
          <w:sz w:val="20"/>
        </w:rPr>
        <w:t>2029, March</w:t>
      </w:r>
      <w:r>
        <w:rPr/>
        <w:t> </w:t>
      </w:r>
      <w:r>
        <w:rPr>
          <w:rFonts w:ascii="Times New Roman" w:hAnsi="Times New Roman"/>
          <w:sz w:val="20"/>
        </w:rPr>
        <w:t>15,</w:t>
      </w:r>
      <w:r>
        <w:rPr/>
        <w:t> </w:t>
      </w:r>
      <w:r>
        <w:rPr>
          <w:rFonts w:ascii="Times New Roman" w:hAnsi="Times New Roman"/>
          <w:sz w:val="20"/>
        </w:rPr>
        <w:t>2034, March</w:t>
      </w:r>
      <w:r>
        <w:rPr/>
        <w:t> </w:t>
      </w:r>
      <w:r>
        <w:rPr>
          <w:rFonts w:ascii="Times New Roman" w:hAnsi="Times New Roman"/>
          <w:sz w:val="20"/>
        </w:rPr>
        <w:t>15,</w:t>
      </w:r>
      <w:r>
        <w:rPr/>
        <w:t> </w:t>
      </w:r>
      <w:r>
        <w:rPr>
          <w:rFonts w:ascii="Times New Roman" w:hAnsi="Times New Roman"/>
          <w:sz w:val="20"/>
        </w:rPr>
        <w:t>2039</w:t>
      </w:r>
      <w:r>
        <w:rPr/>
        <w:t> </w:t>
      </w:r>
      <w:r>
        <w:rPr>
          <w:rFonts w:ascii="Times New Roman" w:hAnsi="Times New Roman"/>
          <w:sz w:val="20"/>
        </w:rPr>
        <w:t>and March</w:t>
      </w:r>
      <w:r>
        <w:rPr/>
        <w:t> </w:t>
      </w:r>
      <w:r>
        <w:rPr>
          <w:rFonts w:ascii="Times New Roman" w:hAnsi="Times New Roman"/>
          <w:sz w:val="20"/>
        </w:rPr>
        <w:t>15,</w:t>
      </w:r>
      <w:r>
        <w:rPr/>
        <w:t> </w:t>
      </w:r>
      <w:r>
        <w:rPr>
          <w:rFonts w:ascii="Times New Roman" w:hAnsi="Times New Roman"/>
          <w:sz w:val="20"/>
        </w:rPr>
        <w:t>2044</w:t>
      </w:r>
      <w:r>
        <w:rPr/>
        <w:t> </w:t>
      </w:r>
      <w:r>
        <w:rPr>
          <w:rFonts w:ascii="Times New Roman" w:hAnsi="Times New Roman"/>
          <w:sz w:val="20"/>
        </w:rPr>
        <w:t>at a repurchase price equal to</w:t>
      </w:r>
      <w:r>
        <w:rPr/>
        <w:t> </w:t>
      </w:r>
      <w:r>
        <w:rPr>
          <w:rFonts w:ascii="Times New Roman" w:hAnsi="Times New Roman"/>
          <w:sz w:val="20"/>
        </w:rPr>
        <w:t>100% of the principal amount of the 2049 Convertible Notes to be repurchased, plus accrued and unpaid interest to, but excluding, the relevant repurchase date. In connection with the issuance of the 2049 Convertible Notes, the Company recorded</w:t>
      </w:r>
      <w:r>
        <w:rPr/>
        <w:t> </w:t>
      </w:r>
      <w:r>
        <w:rPr>
          <w:rFonts w:ascii="Times New Roman" w:hAnsi="Times New Roman"/>
          <w:sz w:val="20"/>
        </w:rPr>
        <w:t>$12.8</w:t>
      </w:r>
      <w:r>
        <w:rPr/>
        <w:t> </w:t>
      </w:r>
      <w:r>
        <w:rPr>
          <w:rFonts w:ascii="Times New Roman" w:hAnsi="Times New Roman"/>
          <w:sz w:val="20"/>
        </w:rPr>
        <w:t>million in debt issuance costs, which were amortized through March</w:t>
      </w:r>
      <w:r>
        <w:rPr/>
        <w:t> </w:t>
      </w:r>
      <w:r>
        <w:rPr>
          <w:rFonts w:ascii="Times New Roman" w:hAnsi="Times New Roman"/>
          <w:sz w:val="20"/>
        </w:rPr>
        <w:t>1,</w:t>
      </w:r>
      <w:r>
        <w:rPr/>
        <w:t> </w:t>
      </w:r>
      <w:r>
        <w:rPr>
          <w:rFonts w:ascii="Times New Roman" w:hAnsi="Times New Roman"/>
          <w:sz w:val="20"/>
        </w:rPr>
        <w:t>2025.</w:t>
      </w:r>
      <w:r>
        <w:rPr/>
        <w:t> </w:t>
      </w:r>
      <w:r>
        <w:rPr>
          <w:rFonts w:ascii="Times New Roman" w:hAnsi="Times New Roman"/>
          <w:sz w:val="20"/>
        </w:rPr>
        <w:t>Almost all of the holders exercised their right to require the Company to repurchase their notes in March</w:t>
      </w:r>
      <w:r>
        <w:rPr/>
        <w:t> </w:t>
      </w:r>
      <w:r>
        <w:rPr>
          <w:rFonts w:ascii="Times New Roman" w:hAnsi="Times New Roman"/>
          <w:sz w:val="20"/>
        </w:rPr>
        <w:t>2025, and we repurchased the tendered 2049 Convertible Notes at that time with a combination of cash on hand and a borrowing under our Credit Facility.</w:t>
      </w:r>
      <w:r>
        <w:rPr/>
        <w:t>  </w:t>
      </w:r>
      <w:r>
        <w:rPr>
          <w:rFonts w:ascii="Times New Roman" w:hAnsi="Times New Roman"/>
          <w:sz w:val="20"/>
        </w:rPr>
        <w:t>As of</w:t>
      </w:r>
      <w:r>
        <w:rPr/>
        <w:t> </w:t>
      </w:r>
      <w:r>
        <w:rPr>
          <w:rFonts w:ascii="Times New Roman" w:hAnsi="Times New Roman"/>
          <w:sz w:val="20"/>
        </w:rPr>
        <w:t>December 31, 2025, $33.2</w:t>
      </w:r>
      <w:r>
        <w:rPr/>
        <w:t> </w:t>
      </w:r>
      <w:r>
        <w:rPr>
          <w:rFonts w:ascii="Times New Roman" w:hAnsi="Times New Roman"/>
          <w:sz w:val="20"/>
        </w:rPr>
        <w:t>million of the 2049 Convertible Notes remain outstanding.</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b/>
          <w:i/>
          <w:sz w:val="20"/>
        </w:rPr>
        <w:t>1.375%</w:t>
      </w:r>
      <w:r>
        <w:rPr/>
        <w:t xml:space="preserve"> </w:t>
      </w:r>
      <w:r>
        <w:rPr>
          <w:rFonts w:ascii="Times New Roman" w:hAnsi="Times New Roman"/>
          <w:b/>
          <w:i/>
          <w:sz w:val="20"/>
        </w:rPr>
        <w:t>Senior Notes due 2026</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On May 22, 2019, the Company completed the sale of</w:t>
      </w:r>
      <w:r>
        <w:rPr/>
        <w:t> €</w:t>
      </w:r>
      <w:r>
        <w:rPr>
          <w:rFonts w:ascii="Times New Roman" w:hAnsi="Times New Roman"/>
          <w:sz w:val="20"/>
        </w:rPr>
        <w:t>600.0</w:t>
      </w:r>
      <w:r>
        <w:rPr/>
        <w:t> </w:t>
      </w:r>
      <w:r>
        <w:rPr>
          <w:rFonts w:ascii="Times New Roman" w:hAnsi="Times New Roman"/>
          <w:sz w:val="20"/>
        </w:rPr>
        <w:t>million ($669.9</w:t>
      </w:r>
      <w:r>
        <w:rPr/>
        <w:t xml:space="preserve"> </w:t>
      </w:r>
      <w:r>
        <w:rPr>
          <w:rFonts w:ascii="Times New Roman" w:hAnsi="Times New Roman"/>
          <w:sz w:val="20"/>
        </w:rPr>
        <w:t>million) aggregate principal amount of Senior Notes that mature on May 22, 2026 (the "Senior Notes"). The Senior Notes accrue interest at a rate of 1.375% per year, payable annually</w:t>
      </w:r>
      <w:r>
        <w:rPr/>
        <w:t xml:space="preserve"> </w:t>
      </w:r>
      <w:r>
        <w:rPr>
          <w:rFonts w:ascii="Times New Roman" w:hAnsi="Times New Roman"/>
          <w:sz w:val="20"/>
        </w:rPr>
        <w:t>in arrears commencing May 22, 2020, until maturity or earlier redemption. As of December 31, 2025, the Company has outstanding €600.0</w:t>
      </w:r>
      <w:r>
        <w:rPr/>
        <w:t xml:space="preserve"> </w:t>
      </w:r>
      <w:r>
        <w:rPr>
          <w:rFonts w:ascii="Times New Roman" w:hAnsi="Times New Roman"/>
          <w:sz w:val="20"/>
        </w:rPr>
        <w:t>million ($704.6</w:t>
      </w:r>
      <w:r>
        <w:rPr/>
        <w:t xml:space="preserve"> </w:t>
      </w:r>
      <w:r>
        <w:rPr>
          <w:rFonts w:ascii="Times New Roman" w:hAnsi="Times New Roman"/>
          <w:sz w:val="20"/>
        </w:rPr>
        <w:t>million) principal amount of the Senior Notes. In addition, the Company may redeem some or all of these notes after February 22, 2026</w:t>
      </w:r>
      <w:r>
        <w:rPr/>
        <w:t xml:space="preserve"> </w:t>
      </w:r>
      <w:r>
        <w:rPr>
          <w:rFonts w:ascii="Times New Roman" w:hAnsi="Times New Roman"/>
          <w:sz w:val="20"/>
        </w:rPr>
        <w:t>at their principal amount plus any accrued and unpaid interest. As of December 31, 2025, the Company had $0.4</w:t>
      </w:r>
      <w:r>
        <w:rPr/>
        <w:t xml:space="preserve"> </w:t>
      </w:r>
      <w:r>
        <w:rPr>
          <w:rFonts w:ascii="Times New Roman" w:hAnsi="Times New Roman"/>
          <w:sz w:val="20"/>
        </w:rPr>
        <w:t>million of unamortized debt issuance costs related to the Senior Notes.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Other obligations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Certain of the Company's subsidiaries have available lines of credit and overdraft credit facilities that generally provide for short-term borrowings that are used from time to time for working capital purposes. On October 9, 2024, the Company completed a facility of MYR 100</w:t>
      </w:r>
      <w:r>
        <w:rPr/>
        <w:t xml:space="preserve"> </w:t>
      </w:r>
      <w:r>
        <w:rPr>
          <w:rFonts w:ascii="Times New Roman" w:hAnsi="Times New Roman"/>
          <w:sz w:val="20"/>
        </w:rPr>
        <w:t>million and an overdraft facility of MYR 140</w:t>
      </w:r>
      <w:r>
        <w:rPr/>
        <w:t xml:space="preserve"> </w:t>
      </w:r>
      <w:r>
        <w:rPr>
          <w:rFonts w:ascii="Times New Roman" w:hAnsi="Times New Roman"/>
          <w:sz w:val="20"/>
        </w:rPr>
        <w:t>million for its Malaysian business. Each advance under this facility shall be made for a term of 1</w:t>
      </w:r>
      <w:r>
        <w:rPr/>
        <w:t xml:space="preserve"> </w:t>
      </w:r>
      <w:r>
        <w:rPr>
          <w:rFonts w:ascii="Times New Roman" w:hAnsi="Times New Roman"/>
          <w:sz w:val="20"/>
        </w:rPr>
        <w:t>month or such other period of up to 12</w:t>
      </w:r>
      <w:r>
        <w:rPr/>
        <w:t xml:space="preserve"> </w:t>
      </w:r>
      <w:r>
        <w:rPr>
          <w:rFonts w:ascii="Times New Roman" w:hAnsi="Times New Roman"/>
          <w:sz w:val="20"/>
        </w:rPr>
        <w:t>months. As of December 31, 2025, $24.6</w:t>
      </w:r>
      <w:r>
        <w:rPr/>
        <w:t xml:space="preserve"> </w:t>
      </w:r>
      <w:r>
        <w:rPr>
          <w:rFonts w:ascii="Times New Roman" w:hAnsi="Times New Roman"/>
          <w:sz w:val="20"/>
        </w:rPr>
        <w:t>million was borrowed under this facility. There were no</w:t>
      </w:r>
      <w:r>
        <w:rPr/>
        <w:t xml:space="preserve"> </w:t>
      </w:r>
      <w:r>
        <w:rPr>
          <w:rFonts w:ascii="Times New Roman" w:hAnsi="Times New Roman"/>
          <w:sz w:val="20"/>
        </w:rPr>
        <w:t>borrowings on the overdraft facility. Including the Malaysian facility, there was a total of $34.9</w:t>
      </w:r>
      <w:r>
        <w:rPr/>
        <w:t> </w:t>
      </w:r>
      <w:r>
        <w:rPr>
          <w:rFonts w:ascii="Times New Roman" w:hAnsi="Times New Roman"/>
          <w:sz w:val="20"/>
        </w:rPr>
        <w:t>million</w:t>
      </w:r>
      <w:r>
        <w:rPr/>
        <w:t> </w:t>
      </w:r>
      <w:r>
        <w:rPr>
          <w:rFonts w:ascii="Times New Roman" w:hAnsi="Times New Roman"/>
          <w:sz w:val="20"/>
        </w:rPr>
        <w:t>outstanding under our subsidiaries credit lines and overdraft facilities as of</w:t>
      </w:r>
      <w:r>
        <w:rPr/>
        <w:t> </w:t>
      </w:r>
      <w:r>
        <w:rPr>
          <w:rFonts w:ascii="Times New Roman" w:hAnsi="Times New Roman"/>
          <w:sz w:val="20"/>
        </w:rPr>
        <w:t>December 31, 2025.</w:t>
      </w:r>
      <w:r>
        <w:rPr/>
        <w:t> </w:t>
      </w:r>
    </w:p>
    <w:p>
      <w:pPr>
        <w:pStyle w:val="TextBody"/>
        <w:bidi w:val="0"/>
        <w:spacing w:lineRule="atLeast" w:line="240" w:before="0" w:after="0"/>
        <w:jc w:val="both"/>
        <w:rPr/>
      </w:pPr>
      <w:r>
        <w:rPr/>
        <w:t> </w:t>
      </w:r>
    </w:p>
    <w:p>
      <w:pPr>
        <w:pStyle w:val="TextBody"/>
        <w:bidi w:val="0"/>
        <w:spacing w:before="0" w:after="0"/>
        <w:jc w:val="left"/>
        <w:rPr/>
      </w:pPr>
      <w:r>
        <w:rPr/>
        <w:t> </w:t>
      </w:r>
    </w:p>
    <w:p>
      <w:pPr>
        <w:pStyle w:val="TextBody"/>
        <w:bidi w:val="0"/>
        <w:spacing w:lineRule="atLeast" w:line="240" w:before="0" w:after="0"/>
        <w:jc w:val="both"/>
        <w:rPr/>
      </w:pPr>
      <w:hyperlink w:anchor="TOC">
        <w:bookmarkStart w:id="50" w:name="bm_38f9ecbf435ef87a"/>
        <w:bookmarkStart w:id="51" w:name="Bdsg_WSHSKAV40000000000000000000000"/>
        <w:bookmarkEnd w:id="50"/>
        <w:bookmarkEnd w:id="51"/>
        <w:r>
          <w:rPr>
            <w:rStyle w:val="InternetLink"/>
            <w:rFonts w:ascii="Times New Roman" w:hAnsi="Times New Roman"/>
            <w:b/>
            <w:strike w:val="false"/>
            <w:dstrike w:val="false"/>
            <w:color w:val="000000"/>
            <w:sz w:val="20"/>
            <w:u w:val="none"/>
            <w:effect w:val="none"/>
          </w:rPr>
          <w:t>(13) Derivative Instruments and Hedging Activities</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hAnsi="Times New Roman"/>
          <w:i/>
          <w:sz w:val="20"/>
        </w:rPr>
        <w:t>,</w:t>
      </w:r>
      <w:r>
        <w:rPr/>
        <w:t xml:space="preserve"> </w:t>
      </w:r>
      <w:r>
        <w:rPr>
          <w:rFonts w:ascii="Times New Roman" w:hAnsi="Times New Roman"/>
          <w:sz w:val="20"/>
        </w:rPr>
        <w:t>primarily due to either the relatively short duration of the contract term or the effects of fluctuations in currency exchange rates being reflected concurrently in earnings for both the derivative instrument and the transaction and have an offsetting effect.</w:t>
      </w:r>
    </w:p>
    <w:p>
      <w:pPr>
        <w:pStyle w:val="TextBody"/>
        <w:bidi w:val="0"/>
        <w:spacing w:lineRule="auto" w:line="288"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Foreign currency exchange contracts - Ria Operations and Corporate</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 the United States, the Company uses short-duration foreign currency forward contracts, generally with maturities up to 14</w:t>
      </w:r>
      <w:r>
        <w:rPr/>
        <w:t xml:space="preserve"> </w:t>
      </w:r>
      <w:r>
        <w:rPr>
          <w:rFonts w:ascii="Times New Roman" w:hAnsi="Times New Roman"/>
          <w:sz w:val="20"/>
        </w:rPr>
        <w:t>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w:t>
      </w:r>
      <w:r>
        <w:rPr/>
        <w:t> </w:t>
      </w:r>
      <w:r>
        <w:rPr>
          <w:rFonts w:ascii="Times New Roman" w:hAnsi="Times New Roman"/>
          <w:sz w:val="20"/>
        </w:rPr>
        <w:t>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2025</w:t>
      </w:r>
      <w:r>
        <w:rPr/>
        <w:t xml:space="preserve"> </w:t>
      </w:r>
      <w:r>
        <w:rPr>
          <w:rFonts w:ascii="Times New Roman" w:hAnsi="Times New Roman"/>
          <w:sz w:val="20"/>
        </w:rPr>
        <w:t>and 2024, the Company had foreign currency forward contracts outstanding in the U.S. with a notional value of $532.2</w:t>
      </w:r>
      <w:r>
        <w:rPr/>
        <w:t xml:space="preserve"> </w:t>
      </w:r>
      <w:r>
        <w:rPr>
          <w:rFonts w:ascii="Times New Roman" w:hAnsi="Times New Roman"/>
          <w:sz w:val="20"/>
        </w:rPr>
        <w:t>million and $281.5</w:t>
      </w:r>
      <w:r>
        <w:rPr/>
        <w:t xml:space="preserve"> </w:t>
      </w:r>
      <w:r>
        <w:rPr>
          <w:rFonts w:ascii="Times New Roman" w:hAnsi="Times New Roman"/>
          <w:sz w:val="20"/>
        </w:rPr>
        <w:t>million, respectively. The foreign currency forward contracts consist primarily in Australian dollars, Canadian dollars, British pounds, euros and Mexican pesos.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 addition, the Company uses forward contracts, typically with maturities from a few days to less than one year, to offset foreign exchange rate fluctuations on certain short-term borrowings that are payable in currencies other than the U.S dollar. As of</w:t>
      </w:r>
      <w:r>
        <w:rPr/>
        <w:t> </w:t>
      </w:r>
      <w:r>
        <w:rPr>
          <w:rFonts w:ascii="Times New Roman" w:hAnsi="Times New Roman"/>
          <w:sz w:val="20"/>
        </w:rPr>
        <w:t>December 31, 2025</w:t>
      </w:r>
      <w:r>
        <w:rPr/>
        <w:t> </w:t>
      </w:r>
      <w:r>
        <w:rPr>
          <w:rFonts w:ascii="Times New Roman" w:hAnsi="Times New Roman"/>
          <w:sz w:val="20"/>
        </w:rPr>
        <w:t>and</w:t>
      </w:r>
      <w:r>
        <w:rPr/>
        <w:t> </w:t>
      </w:r>
      <w:r>
        <w:rPr>
          <w:rFonts w:ascii="Times New Roman" w:hAnsi="Times New Roman"/>
          <w:sz w:val="20"/>
        </w:rPr>
        <w:t>2024, the Company had foreign currency forward contracts outstanding with a notional value of</w:t>
      </w:r>
      <w:r>
        <w:rPr/>
        <w:t> </w:t>
      </w:r>
      <w:r>
        <w:rPr>
          <w:rFonts w:ascii="Times New Roman" w:hAnsi="Times New Roman"/>
          <w:sz w:val="20"/>
        </w:rPr>
        <w:t>$852.7</w:t>
      </w:r>
      <w:r>
        <w:rPr/>
        <w:t> </w:t>
      </w:r>
      <w:r>
        <w:rPr>
          <w:rFonts w:ascii="Times New Roman" w:hAnsi="Times New Roman"/>
          <w:sz w:val="20"/>
        </w:rPr>
        <w:t>million and $710.4</w:t>
      </w:r>
      <w:r>
        <w:rPr/>
        <w:t> </w:t>
      </w:r>
      <w:r>
        <w:rPr>
          <w:rFonts w:ascii="Times New Roman" w:hAnsi="Times New Roman"/>
          <w:sz w:val="20"/>
        </w:rPr>
        <w:t>million, respectively, primarily in euros.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Foreign currency exchange contracts - Xe Operations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w:t>
      </w:r>
      <w:r>
        <w:rPr/>
        <w:t> </w:t>
      </w:r>
      <w:r>
        <w:rPr>
          <w:rFonts w:ascii="Times New Roman" w:hAnsi="Times New Roman"/>
          <w:sz w:val="20"/>
        </w:rPr>
        <w:t>$91.5</w:t>
      </w:r>
      <w:r>
        <w:rPr/>
        <w:t> </w:t>
      </w:r>
      <w:r>
        <w:rPr>
          <w:rFonts w:ascii="Times New Roman" w:hAnsi="Times New Roman"/>
          <w:sz w:val="20"/>
        </w:rPr>
        <w:t>million, $88.8</w:t>
      </w:r>
      <w:r>
        <w:rPr/>
        <w:t xml:space="preserve"> </w:t>
      </w:r>
      <w:r>
        <w:rPr>
          <w:rFonts w:ascii="Times New Roman" w:hAnsi="Times New Roman"/>
          <w:sz w:val="20"/>
        </w:rPr>
        <w:t>million, and $85.3</w:t>
      </w:r>
      <w:r>
        <w:rPr/>
        <w:t xml:space="preserve"> </w:t>
      </w:r>
      <w:r>
        <w:rPr>
          <w:rFonts w:ascii="Times New Roman" w:hAnsi="Times New Roman"/>
          <w:sz w:val="20"/>
        </w:rPr>
        <w:t>million for the years ended December 31, 2025, 2024</w:t>
      </w:r>
      <w:r>
        <w:rPr/>
        <w:t xml:space="preserve"> </w:t>
      </w:r>
      <w:r>
        <w:rPr>
          <w:rFonts w:ascii="Times New Roman" w:hAnsi="Times New Roman"/>
          <w:sz w:val="20"/>
        </w:rPr>
        <w:t>and 2023, respectively. All of the derivative contracts used in the Company's Xe operations are economic hedges and are not designated as hedges under ASC 815. The duration of these derivative contracts is generally less than one year.</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aggregate equivalent U.S. dollar notional amounts of foreign currency derivative customer contracts held by the Company in its Xe operations as of</w:t>
      </w:r>
      <w:r>
        <w:rPr/>
        <w:t> </w:t>
      </w:r>
      <w:r>
        <w:rPr>
          <w:rFonts w:ascii="Times New Roman" w:hAnsi="Times New Roman"/>
          <w:sz w:val="20"/>
        </w:rPr>
        <w:t>December 31, 2025</w:t>
      </w:r>
      <w:r>
        <w:rPr/>
        <w:t xml:space="preserve"> </w:t>
      </w:r>
      <w:r>
        <w:rPr>
          <w:rFonts w:ascii="Times New Roman" w:hAnsi="Times New Roman"/>
          <w:sz w:val="20"/>
        </w:rPr>
        <w:t>and 2024,</w:t>
      </w:r>
      <w:r>
        <w:rPr/>
        <w:t> </w:t>
      </w:r>
      <w:r>
        <w:rPr>
          <w:rFonts w:ascii="Times New Roman" w:hAnsi="Times New Roman"/>
          <w:sz w:val="20"/>
        </w:rPr>
        <w:t>was respectively</w:t>
      </w:r>
      <w:r>
        <w:rPr/>
        <w:t> </w:t>
      </w:r>
      <w:r>
        <w:rPr>
          <w:rFonts w:ascii="Times New Roman" w:hAnsi="Times New Roman"/>
          <w:sz w:val="20"/>
        </w:rPr>
        <w:t>$0.7</w:t>
      </w:r>
      <w:r>
        <w:rPr/>
        <w:t xml:space="preserve"> </w:t>
      </w:r>
      <w:r>
        <w:rPr>
          <w:rFonts w:ascii="Times New Roman" w:hAnsi="Times New Roman"/>
          <w:sz w:val="20"/>
        </w:rPr>
        <w:t>billion and $0.9</w:t>
      </w:r>
      <w:r>
        <w:rPr/>
        <w:t> </w:t>
      </w:r>
      <w:r>
        <w:rPr>
          <w:rFonts w:ascii="Times New Roman" w:hAnsi="Times New Roman"/>
          <w:sz w:val="20"/>
        </w:rPr>
        <w:t>billion.</w:t>
      </w:r>
      <w:r>
        <w:rPr/>
        <w:t> </w:t>
      </w:r>
      <w:r>
        <w:rPr>
          <w:rFonts w:ascii="Times New Roman" w:hAnsi="Times New Roman"/>
          <w:sz w:val="20"/>
        </w:rPr>
        <w:t>The significant majority of customer contracts are written in major currencies such as the euro, U.S. dollar, British pound, Australian dollar and New Zealand dollar.</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table summarizes the fair value of the derivative instruments as recorded in the Consolidated Balance Sheets as of the dates below:</w:t>
      </w:r>
    </w:p>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725"/>
        <w:gridCol w:w="60"/>
        <w:gridCol w:w="60"/>
        <w:gridCol w:w="1218"/>
        <w:gridCol w:w="60"/>
        <w:gridCol w:w="270"/>
        <w:gridCol w:w="824"/>
        <w:gridCol w:w="60"/>
        <w:gridCol w:w="270"/>
        <w:gridCol w:w="824"/>
        <w:gridCol w:w="60"/>
        <w:gridCol w:w="60"/>
        <w:gridCol w:w="1385"/>
        <w:gridCol w:w="60"/>
        <w:gridCol w:w="241"/>
        <w:gridCol w:w="854"/>
        <w:gridCol w:w="60"/>
        <w:gridCol w:w="237"/>
        <w:gridCol w:w="877"/>
      </w:tblGrid>
      <w:tr>
        <w:trPr/>
        <w:tc>
          <w:tcPr>
            <w:tcW w:w="27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526"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 Derivatives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714"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Liability Derivatives</w:t>
            </w:r>
          </w:p>
        </w:tc>
      </w:tr>
      <w:tr>
        <w:trPr/>
        <w:tc>
          <w:tcPr>
            <w:tcW w:w="27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18"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2248" w:type="dxa"/>
            <w:gridSpan w:val="5"/>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8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2269" w:type="dxa"/>
            <w:gridSpan w:val="5"/>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r>
      <w:tr>
        <w:trPr/>
        <w:tc>
          <w:tcPr>
            <w:tcW w:w="272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1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09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9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09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1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27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not designated as hedging instruments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1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7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2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7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2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8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4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54"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3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87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72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Foreign currency exchange contracts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18"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bidi w:val="0"/>
              <w:spacing w:before="0" w:after="0"/>
              <w:jc w:val="left"/>
              <w:rPr/>
            </w:pPr>
            <w:r>
              <w:rPr/>
              <w:t> </w:t>
            </w:r>
          </w:p>
        </w:tc>
        <w:tc>
          <w:tcPr>
            <w:tcW w:w="2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FFFFFF" w:val="clear"/>
            <w:vAlign w:val="center"/>
          </w:tcPr>
          <w:p>
            <w:pPr>
              <w:pStyle w:val="TableContents"/>
              <w:bidi w:val="0"/>
              <w:spacing w:before="0" w:after="0"/>
              <w:jc w:val="left"/>
              <w:rPr/>
            </w:pPr>
            <w:r>
              <w:rPr/>
              <w:t> </w:t>
            </w:r>
          </w:p>
        </w:tc>
        <w:tc>
          <w:tcPr>
            <w:tcW w:w="2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385"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FFFFFF" w:val="clear"/>
            <w:vAlign w:val="center"/>
          </w:tcPr>
          <w:p>
            <w:pPr>
              <w:pStyle w:val="TableContents"/>
              <w:bidi w:val="0"/>
              <w:spacing w:before="0" w:after="0"/>
              <w:jc w:val="left"/>
              <w:rPr/>
            </w:pPr>
            <w:r>
              <w:rPr/>
              <w:t> </w:t>
            </w:r>
          </w:p>
        </w:tc>
        <w:tc>
          <w:tcPr>
            <w:tcW w:w="24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FFFFFF" w:val="clear"/>
            <w:vAlign w:val="center"/>
          </w:tcPr>
          <w:p>
            <w:pPr>
              <w:pStyle w:val="TableContents"/>
              <w:bidi w:val="0"/>
              <w:spacing w:before="0" w:after="0"/>
              <w:jc w:val="left"/>
              <w:rPr/>
            </w:pPr>
            <w:r>
              <w:rPr/>
              <w:t> </w:t>
            </w:r>
          </w:p>
        </w:tc>
        <w:tc>
          <w:tcPr>
            <w:tcW w:w="23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Balance Sheet Presentation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following tables summarize the gross and net fair value of derivative assets and liabilities as of</w:t>
      </w:r>
      <w:r>
        <w:rPr/>
        <w:t> </w:t>
      </w:r>
      <w:r>
        <w:rPr>
          <w:rFonts w:ascii="Times New Roman" w:hAnsi="Times New Roman"/>
          <w:sz w:val="20"/>
        </w:rPr>
        <w:t>December 31, 2025</w:t>
      </w:r>
      <w:r>
        <w:rPr/>
        <w:t> </w:t>
      </w:r>
      <w:r>
        <w:rPr>
          <w:rFonts w:ascii="Times New Roman" w:hAnsi="Times New Roman"/>
          <w:sz w:val="20"/>
        </w:rPr>
        <w:t>and</w:t>
      </w:r>
      <w:r>
        <w:rPr/>
        <w:t> </w:t>
      </w:r>
      <w:r>
        <w:rPr>
          <w:rFonts w:ascii="Times New Roman" w:hAnsi="Times New Roman"/>
          <w:sz w:val="20"/>
        </w:rPr>
        <w:t>2024</w:t>
      </w:r>
      <w:r>
        <w:rPr/>
        <w:t xml:space="preserve"> </w:t>
      </w:r>
      <w:r>
        <w:rPr>
          <w:rFonts w:ascii="Times New Roman" w:hAnsi="Times New Roman"/>
          <w:sz w:val="20"/>
        </w:rPr>
        <w:t>(in millions):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i/>
          <w:sz w:val="20"/>
        </w:rPr>
        <w:t>Offsetting of Derivative Assets</w:t>
      </w:r>
      <w:r>
        <w:rPr/>
        <w:t> </w:t>
      </w:r>
    </w:p>
    <w:tbl>
      <w:tblPr>
        <w:tblW w:w="10205" w:type="dxa"/>
        <w:jc w:val="left"/>
        <w:tblInd w:w="0" w:type="dxa"/>
        <w:tblLayout w:type="fixed"/>
        <w:tblCellMar>
          <w:top w:w="0" w:type="dxa"/>
          <w:left w:w="0" w:type="dxa"/>
          <w:bottom w:w="0" w:type="dxa"/>
          <w:right w:w="0" w:type="dxa"/>
        </w:tblCellMar>
      </w:tblPr>
      <w:tblGrid>
        <w:gridCol w:w="2347"/>
        <w:gridCol w:w="60"/>
        <w:gridCol w:w="331"/>
        <w:gridCol w:w="1007"/>
        <w:gridCol w:w="60"/>
        <w:gridCol w:w="588"/>
        <w:gridCol w:w="1226"/>
        <w:gridCol w:w="60"/>
        <w:gridCol w:w="453"/>
        <w:gridCol w:w="1385"/>
        <w:gridCol w:w="60"/>
        <w:gridCol w:w="397"/>
        <w:gridCol w:w="1405"/>
        <w:gridCol w:w="60"/>
        <w:gridCol w:w="182"/>
        <w:gridCol w:w="584"/>
      </w:tblGrid>
      <w:tr>
        <w:trPr/>
        <w:tc>
          <w:tcPr>
            <w:tcW w:w="234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38"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14"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38"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02"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66" w:type="dxa"/>
            <w:gridSpan w:val="2"/>
            <w:tcBorders/>
            <w:vAlign w:val="center"/>
          </w:tcPr>
          <w:p>
            <w:pPr>
              <w:pStyle w:val="TableContents"/>
              <w:bidi w:val="0"/>
              <w:spacing w:before="0" w:after="0"/>
              <w:jc w:val="left"/>
              <w:rPr/>
            </w:pPr>
            <w:r>
              <w:rPr/>
              <w:t> </w:t>
            </w:r>
          </w:p>
        </w:tc>
      </w:tr>
      <w:tr>
        <w:trPr/>
        <w:tc>
          <w:tcPr>
            <w:tcW w:w="2347"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2025</w:t>
            </w:r>
          </w:p>
        </w:tc>
        <w:tc>
          <w:tcPr>
            <w:tcW w:w="60" w:type="dxa"/>
            <w:tcBorders/>
            <w:vAlign w:val="center"/>
          </w:tcPr>
          <w:p>
            <w:pPr>
              <w:pStyle w:val="TableContents"/>
              <w:bidi w:val="0"/>
              <w:spacing w:before="0" w:after="0"/>
              <w:jc w:val="left"/>
              <w:rPr/>
            </w:pPr>
            <w:r>
              <w:rPr/>
              <w:t> </w:t>
            </w:r>
          </w:p>
        </w:tc>
        <w:tc>
          <w:tcPr>
            <w:tcW w:w="1338"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 Recognized Assets</w:t>
            </w:r>
          </w:p>
        </w:tc>
        <w:tc>
          <w:tcPr>
            <w:tcW w:w="60" w:type="dxa"/>
            <w:tcBorders/>
            <w:vAlign w:val="center"/>
          </w:tcPr>
          <w:p>
            <w:pPr>
              <w:pStyle w:val="TableContents"/>
              <w:bidi w:val="0"/>
              <w:spacing w:before="0" w:after="0"/>
              <w:jc w:val="left"/>
              <w:rPr/>
            </w:pPr>
            <w:r>
              <w:rPr/>
              <w:t> </w:t>
            </w:r>
          </w:p>
        </w:tc>
        <w:tc>
          <w:tcPr>
            <w:tcW w:w="1814"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Offset in the Consolidated Balance Sheet</w:t>
            </w:r>
          </w:p>
        </w:tc>
        <w:tc>
          <w:tcPr>
            <w:tcW w:w="60" w:type="dxa"/>
            <w:tcBorders/>
            <w:vAlign w:val="center"/>
          </w:tcPr>
          <w:p>
            <w:pPr>
              <w:pStyle w:val="TableContents"/>
              <w:bidi w:val="0"/>
              <w:spacing w:before="0" w:after="0"/>
              <w:jc w:val="left"/>
              <w:rPr/>
            </w:pPr>
            <w:r>
              <w:rPr/>
              <w:t> </w:t>
            </w:r>
          </w:p>
        </w:tc>
        <w:tc>
          <w:tcPr>
            <w:tcW w:w="1838"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 Presented in the Consolidated Balance Sheet</w:t>
            </w:r>
          </w:p>
        </w:tc>
        <w:tc>
          <w:tcPr>
            <w:tcW w:w="60" w:type="dxa"/>
            <w:tcBorders/>
            <w:vAlign w:val="center"/>
          </w:tcPr>
          <w:p>
            <w:pPr>
              <w:pStyle w:val="TableContents"/>
              <w:bidi w:val="0"/>
              <w:spacing w:before="0" w:after="0"/>
              <w:jc w:val="left"/>
              <w:rPr/>
            </w:pPr>
            <w:r>
              <w:rPr/>
              <w:t> </w:t>
            </w:r>
          </w:p>
        </w:tc>
        <w:tc>
          <w:tcPr>
            <w:tcW w:w="1802"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Derivatives not offset in the Consolidated Balance Sheet</w:t>
            </w:r>
          </w:p>
        </w:tc>
        <w:tc>
          <w:tcPr>
            <w:tcW w:w="60" w:type="dxa"/>
            <w:tcBorders/>
            <w:vAlign w:val="center"/>
          </w:tcPr>
          <w:p>
            <w:pPr>
              <w:pStyle w:val="TableContents"/>
              <w:bidi w:val="0"/>
              <w:spacing w:before="0" w:after="0"/>
              <w:jc w:val="left"/>
              <w:rPr/>
            </w:pPr>
            <w:r>
              <w:rPr/>
              <w:t> </w:t>
            </w:r>
          </w:p>
        </w:tc>
        <w:tc>
          <w:tcPr>
            <w:tcW w:w="766"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w:t>
            </w:r>
          </w:p>
        </w:tc>
      </w:tr>
      <w:tr>
        <w:trPr/>
        <w:tc>
          <w:tcPr>
            <w:tcW w:w="234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33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0"/>
              <w:jc w:val="left"/>
              <w:rPr/>
            </w:pPr>
            <w:r>
              <w:rPr/>
              <w:t> </w:t>
            </w:r>
          </w:p>
        </w:tc>
        <w:tc>
          <w:tcPr>
            <w:tcW w:w="58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6" w:type="dxa"/>
            <w:tcBorders>
              <w:top w:val="single" w:sz="8" w:space="0" w:color="000000"/>
            </w:tcBorders>
            <w:shd w:fill="CCEEFF" w:val="clear"/>
            <w:tcMar>
              <w:top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45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0"/>
              <w:jc w:val="left"/>
              <w:rPr/>
            </w:pPr>
            <w:r>
              <w:rPr/>
              <w:t> </w:t>
            </w:r>
          </w:p>
        </w:tc>
        <w:tc>
          <w:tcPr>
            <w:tcW w:w="39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60" w:type="dxa"/>
            <w:tcBorders/>
            <w:shd w:fill="CCEEFF" w:val="clear"/>
            <w:vAlign w:val="center"/>
          </w:tcPr>
          <w:p>
            <w:pPr>
              <w:pStyle w:val="TableContents"/>
              <w:bidi w:val="0"/>
              <w:spacing w:before="0" w:after="0"/>
              <w:jc w:val="left"/>
              <w:rPr/>
            </w:pPr>
            <w:r>
              <w:rPr/>
              <w:t> </w:t>
            </w:r>
          </w:p>
        </w:tc>
        <w:tc>
          <w:tcPr>
            <w:tcW w:w="18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8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w:t>
            </w:r>
          </w:p>
        </w:tc>
      </w:tr>
      <w:tr>
        <w:trPr/>
        <w:tc>
          <w:tcPr>
            <w:tcW w:w="2347"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31" w:type="dxa"/>
            <w:tcBorders/>
            <w:shd w:fill="FFFFFF" w:val="clear"/>
            <w:vAlign w:val="center"/>
          </w:tcPr>
          <w:p>
            <w:pPr>
              <w:pStyle w:val="TableContents"/>
              <w:bidi w:val="0"/>
              <w:spacing w:before="0" w:after="0"/>
              <w:jc w:val="left"/>
              <w:rPr/>
            </w:pPr>
            <w:r>
              <w:rPr/>
              <w:t> </w:t>
            </w:r>
          </w:p>
        </w:tc>
        <w:tc>
          <w:tcPr>
            <w:tcW w:w="100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588" w:type="dxa"/>
            <w:tcBorders/>
            <w:shd w:fill="FFFFFF" w:val="clear"/>
            <w:vAlign w:val="center"/>
          </w:tcPr>
          <w:p>
            <w:pPr>
              <w:pStyle w:val="TableContents"/>
              <w:bidi w:val="0"/>
              <w:spacing w:before="0" w:after="0"/>
              <w:jc w:val="left"/>
              <w:rPr/>
            </w:pPr>
            <w:r>
              <w:rPr/>
              <w:t> </w:t>
            </w:r>
          </w:p>
        </w:tc>
        <w:tc>
          <w:tcPr>
            <w:tcW w:w="122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453" w:type="dxa"/>
            <w:tcBorders/>
            <w:shd w:fill="FFFFFF" w:val="clear"/>
            <w:vAlign w:val="center"/>
          </w:tcPr>
          <w:p>
            <w:pPr>
              <w:pStyle w:val="TableContents"/>
              <w:bidi w:val="0"/>
              <w:spacing w:before="0" w:after="0"/>
              <w:jc w:val="left"/>
              <w:rPr/>
            </w:pPr>
            <w:r>
              <w:rPr/>
              <w:t> </w:t>
            </w:r>
          </w:p>
        </w:tc>
        <w:tc>
          <w:tcPr>
            <w:tcW w:w="13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397" w:type="dxa"/>
            <w:tcBorders/>
            <w:shd w:fill="FFFFFF" w:val="clear"/>
            <w:vAlign w:val="center"/>
          </w:tcPr>
          <w:p>
            <w:pPr>
              <w:pStyle w:val="TableContents"/>
              <w:bidi w:val="0"/>
              <w:spacing w:before="0" w:after="0"/>
              <w:jc w:val="left"/>
              <w:rPr/>
            </w:pPr>
            <w:r>
              <w:rPr/>
              <w:t> </w:t>
            </w:r>
          </w:p>
        </w:tc>
        <w:tc>
          <w:tcPr>
            <w:tcW w:w="140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82" w:type="dxa"/>
            <w:tcBorders/>
            <w:shd w:fill="FFFFFF" w:val="clear"/>
            <w:vAlign w:val="center"/>
          </w:tcPr>
          <w:p>
            <w:pPr>
              <w:pStyle w:val="TableContents"/>
              <w:bidi w:val="0"/>
              <w:spacing w:before="0" w:after="0"/>
              <w:jc w:val="left"/>
              <w:rPr/>
            </w:pPr>
            <w:r>
              <w:rPr/>
              <w:t> </w:t>
            </w:r>
          </w:p>
        </w:tc>
        <w:tc>
          <w:tcPr>
            <w:tcW w:w="584" w:type="dxa"/>
            <w:tcBorders/>
            <w:shd w:fill="FFFFFF" w:val="clear"/>
            <w:vAlign w:val="center"/>
          </w:tcPr>
          <w:p>
            <w:pPr>
              <w:pStyle w:val="TableContents"/>
              <w:bidi w:val="0"/>
              <w:spacing w:before="0" w:after="0"/>
              <w:jc w:val="right"/>
              <w:rPr/>
            </w:pPr>
            <w:r>
              <w:rPr/>
              <w:t> </w:t>
            </w:r>
          </w:p>
        </w:tc>
      </w:tr>
      <w:tr>
        <w:trPr/>
        <w:tc>
          <w:tcPr>
            <w:tcW w:w="2347"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2024</w:t>
            </w:r>
          </w:p>
        </w:tc>
        <w:tc>
          <w:tcPr>
            <w:tcW w:w="60" w:type="dxa"/>
            <w:tcBorders/>
            <w:shd w:fill="FFFFFF" w:val="clear"/>
            <w:vAlign w:val="center"/>
          </w:tcPr>
          <w:p>
            <w:pPr>
              <w:pStyle w:val="TableContents"/>
              <w:bidi w:val="0"/>
              <w:spacing w:before="0" w:after="0"/>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58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26"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4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84"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r>
      <w:tr>
        <w:trPr/>
        <w:tc>
          <w:tcPr>
            <w:tcW w:w="234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33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vAlign w:val="center"/>
          </w:tcPr>
          <w:p>
            <w:pPr>
              <w:pStyle w:val="TableContents"/>
              <w:bidi w:val="0"/>
              <w:spacing w:before="0" w:after="0"/>
              <w:jc w:val="left"/>
              <w:rPr/>
            </w:pPr>
            <w:r>
              <w:rPr/>
              <w:t> </w:t>
            </w:r>
          </w:p>
        </w:tc>
        <w:tc>
          <w:tcPr>
            <w:tcW w:w="58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6" w:type="dxa"/>
            <w:tcBorders>
              <w:top w:val="single" w:sz="8" w:space="0" w:color="000000"/>
            </w:tcBorders>
            <w:shd w:fill="CCEEFF" w:val="clear"/>
            <w:tcMar>
              <w:top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45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vAlign w:val="center"/>
          </w:tcPr>
          <w:p>
            <w:pPr>
              <w:pStyle w:val="TableContents"/>
              <w:bidi w:val="0"/>
              <w:spacing w:before="0" w:after="0"/>
              <w:jc w:val="left"/>
              <w:rPr/>
            </w:pPr>
            <w:r>
              <w:rPr/>
              <w:t> </w:t>
            </w:r>
          </w:p>
        </w:tc>
        <w:tc>
          <w:tcPr>
            <w:tcW w:w="39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(22.3)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8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8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w:t>
            </w:r>
          </w:p>
        </w:tc>
      </w:tr>
    </w:tbl>
    <w:p>
      <w:pPr>
        <w:pStyle w:val="TextBody"/>
        <w:bidi w:val="0"/>
        <w:spacing w:lineRule="auto" w:line="288" w:before="0" w:after="0"/>
        <w:jc w:val="both"/>
        <w:rPr/>
      </w:pPr>
      <w:r>
        <w:rPr/>
        <w:t> </w:t>
      </w:r>
    </w:p>
    <w:p>
      <w:pPr>
        <w:pStyle w:val="TextBody"/>
        <w:bidi w:val="0"/>
        <w:spacing w:lineRule="auto" w:line="288" w:before="0" w:after="0"/>
        <w:jc w:val="both"/>
        <w:rPr>
          <w:rFonts w:ascii="Times New Roman" w:hAnsi="Times New Roman"/>
          <w:i/>
          <w:sz w:val="20"/>
        </w:rPr>
      </w:pPr>
      <w:r>
        <w:rPr>
          <w:rFonts w:ascii="Times New Roman" w:hAnsi="Times New Roman"/>
          <w:i/>
          <w:sz w:val="20"/>
        </w:rPr>
        <w:t>Offsetting of Derivative Liabilities</w:t>
      </w:r>
    </w:p>
    <w:tbl>
      <w:tblPr>
        <w:tblW w:w="10205" w:type="dxa"/>
        <w:jc w:val="left"/>
        <w:tblInd w:w="0" w:type="dxa"/>
        <w:tblLayout w:type="fixed"/>
        <w:tblCellMar>
          <w:top w:w="0" w:type="dxa"/>
          <w:left w:w="0" w:type="dxa"/>
          <w:bottom w:w="0" w:type="dxa"/>
          <w:right w:w="0" w:type="dxa"/>
        </w:tblCellMar>
      </w:tblPr>
      <w:tblGrid>
        <w:gridCol w:w="2290"/>
        <w:gridCol w:w="60"/>
        <w:gridCol w:w="305"/>
        <w:gridCol w:w="1081"/>
        <w:gridCol w:w="60"/>
        <w:gridCol w:w="576"/>
        <w:gridCol w:w="1201"/>
        <w:gridCol w:w="60"/>
        <w:gridCol w:w="125"/>
        <w:gridCol w:w="1801"/>
        <w:gridCol w:w="60"/>
        <w:gridCol w:w="435"/>
        <w:gridCol w:w="1330"/>
        <w:gridCol w:w="60"/>
        <w:gridCol w:w="162"/>
        <w:gridCol w:w="599"/>
      </w:tblGrid>
      <w:tr>
        <w:trPr/>
        <w:tc>
          <w:tcPr>
            <w:tcW w:w="2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86"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77"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26"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6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61" w:type="dxa"/>
            <w:gridSpan w:val="2"/>
            <w:tcBorders/>
            <w:vAlign w:val="center"/>
          </w:tcPr>
          <w:p>
            <w:pPr>
              <w:pStyle w:val="TableContents"/>
              <w:bidi w:val="0"/>
              <w:spacing w:before="0" w:after="0"/>
              <w:jc w:val="left"/>
              <w:rPr/>
            </w:pPr>
            <w:r>
              <w:rPr/>
              <w:t> </w:t>
            </w:r>
          </w:p>
        </w:tc>
      </w:tr>
      <w:tr>
        <w:trPr/>
        <w:tc>
          <w:tcPr>
            <w:tcW w:w="229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2025</w:t>
            </w:r>
          </w:p>
        </w:tc>
        <w:tc>
          <w:tcPr>
            <w:tcW w:w="60" w:type="dxa"/>
            <w:tcBorders/>
            <w:vAlign w:val="center"/>
          </w:tcPr>
          <w:p>
            <w:pPr>
              <w:pStyle w:val="TableContents"/>
              <w:bidi w:val="0"/>
              <w:spacing w:before="0" w:after="0"/>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 Recognized Liabilities</w:t>
            </w:r>
          </w:p>
        </w:tc>
        <w:tc>
          <w:tcPr>
            <w:tcW w:w="60" w:type="dxa"/>
            <w:tcBorders/>
            <w:vAlign w:val="center"/>
          </w:tcPr>
          <w:p>
            <w:pPr>
              <w:pStyle w:val="TableContents"/>
              <w:bidi w:val="0"/>
              <w:spacing w:before="0" w:after="0"/>
              <w:jc w:val="left"/>
              <w:rPr/>
            </w:pPr>
            <w:r>
              <w:rPr/>
              <w:t> </w:t>
            </w:r>
          </w:p>
        </w:tc>
        <w:tc>
          <w:tcPr>
            <w:tcW w:w="1777"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Offset in the Consolidated Balance Sheet</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0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 Presented in the Consolidated Balance Sheet</w:t>
            </w:r>
          </w:p>
        </w:tc>
        <w:tc>
          <w:tcPr>
            <w:tcW w:w="60" w:type="dxa"/>
            <w:tcBorders/>
            <w:vAlign w:val="center"/>
          </w:tcPr>
          <w:p>
            <w:pPr>
              <w:pStyle w:val="TableContents"/>
              <w:bidi w:val="0"/>
              <w:spacing w:before="0" w:after="0"/>
              <w:jc w:val="left"/>
              <w:rPr/>
            </w:pPr>
            <w:r>
              <w:rPr/>
              <w:t> </w:t>
            </w:r>
          </w:p>
        </w:tc>
        <w:tc>
          <w:tcPr>
            <w:tcW w:w="1765"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Derivatives not offset in the Consolidated Balance Sheet</w:t>
            </w:r>
          </w:p>
        </w:tc>
        <w:tc>
          <w:tcPr>
            <w:tcW w:w="60" w:type="dxa"/>
            <w:tcBorders/>
            <w:vAlign w:val="center"/>
          </w:tcPr>
          <w:p>
            <w:pPr>
              <w:pStyle w:val="TableContents"/>
              <w:bidi w:val="0"/>
              <w:spacing w:before="0" w:after="0"/>
              <w:jc w:val="left"/>
              <w:rPr/>
            </w:pPr>
            <w:r>
              <w:rPr/>
              <w:t> </w:t>
            </w:r>
          </w:p>
        </w:tc>
        <w:tc>
          <w:tcPr>
            <w:tcW w:w="761"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w:t>
            </w:r>
          </w:p>
        </w:tc>
      </w:tr>
      <w:tr>
        <w:trPr/>
        <w:tc>
          <w:tcPr>
            <w:tcW w:w="229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30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0"/>
              <w:jc w:val="left"/>
              <w:rPr/>
            </w:pPr>
            <w:r>
              <w:rPr/>
              <w:t> </w:t>
            </w:r>
          </w:p>
        </w:tc>
        <w:tc>
          <w:tcPr>
            <w:tcW w:w="57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1" w:type="dxa"/>
            <w:tcBorders>
              <w:top w:val="single" w:sz="8" w:space="0" w:color="000000"/>
            </w:tcBorders>
            <w:shd w:fill="CCEEFF" w:val="clear"/>
            <w:tcMar>
              <w:top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0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0"/>
              <w:jc w:val="left"/>
              <w:rPr/>
            </w:pPr>
            <w:r>
              <w:rPr/>
              <w:t> </w:t>
            </w:r>
          </w:p>
        </w:tc>
        <w:tc>
          <w:tcPr>
            <w:tcW w:w="43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60" w:type="dxa"/>
            <w:tcBorders/>
            <w:shd w:fill="CCEEFF" w:val="clear"/>
            <w:vAlign w:val="center"/>
          </w:tcPr>
          <w:p>
            <w:pPr>
              <w:pStyle w:val="TableContents"/>
              <w:bidi w:val="0"/>
              <w:spacing w:before="0" w:after="0"/>
              <w:jc w:val="left"/>
              <w:rPr/>
            </w:pPr>
            <w:r>
              <w:rPr/>
              <w:t> </w:t>
            </w:r>
          </w:p>
        </w:tc>
        <w:tc>
          <w:tcPr>
            <w:tcW w:w="1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w:t>
            </w:r>
          </w:p>
        </w:tc>
      </w:tr>
      <w:tr>
        <w:trPr/>
        <w:tc>
          <w:tcPr>
            <w:tcW w:w="229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05" w:type="dxa"/>
            <w:tcBorders/>
            <w:shd w:fill="FFFFFF" w:val="clear"/>
            <w:vAlign w:val="center"/>
          </w:tcPr>
          <w:p>
            <w:pPr>
              <w:pStyle w:val="TableContents"/>
              <w:bidi w:val="0"/>
              <w:spacing w:before="0" w:after="0"/>
              <w:jc w:val="left"/>
              <w:rPr/>
            </w:pPr>
            <w:r>
              <w:rPr/>
              <w:t> </w:t>
            </w:r>
          </w:p>
        </w:tc>
        <w:tc>
          <w:tcPr>
            <w:tcW w:w="10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576" w:type="dxa"/>
            <w:tcBorders/>
            <w:shd w:fill="FFFFFF" w:val="clear"/>
            <w:vAlign w:val="center"/>
          </w:tcPr>
          <w:p>
            <w:pPr>
              <w:pStyle w:val="TableContents"/>
              <w:bidi w:val="0"/>
              <w:spacing w:before="0" w:after="0"/>
              <w:jc w:val="left"/>
              <w:rPr/>
            </w:pPr>
            <w:r>
              <w:rPr/>
              <w:t> </w:t>
            </w:r>
          </w:p>
        </w:tc>
        <w:tc>
          <w:tcPr>
            <w:tcW w:w="120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80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435" w:type="dxa"/>
            <w:tcBorders/>
            <w:shd w:fill="FFFFFF" w:val="clear"/>
            <w:vAlign w:val="center"/>
          </w:tcPr>
          <w:p>
            <w:pPr>
              <w:pStyle w:val="TableContents"/>
              <w:bidi w:val="0"/>
              <w:spacing w:before="0" w:after="0"/>
              <w:jc w:val="left"/>
              <w:rPr/>
            </w:pPr>
            <w:r>
              <w:rPr/>
              <w:t> </w:t>
            </w:r>
          </w:p>
        </w:tc>
        <w:tc>
          <w:tcPr>
            <w:tcW w:w="133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62" w:type="dxa"/>
            <w:tcBorders/>
            <w:shd w:fill="FFFFFF" w:val="clear"/>
            <w:vAlign w:val="center"/>
          </w:tcPr>
          <w:p>
            <w:pPr>
              <w:pStyle w:val="TableContents"/>
              <w:bidi w:val="0"/>
              <w:spacing w:before="0" w:after="0"/>
              <w:jc w:val="left"/>
              <w:rPr/>
            </w:pPr>
            <w:r>
              <w:rPr/>
              <w:t> </w:t>
            </w:r>
          </w:p>
        </w:tc>
        <w:tc>
          <w:tcPr>
            <w:tcW w:w="599" w:type="dxa"/>
            <w:tcBorders/>
            <w:shd w:fill="FFFFFF" w:val="clear"/>
            <w:vAlign w:val="center"/>
          </w:tcPr>
          <w:p>
            <w:pPr>
              <w:pStyle w:val="TableContents"/>
              <w:bidi w:val="0"/>
              <w:spacing w:before="0" w:after="0"/>
              <w:jc w:val="right"/>
              <w:rPr/>
            </w:pPr>
            <w:r>
              <w:rPr/>
              <w:t> </w:t>
            </w:r>
          </w:p>
        </w:tc>
      </w:tr>
      <w:tr>
        <w:trPr/>
        <w:tc>
          <w:tcPr>
            <w:tcW w:w="229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2024</w:t>
            </w:r>
          </w:p>
        </w:tc>
        <w:tc>
          <w:tcPr>
            <w:tcW w:w="6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28" w:type="dxa"/>
            </w:tcMar>
            <w:vAlign w:val="center"/>
          </w:tcPr>
          <w:p>
            <w:pPr>
              <w:pStyle w:val="TableContents"/>
              <w:bidi w:val="0"/>
              <w:spacing w:before="0" w:after="0"/>
              <w:jc w:val="left"/>
              <w:rPr/>
            </w:pPr>
            <w:r>
              <w:rPr/>
              <w:t> </w:t>
            </w:r>
          </w:p>
        </w:tc>
        <w:tc>
          <w:tcPr>
            <w:tcW w:w="1081" w:type="dxa"/>
            <w:tcBorders>
              <w:bottom w:val="single" w:sz="8" w:space="0" w:color="000000"/>
            </w:tcBorders>
            <w:tcMar>
              <w:bottom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576"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01" w:type="dxa"/>
            <w:tcBorders>
              <w:bottom w:val="single" w:sz="8" w:space="0" w:color="000000"/>
            </w:tcBorders>
            <w:tcMar>
              <w:bottom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435" w:type="dxa"/>
            <w:tcBorders>
              <w:bottom w:val="single" w:sz="8" w:space="0" w:color="000000"/>
            </w:tcBorders>
            <w:tcMar>
              <w:bottom w:w="28" w:type="dxa"/>
            </w:tcMar>
            <w:vAlign w:val="center"/>
          </w:tcPr>
          <w:p>
            <w:pPr>
              <w:pStyle w:val="TableContents"/>
              <w:bidi w:val="0"/>
              <w:spacing w:before="0" w:after="0"/>
              <w:jc w:val="left"/>
              <w:rPr/>
            </w:pPr>
            <w:r>
              <w:rPr/>
              <w:t> </w:t>
            </w:r>
          </w:p>
        </w:tc>
        <w:tc>
          <w:tcPr>
            <w:tcW w:w="1330" w:type="dxa"/>
            <w:tcBorders>
              <w:bottom w:val="single" w:sz="8" w:space="0" w:color="000000"/>
            </w:tcBorders>
            <w:tcMar>
              <w:bottom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62" w:type="dxa"/>
            <w:tcBorders>
              <w:bottom w:val="single" w:sz="8" w:space="0" w:color="000000"/>
            </w:tcBorders>
            <w:tcMar>
              <w:bottom w:w="28" w:type="dxa"/>
            </w:tcMar>
            <w:vAlign w:val="center"/>
          </w:tcPr>
          <w:p>
            <w:pPr>
              <w:pStyle w:val="TableContents"/>
              <w:bidi w:val="0"/>
              <w:spacing w:before="0" w:after="0"/>
              <w:jc w:val="left"/>
              <w:rPr/>
            </w:pPr>
            <w:r>
              <w:rPr/>
              <w:t> </w:t>
            </w:r>
          </w:p>
        </w:tc>
        <w:tc>
          <w:tcPr>
            <w:tcW w:w="599" w:type="dxa"/>
            <w:tcBorders>
              <w:bottom w:val="single" w:sz="8" w:space="0" w:color="000000"/>
            </w:tcBorders>
            <w:tcMar>
              <w:bottom w:w="28" w:type="dxa"/>
            </w:tcMar>
            <w:vAlign w:val="center"/>
          </w:tcPr>
          <w:p>
            <w:pPr>
              <w:pStyle w:val="TableContents"/>
              <w:bidi w:val="0"/>
              <w:spacing w:before="0" w:after="0"/>
              <w:jc w:val="right"/>
              <w:rPr/>
            </w:pPr>
            <w:r>
              <w:rPr/>
              <w:t> </w:t>
            </w:r>
          </w:p>
        </w:tc>
      </w:tr>
      <w:tr>
        <w:trPr/>
        <w:tc>
          <w:tcPr>
            <w:tcW w:w="229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vAlign w:val="center"/>
          </w:tcPr>
          <w:p>
            <w:pPr>
              <w:pStyle w:val="TableContents"/>
              <w:bidi w:val="0"/>
              <w:spacing w:before="0" w:after="0"/>
              <w:jc w:val="left"/>
              <w:rPr/>
            </w:pPr>
            <w:r>
              <w:rPr/>
              <w:t> </w:t>
            </w:r>
          </w:p>
        </w:tc>
        <w:tc>
          <w:tcPr>
            <w:tcW w:w="30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c>
          <w:tcPr>
            <w:tcW w:w="60" w:type="dxa"/>
            <w:tcBorders/>
            <w:shd w:fill="CCEEFF" w:val="clear"/>
            <w:vAlign w:val="center"/>
          </w:tcPr>
          <w:p>
            <w:pPr>
              <w:pStyle w:val="TableContents"/>
              <w:bidi w:val="0"/>
              <w:spacing w:before="0" w:after="0"/>
              <w:jc w:val="left"/>
              <w:rPr/>
            </w:pPr>
            <w:r>
              <w:rPr/>
              <w:t> </w:t>
            </w:r>
          </w:p>
        </w:tc>
        <w:tc>
          <w:tcPr>
            <w:tcW w:w="57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1" w:type="dxa"/>
            <w:tcBorders>
              <w:top w:val="single" w:sz="8" w:space="0" w:color="000000"/>
            </w:tcBorders>
            <w:shd w:fill="CCEEFF" w:val="clear"/>
            <w:tcMar>
              <w:top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0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c>
          <w:tcPr>
            <w:tcW w:w="60" w:type="dxa"/>
            <w:tcBorders/>
            <w:shd w:fill="CCEEFF" w:val="clear"/>
            <w:vAlign w:val="center"/>
          </w:tcPr>
          <w:p>
            <w:pPr>
              <w:pStyle w:val="TableContents"/>
              <w:bidi w:val="0"/>
              <w:spacing w:before="0" w:after="0"/>
              <w:jc w:val="left"/>
              <w:rPr/>
            </w:pPr>
            <w:r>
              <w:rPr/>
              <w:t> </w:t>
            </w:r>
          </w:p>
        </w:tc>
        <w:tc>
          <w:tcPr>
            <w:tcW w:w="43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60" w:type="dxa"/>
            <w:tcBorders/>
            <w:shd w:fill="CCEEFF" w:val="clear"/>
            <w:vAlign w:val="center"/>
          </w:tcPr>
          <w:p>
            <w:pPr>
              <w:pStyle w:val="TableContents"/>
              <w:bidi w:val="0"/>
              <w:spacing w:before="0" w:after="0"/>
              <w:jc w:val="left"/>
              <w:rPr/>
            </w:pPr>
            <w:r>
              <w:rPr/>
              <w:t> </w:t>
            </w:r>
          </w:p>
        </w:tc>
        <w:tc>
          <w:tcPr>
            <w:tcW w:w="1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(22.0)</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Income Statement Presentation</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following tables summarize the location and amount of gains on derivatives in the Consolidated Statements of Operations for the</w:t>
      </w:r>
      <w:r>
        <w:rPr/>
        <w:t> </w:t>
      </w:r>
      <w:r>
        <w:rPr>
          <w:rFonts w:ascii="Times New Roman" w:hAnsi="Times New Roman"/>
          <w:sz w:val="20"/>
        </w:rPr>
        <w:t>years ended</w:t>
      </w:r>
      <w:r>
        <w:rPr/>
        <w:t> </w:t>
      </w:r>
      <w:r>
        <w:rPr>
          <w:rFonts w:ascii="Times New Roman" w:hAnsi="Times New Roman"/>
          <w:sz w:val="20"/>
        </w:rPr>
        <w:t>December 31, 2025,</w:t>
      </w:r>
      <w:r>
        <w:rPr/>
        <w:t> </w:t>
      </w:r>
      <w:r>
        <w:rPr>
          <w:rFonts w:ascii="Times New Roman" w:hAnsi="Times New Roman"/>
          <w:sz w:val="20"/>
        </w:rPr>
        <w:t>2024</w:t>
      </w:r>
      <w:r>
        <w:rPr/>
        <w:t xml:space="preserve"> </w:t>
      </w:r>
      <w:r>
        <w:rPr>
          <w:rFonts w:ascii="Times New Roman" w:hAnsi="Times New Roman"/>
          <w:sz w:val="20"/>
        </w:rPr>
        <w:t>and 2023:</w:t>
      </w:r>
    </w:p>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425"/>
        <w:gridCol w:w="60"/>
        <w:gridCol w:w="3956"/>
        <w:gridCol w:w="60"/>
        <w:gridCol w:w="201"/>
        <w:gridCol w:w="613"/>
        <w:gridCol w:w="96"/>
        <w:gridCol w:w="201"/>
        <w:gridCol w:w="633"/>
        <w:gridCol w:w="96"/>
        <w:gridCol w:w="201"/>
        <w:gridCol w:w="663"/>
      </w:tblGrid>
      <w:tr>
        <w:trPr/>
        <w:tc>
          <w:tcPr>
            <w:tcW w:w="34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956" w:type="dxa"/>
            <w:vMerge w:val="restart"/>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704"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Amount of Gain Recognized in Income on </w:t>
            </w:r>
          </w:p>
          <w:p>
            <w:pPr>
              <w:pStyle w:val="TableContents"/>
              <w:bidi w:val="0"/>
              <w:spacing w:before="0" w:after="0"/>
              <w:jc w:val="center"/>
              <w:rPr>
                <w:rFonts w:ascii="Times New Roman" w:hAnsi="Times New Roman"/>
                <w:b/>
                <w:sz w:val="16"/>
              </w:rPr>
            </w:pPr>
            <w:r>
              <w:rPr>
                <w:rFonts w:ascii="Times New Roman" w:hAnsi="Times New Roman"/>
                <w:b/>
                <w:sz w:val="16"/>
              </w:rPr>
              <w:t>Derivative Contracts (a)</w:t>
            </w:r>
          </w:p>
        </w:tc>
      </w:tr>
      <w:tr>
        <w:trPr/>
        <w:tc>
          <w:tcPr>
            <w:tcW w:w="34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95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2704" w:type="dxa"/>
            <w:gridSpan w:val="8"/>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342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395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 of Gain (Loss) Recognized in Income on Derivative Contracts</w:t>
            </w:r>
          </w:p>
        </w:tc>
        <w:tc>
          <w:tcPr>
            <w:tcW w:w="60" w:type="dxa"/>
            <w:tcBorders/>
            <w:vAlign w:val="center"/>
          </w:tcPr>
          <w:p>
            <w:pPr>
              <w:pStyle w:val="TableContents"/>
              <w:bidi w:val="0"/>
              <w:spacing w:before="0" w:after="0"/>
              <w:jc w:val="left"/>
              <w:rPr/>
            </w:pPr>
            <w:r>
              <w:rPr/>
              <w:t> </w:t>
            </w:r>
          </w:p>
        </w:tc>
        <w:tc>
          <w:tcPr>
            <w:tcW w:w="20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96" w:type="dxa"/>
            <w:tcBorders>
              <w:top w:val="single" w:sz="8" w:space="0" w:color="000000"/>
            </w:tcBorders>
            <w:tcMar>
              <w:top w:w="28" w:type="dxa"/>
            </w:tcMar>
            <w:vAlign w:val="center"/>
          </w:tcPr>
          <w:p>
            <w:pPr>
              <w:pStyle w:val="TableContents"/>
              <w:bidi w:val="0"/>
              <w:spacing w:before="0" w:after="0"/>
              <w:jc w:val="left"/>
              <w:rPr/>
            </w:pPr>
            <w:r>
              <w:rPr/>
              <w:t> </w:t>
            </w:r>
          </w:p>
        </w:tc>
        <w:tc>
          <w:tcPr>
            <w:tcW w:w="20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96" w:type="dxa"/>
            <w:tcBorders>
              <w:top w:val="single" w:sz="8" w:space="0" w:color="000000"/>
            </w:tcBorders>
            <w:tcMar>
              <w:top w:w="28" w:type="dxa"/>
            </w:tcMar>
            <w:vAlign w:val="center"/>
          </w:tcPr>
          <w:p>
            <w:pPr>
              <w:pStyle w:val="TableContents"/>
              <w:bidi w:val="0"/>
              <w:spacing w:before="0" w:after="0"/>
              <w:jc w:val="left"/>
              <w:rPr/>
            </w:pPr>
            <w:r>
              <w:rPr/>
              <w:t> </w:t>
            </w:r>
          </w:p>
        </w:tc>
        <w:tc>
          <w:tcPr>
            <w:tcW w:w="20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6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34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 - Ria Operations</w:t>
            </w:r>
          </w:p>
        </w:tc>
        <w:tc>
          <w:tcPr>
            <w:tcW w:w="60" w:type="dxa"/>
            <w:tcBorders/>
            <w:shd w:fill="CCEEFF" w:val="clear"/>
            <w:vAlign w:val="center"/>
          </w:tcPr>
          <w:p>
            <w:pPr>
              <w:pStyle w:val="TableContents"/>
              <w:bidi w:val="0"/>
              <w:spacing w:before="0" w:after="0"/>
              <w:jc w:val="left"/>
              <w:rPr/>
            </w:pPr>
            <w:r>
              <w:rPr/>
              <w:t> </w:t>
            </w:r>
          </w:p>
        </w:tc>
        <w:tc>
          <w:tcPr>
            <w:tcW w:w="3956"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Foreign currency exchange gain (loss), net</w:t>
            </w:r>
          </w:p>
        </w:tc>
        <w:tc>
          <w:tcPr>
            <w:tcW w:w="60" w:type="dxa"/>
            <w:tcBorders/>
            <w:shd w:fill="CCEEFF" w:val="clear"/>
            <w:vAlign w:val="center"/>
          </w:tcPr>
          <w:p>
            <w:pPr>
              <w:pStyle w:val="TableContents"/>
              <w:bidi w:val="0"/>
              <w:spacing w:before="0" w:after="0"/>
              <w:jc w:val="left"/>
              <w:rPr/>
            </w:pPr>
            <w:r>
              <w:rPr/>
              <w:t> </w:t>
            </w:r>
          </w:p>
        </w:tc>
        <w:tc>
          <w:tcPr>
            <w:tcW w:w="20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96" w:type="dxa"/>
            <w:tcBorders/>
            <w:shd w:fill="CCEEFF" w:val="clear"/>
            <w:vAlign w:val="center"/>
          </w:tcPr>
          <w:p>
            <w:pPr>
              <w:pStyle w:val="TableContents"/>
              <w:bidi w:val="0"/>
              <w:spacing w:before="0" w:after="0"/>
              <w:jc w:val="left"/>
              <w:rPr/>
            </w:pPr>
            <w:r>
              <w:rPr/>
              <w:t> </w:t>
            </w:r>
          </w:p>
        </w:tc>
        <w:tc>
          <w:tcPr>
            <w:tcW w:w="20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96" w:type="dxa"/>
            <w:tcBorders/>
            <w:shd w:fill="CCEEFF" w:val="clear"/>
            <w:vAlign w:val="center"/>
          </w:tcPr>
          <w:p>
            <w:pPr>
              <w:pStyle w:val="TableContents"/>
              <w:bidi w:val="0"/>
              <w:spacing w:before="0" w:after="0"/>
              <w:jc w:val="left"/>
              <w:rPr/>
            </w:pPr>
            <w:r>
              <w:rPr/>
              <w:t> </w:t>
            </w:r>
          </w:p>
        </w:tc>
        <w:tc>
          <w:tcPr>
            <w:tcW w:w="20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 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See Note 19, Financial Instruments and Fair Value Measurements, for the determination of the fair values of derivatives.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(14) Leases</w:t>
      </w:r>
      <w:bookmarkStart w:id="52" w:name="bm_2098e7bbf2fa58ce"/>
      <w:bookmarkEnd w:id="52"/>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 xml:space="preserve">The present value of lease payments is determined using the incremental borrowing rate based on information available at the lease commencement date. The Company recognizes lease expense for these leases on a straight-line basis over the lease term.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Leases of ATM sites with termination options exercisable within the next 12 months are excluded from the right of use lease assets and lease liability under the short-term lease exemption as the termination options are not reasonably certain not to be exercised. Payments for ATM site leases with termination options subject to the short-term lease exemption are expensed in the period incurred. The short-term lease expense for 2025</w:t>
      </w:r>
      <w:r>
        <w:rPr/>
        <w:t> </w:t>
      </w:r>
      <w:r>
        <w:rPr>
          <w:rFonts w:ascii="Times New Roman" w:hAnsi="Times New Roman"/>
          <w:sz w:val="20"/>
        </w:rPr>
        <w:t>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i/>
          <w:sz w:val="20"/>
        </w:rPr>
      </w:pPr>
      <w:r>
        <w:rPr>
          <w:rFonts w:ascii="Times New Roman" w:hAnsi="Times New Roman"/>
          <w:b/>
          <w:i/>
          <w:sz w:val="20"/>
        </w:rPr>
        <w:t>Future minimum lease payments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Future minimum lease payments under the operating leases (with initial lease terms in excess of one year) as of December 31, 2025</w:t>
      </w:r>
      <w:r>
        <w:rPr/>
        <w:t xml:space="preserve"> </w:t>
      </w:r>
      <w:r>
        <w:rPr>
          <w:rFonts w:ascii="Times New Roman" w:hAnsi="Times New Roman"/>
          <w:sz w:val="20"/>
        </w:rPr>
        <w:t>are:</w:t>
      </w:r>
    </w:p>
    <w:p>
      <w:pPr>
        <w:pStyle w:val="TextBody"/>
        <w:bidi w:val="0"/>
        <w:spacing w:lineRule="atLeast" w:line="240" w:before="0" w:after="0"/>
        <w:jc w:val="both"/>
        <w:rPr/>
      </w:pPr>
      <w:r>
        <w:rPr/>
        <w:t> </w:t>
      </w:r>
    </w:p>
    <w:tbl>
      <w:tblPr>
        <w:tblW w:w="5025" w:type="dxa"/>
        <w:jc w:val="left"/>
        <w:tblInd w:w="0" w:type="dxa"/>
        <w:tblLayout w:type="fixed"/>
        <w:tblCellMar>
          <w:top w:w="0" w:type="dxa"/>
          <w:left w:w="0" w:type="dxa"/>
          <w:bottom w:w="0" w:type="dxa"/>
          <w:right w:w="0" w:type="dxa"/>
        </w:tblCellMar>
      </w:tblPr>
      <w:tblGrid>
        <w:gridCol w:w="2990"/>
        <w:gridCol w:w="60"/>
        <w:gridCol w:w="125"/>
        <w:gridCol w:w="1850"/>
      </w:tblGrid>
      <w:tr>
        <w:trPr/>
        <w:tc>
          <w:tcPr>
            <w:tcW w:w="299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25" w:type="dxa"/>
            <w:tcBorders>
              <w:bottom w:val="single" w:sz="8" w:space="0" w:color="000000"/>
            </w:tcBorders>
            <w:tcMar>
              <w:bottom w:w="28" w:type="dxa"/>
            </w:tcMar>
            <w:vAlign w:val="center"/>
          </w:tcPr>
          <w:p>
            <w:pPr>
              <w:pStyle w:val="TableContents"/>
              <w:bidi w:val="0"/>
              <w:spacing w:lineRule="atLeast" w:line="240" w:before="0" w:after="0"/>
              <w:jc w:val="left"/>
              <w:rPr/>
            </w:pPr>
            <w:r>
              <w:rPr/>
              <w:t> </w:t>
            </w:r>
          </w:p>
        </w:tc>
        <w:tc>
          <w:tcPr>
            <w:tcW w:w="18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2025</w:t>
            </w:r>
          </w:p>
        </w:tc>
      </w:tr>
      <w:tr>
        <w:trPr/>
        <w:tc>
          <w:tcPr>
            <w:tcW w:w="299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b/>
                <w:sz w:val="16"/>
              </w:rPr>
            </w:pPr>
            <w:r>
              <w:rPr>
                <w:rFonts w:ascii="Times New Roman" w:hAnsi="Times New Roman"/>
                <w:b/>
                <w:sz w:val="16"/>
              </w:rPr>
              <w:t>Maturity of Lease Liabilities (in millions)</w:t>
            </w:r>
          </w:p>
        </w:tc>
        <w:tc>
          <w:tcPr>
            <w:tcW w:w="60" w:type="dxa"/>
            <w:tcBorders>
              <w:bottom w:val="single" w:sz="8" w:space="0" w:color="000000"/>
            </w:tcBorders>
            <w:tcMar>
              <w:bottom w:w="28"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18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Leases (1)</w:t>
            </w:r>
          </w:p>
        </w:tc>
      </w:tr>
      <w:tr>
        <w:trPr/>
        <w:tc>
          <w:tcPr>
            <w:tcW w:w="299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2026</w:t>
            </w:r>
          </w:p>
        </w:tc>
        <w:tc>
          <w:tcPr>
            <w:tcW w:w="6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85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52.9</w:t>
            </w:r>
          </w:p>
        </w:tc>
      </w:tr>
      <w:tr>
        <w:trPr/>
        <w:tc>
          <w:tcPr>
            <w:tcW w:w="299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2027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18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38.4</w:t>
            </w:r>
          </w:p>
        </w:tc>
      </w:tr>
      <w:tr>
        <w:trPr/>
        <w:tc>
          <w:tcPr>
            <w:tcW w:w="299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2028</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18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25.9</w:t>
            </w:r>
          </w:p>
        </w:tc>
      </w:tr>
      <w:tr>
        <w:trPr/>
        <w:tc>
          <w:tcPr>
            <w:tcW w:w="299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185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17.7</w:t>
            </w:r>
          </w:p>
        </w:tc>
      </w:tr>
      <w:tr>
        <w:trPr/>
        <w:tc>
          <w:tcPr>
            <w:tcW w:w="299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2030</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185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11.5</w:t>
            </w:r>
          </w:p>
        </w:tc>
      </w:tr>
      <w:tr>
        <w:trPr/>
        <w:tc>
          <w:tcPr>
            <w:tcW w:w="299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Thereafter</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1850"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18.8</w:t>
            </w:r>
          </w:p>
        </w:tc>
      </w:tr>
      <w:tr>
        <w:trPr/>
        <w:tc>
          <w:tcPr>
            <w:tcW w:w="299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lease payments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1850"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165.2</w:t>
            </w:r>
          </w:p>
        </w:tc>
      </w:tr>
      <w:tr>
        <w:trPr/>
        <w:tc>
          <w:tcPr>
            <w:tcW w:w="299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Less: imputed interest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1850"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(13.4)</w:t>
            </w:r>
          </w:p>
        </w:tc>
      </w:tr>
      <w:tr>
        <w:trPr/>
        <w:tc>
          <w:tcPr>
            <w:tcW w:w="299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Present value of lease liabilities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8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151.8</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(1) Operating lease payments reflect the Company's current fixed obligations under the operating lease agreements.</w:t>
      </w:r>
      <w:r>
        <w:rPr/>
        <w:t xml:space="preserve">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 xml:space="preserve">Lease expense recognized in the Consolidated Statements of Operations is summarized as follows: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522"/>
        <w:gridCol w:w="60"/>
        <w:gridCol w:w="60"/>
        <w:gridCol w:w="3432"/>
        <w:gridCol w:w="60"/>
        <w:gridCol w:w="335"/>
        <w:gridCol w:w="1309"/>
        <w:gridCol w:w="60"/>
        <w:gridCol w:w="335"/>
        <w:gridCol w:w="1309"/>
        <w:gridCol w:w="60"/>
        <w:gridCol w:w="332"/>
        <w:gridCol w:w="1331"/>
      </w:tblGrid>
      <w:tr>
        <w:trPr/>
        <w:tc>
          <w:tcPr>
            <w:tcW w:w="1522" w:type="dxa"/>
            <w:tcBorders>
              <w:bottom w:val="single" w:sz="8" w:space="0" w:color="000000"/>
            </w:tcBorders>
            <w:vAlign w:val="center"/>
          </w:tcPr>
          <w:p>
            <w:pPr>
              <w:pStyle w:val="TableContents"/>
              <w:bidi w:val="0"/>
              <w:spacing w:lineRule="atLeast" w:line="240" w:before="0" w:after="0"/>
              <w:jc w:val="left"/>
              <w:rPr>
                <w:rFonts w:ascii="Times New Roman" w:hAnsi="Times New Roman"/>
                <w:b/>
                <w:sz w:val="16"/>
              </w:rPr>
            </w:pPr>
            <w:r>
              <w:rPr>
                <w:rFonts w:ascii="Times New Roman" w:hAnsi="Times New Roman"/>
                <w:b/>
                <w:sz w:val="16"/>
              </w:rPr>
              <w:t>Lease Expense (in millions)</w:t>
            </w:r>
          </w:p>
        </w:tc>
        <w:tc>
          <w:tcPr>
            <w:tcW w:w="60" w:type="dxa"/>
            <w:tcBorders/>
            <w:tcMar>
              <w:bottom w:w="0" w:type="dxa"/>
            </w:tcMar>
            <w:vAlign w:val="center"/>
          </w:tcPr>
          <w:p>
            <w:pPr>
              <w:pStyle w:val="TableContents"/>
              <w:bidi w:val="0"/>
              <w:spacing w:lineRule="atLeast" w:line="240" w:before="0" w:after="0"/>
              <w:jc w:val="left"/>
              <w:rPr/>
            </w:pPr>
            <w:r>
              <w:rPr/>
              <w:t> </w:t>
            </w:r>
          </w:p>
        </w:tc>
        <w:tc>
          <w:tcPr>
            <w:tcW w:w="60" w:type="dxa"/>
            <w:tcBorders/>
            <w:tcMar>
              <w:bottom w:w="0" w:type="dxa"/>
            </w:tcMar>
            <w:vAlign w:val="center"/>
          </w:tcPr>
          <w:p>
            <w:pPr>
              <w:pStyle w:val="TableContents"/>
              <w:bidi w:val="0"/>
              <w:spacing w:lineRule="atLeast" w:line="240" w:before="0" w:after="0"/>
              <w:jc w:val="left"/>
              <w:rPr/>
            </w:pPr>
            <w:r>
              <w:rPr/>
              <w:t> </w:t>
            </w:r>
          </w:p>
        </w:tc>
        <w:tc>
          <w:tcPr>
            <w:tcW w:w="3432" w:type="dxa"/>
            <w:tcBorders>
              <w:bottom w:val="single" w:sz="8" w:space="0" w:color="000000"/>
            </w:tcBorders>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Income Statement Classification</w:t>
            </w:r>
          </w:p>
        </w:tc>
        <w:tc>
          <w:tcPr>
            <w:tcW w:w="60" w:type="dxa"/>
            <w:tcBorders/>
            <w:tcMar>
              <w:bottom w:w="0" w:type="dxa"/>
            </w:tcMar>
            <w:vAlign w:val="center"/>
          </w:tcPr>
          <w:p>
            <w:pPr>
              <w:pStyle w:val="TableContents"/>
              <w:bidi w:val="0"/>
              <w:spacing w:lineRule="atLeast" w:line="240" w:before="0" w:after="0"/>
              <w:jc w:val="left"/>
              <w:rPr/>
            </w:pPr>
            <w:r>
              <w:rPr/>
              <w:t> </w:t>
            </w:r>
          </w:p>
        </w:tc>
        <w:tc>
          <w:tcPr>
            <w:tcW w:w="164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2025</w:t>
            </w:r>
          </w:p>
        </w:tc>
        <w:tc>
          <w:tcPr>
            <w:tcW w:w="60" w:type="dxa"/>
            <w:tcBorders/>
            <w:tcMar>
              <w:bottom w:w="0" w:type="dxa"/>
            </w:tcMar>
            <w:vAlign w:val="center"/>
          </w:tcPr>
          <w:p>
            <w:pPr>
              <w:pStyle w:val="TableContents"/>
              <w:bidi w:val="0"/>
              <w:spacing w:lineRule="atLeast" w:line="240" w:before="0" w:after="0"/>
              <w:jc w:val="left"/>
              <w:rPr/>
            </w:pPr>
            <w:r>
              <w:rPr/>
              <w:t> </w:t>
            </w:r>
          </w:p>
        </w:tc>
        <w:tc>
          <w:tcPr>
            <w:tcW w:w="164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2024</w:t>
            </w:r>
          </w:p>
        </w:tc>
        <w:tc>
          <w:tcPr>
            <w:tcW w:w="60" w:type="dxa"/>
            <w:tcBorders/>
            <w:tcMar>
              <w:bottom w:w="0" w:type="dxa"/>
            </w:tcMar>
            <w:vAlign w:val="center"/>
          </w:tcPr>
          <w:p>
            <w:pPr>
              <w:pStyle w:val="TableContents"/>
              <w:bidi w:val="0"/>
              <w:spacing w:lineRule="atLeast" w:line="240" w:before="0" w:after="0"/>
              <w:jc w:val="left"/>
              <w:rPr/>
            </w:pPr>
            <w:r>
              <w:rPr/>
              <w:t> </w:t>
            </w:r>
          </w:p>
        </w:tc>
        <w:tc>
          <w:tcPr>
            <w:tcW w:w="1663"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2023</w:t>
            </w:r>
          </w:p>
        </w:tc>
      </w:tr>
      <w:tr>
        <w:trPr/>
        <w:tc>
          <w:tcPr>
            <w:tcW w:w="1522"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Operating lease expense</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432"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3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309"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54.1</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3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309"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51.6</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32"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331"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50.1</w:t>
            </w:r>
          </w:p>
        </w:tc>
      </w:tr>
      <w:tr>
        <w:trPr/>
        <w:tc>
          <w:tcPr>
            <w:tcW w:w="1522"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Variable lease expense</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3432"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335" w:type="dxa"/>
            <w:tcBorders>
              <w:bottom w:val="single" w:sz="8" w:space="0" w:color="000000"/>
            </w:tcBorders>
            <w:shd w:fill="FFFFFF" w:val="clear"/>
            <w:vAlign w:val="center"/>
          </w:tcPr>
          <w:p>
            <w:pPr>
              <w:pStyle w:val="TableContents"/>
              <w:bidi w:val="0"/>
              <w:spacing w:lineRule="atLeast" w:line="240" w:before="0" w:after="0"/>
              <w:jc w:val="left"/>
              <w:rPr/>
            </w:pPr>
            <w:r>
              <w:rPr/>
              <w:t> </w:t>
            </w:r>
          </w:p>
        </w:tc>
        <w:tc>
          <w:tcPr>
            <w:tcW w:w="1309" w:type="dxa"/>
            <w:tcBorders>
              <w:bottom w:val="single" w:sz="8" w:space="0" w:color="000000"/>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185.7</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335" w:type="dxa"/>
            <w:tcBorders>
              <w:bottom w:val="single" w:sz="8" w:space="0" w:color="000000"/>
            </w:tcBorders>
            <w:shd w:fill="FFFFFF" w:val="clear"/>
            <w:vAlign w:val="center"/>
          </w:tcPr>
          <w:p>
            <w:pPr>
              <w:pStyle w:val="TableContents"/>
              <w:bidi w:val="0"/>
              <w:spacing w:lineRule="atLeast" w:line="240" w:before="0" w:after="0"/>
              <w:jc w:val="left"/>
              <w:rPr/>
            </w:pPr>
            <w:r>
              <w:rPr/>
              <w:t> </w:t>
            </w:r>
          </w:p>
        </w:tc>
        <w:tc>
          <w:tcPr>
            <w:tcW w:w="1309" w:type="dxa"/>
            <w:tcBorders>
              <w:bottom w:val="single" w:sz="8" w:space="0" w:color="000000"/>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160.2</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332" w:type="dxa"/>
            <w:tcBorders>
              <w:bottom w:val="single" w:sz="8" w:space="0" w:color="000000"/>
            </w:tcBorders>
            <w:shd w:fill="FFFFFF" w:val="clear"/>
            <w:vAlign w:val="center"/>
          </w:tcPr>
          <w:p>
            <w:pPr>
              <w:pStyle w:val="TableContents"/>
              <w:bidi w:val="0"/>
              <w:spacing w:lineRule="atLeast" w:line="240" w:before="0" w:after="0"/>
              <w:jc w:val="left"/>
              <w:rPr/>
            </w:pPr>
            <w:r>
              <w:rPr/>
              <w:t> </w:t>
            </w:r>
          </w:p>
        </w:tc>
        <w:tc>
          <w:tcPr>
            <w:tcW w:w="1331" w:type="dxa"/>
            <w:tcBorders>
              <w:bottom w:val="single" w:sz="8" w:space="0" w:color="000000"/>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164.3</w:t>
            </w:r>
          </w:p>
        </w:tc>
      </w:tr>
      <w:tr>
        <w:trPr/>
        <w:tc>
          <w:tcPr>
            <w:tcW w:w="1522"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 lease expense</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432" w:type="dxa"/>
            <w:tcBorders/>
            <w:shd w:fill="CCEEFF" w:val="clear"/>
            <w:tcMar>
              <w:bottom w:w="0" w:type="dxa"/>
            </w:tcMar>
            <w:vAlign w:val="center"/>
          </w:tcPr>
          <w:p>
            <w:pPr>
              <w:pStyle w:val="TableContents"/>
              <w:bidi w:val="0"/>
              <w:spacing w:lineRule="atLeast" w:line="240" w:before="0" w:after="0"/>
              <w:jc w:val="left"/>
              <w:rPr/>
            </w:pPr>
            <w:r>
              <w:rPr/>
              <w:t> </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35"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309"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239.8</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35"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309"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211.8</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332"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331"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214.4</w:t>
            </w:r>
          </w:p>
        </w:tc>
      </w:tr>
    </w:tbl>
    <w:p>
      <w:pPr>
        <w:pStyle w:val="TextBody"/>
        <w:bidi w:val="0"/>
        <w:spacing w:lineRule="atLeast" w:line="240" w:before="0" w:after="0"/>
        <w:jc w:val="both"/>
        <w:rPr/>
      </w:pPr>
      <w:r>
        <w:rPr/>
        <w:br/>
      </w:r>
      <w:r>
        <w:rPr>
          <w:rFonts w:ascii="Times New Roman" w:hAnsi="Times New Roman"/>
          <w:sz w:val="20"/>
        </w:rPr>
        <w:t>Other information about lease amounts recognized in the consolidated financial statements is summarized as follows:</w:t>
      </w:r>
    </w:p>
    <w:p>
      <w:pPr>
        <w:pStyle w:val="TextBody"/>
        <w:bidi w:val="0"/>
        <w:spacing w:lineRule="atLeast" w:line="240" w:before="0" w:after="0"/>
        <w:jc w:val="left"/>
        <w:rPr/>
      </w:pPr>
      <w:r>
        <w:rPr/>
        <w:t> </w:t>
      </w:r>
    </w:p>
    <w:tbl>
      <w:tblPr>
        <w:tblW w:w="8110" w:type="dxa"/>
        <w:jc w:val="left"/>
        <w:tblInd w:w="0" w:type="dxa"/>
        <w:tblLayout w:type="fixed"/>
        <w:tblCellMar>
          <w:top w:w="0" w:type="dxa"/>
          <w:left w:w="0" w:type="dxa"/>
          <w:bottom w:w="28" w:type="dxa"/>
          <w:right w:w="0" w:type="dxa"/>
        </w:tblCellMar>
      </w:tblPr>
      <w:tblGrid>
        <w:gridCol w:w="3875"/>
        <w:gridCol w:w="60"/>
        <w:gridCol w:w="60"/>
        <w:gridCol w:w="1835"/>
        <w:gridCol w:w="185"/>
        <w:gridCol w:w="60"/>
        <w:gridCol w:w="1835"/>
        <w:gridCol w:w="200"/>
      </w:tblGrid>
      <w:tr>
        <w:trPr/>
        <w:tc>
          <w:tcPr>
            <w:tcW w:w="3875" w:type="dxa"/>
            <w:tcBorders>
              <w:bottom w:val="single" w:sz="8" w:space="0" w:color="000000"/>
            </w:tcBorders>
            <w:vAlign w:val="center"/>
          </w:tcPr>
          <w:p>
            <w:pPr>
              <w:pStyle w:val="TableContents"/>
              <w:bidi w:val="0"/>
              <w:spacing w:lineRule="atLeast" w:line="240" w:before="0" w:after="0"/>
              <w:jc w:val="left"/>
              <w:rPr>
                <w:rFonts w:ascii="Times New Roman" w:hAnsi="Times New Roman"/>
                <w:b/>
                <w:sz w:val="16"/>
              </w:rPr>
            </w:pPr>
            <w:r>
              <w:rPr>
                <w:rFonts w:ascii="Times New Roman" w:hAnsi="Times New Roman"/>
                <w:b/>
                <w:sz w:val="16"/>
              </w:rPr>
              <w:t>Lease Term and Discount Rate of Operating Leases</w:t>
            </w:r>
          </w:p>
        </w:tc>
        <w:tc>
          <w:tcPr>
            <w:tcW w:w="60" w:type="dxa"/>
            <w:tcBorders/>
            <w:tcMar>
              <w:bottom w:w="0" w:type="dxa"/>
            </w:tcMar>
            <w:vAlign w:val="center"/>
          </w:tcPr>
          <w:p>
            <w:pPr>
              <w:pStyle w:val="TableContents"/>
              <w:bidi w:val="0"/>
              <w:spacing w:lineRule="atLeast" w:line="240" w:before="0" w:after="0"/>
              <w:jc w:val="left"/>
              <w:rPr/>
            </w:pPr>
            <w:r>
              <w:rPr/>
              <w:t> </w:t>
            </w:r>
          </w:p>
        </w:tc>
        <w:tc>
          <w:tcPr>
            <w:tcW w:w="60" w:type="dxa"/>
            <w:tcBorders/>
            <w:tcMar>
              <w:bottom w:w="0" w:type="dxa"/>
            </w:tcMar>
            <w:vAlign w:val="center"/>
          </w:tcPr>
          <w:p>
            <w:pPr>
              <w:pStyle w:val="TableContents"/>
              <w:bidi w:val="0"/>
              <w:spacing w:lineRule="atLeast" w:line="240" w:before="0" w:after="0"/>
              <w:jc w:val="left"/>
              <w:rPr/>
            </w:pPr>
            <w:r>
              <w:rPr/>
              <w:t> </w:t>
            </w:r>
          </w:p>
        </w:tc>
        <w:tc>
          <w:tcPr>
            <w:tcW w:w="1835"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2025</w:t>
            </w:r>
          </w:p>
        </w:tc>
        <w:tc>
          <w:tcPr>
            <w:tcW w:w="185" w:type="dxa"/>
            <w:tcBorders/>
            <w:tcMar>
              <w:bottom w:w="0" w:type="dxa"/>
            </w:tcMar>
            <w:vAlign w:val="center"/>
          </w:tcPr>
          <w:p>
            <w:pPr>
              <w:pStyle w:val="TableContents"/>
              <w:bidi w:val="0"/>
              <w:spacing w:lineRule="atLeast" w:line="240" w:before="0" w:after="0"/>
              <w:jc w:val="left"/>
              <w:rPr/>
            </w:pPr>
            <w:r>
              <w:rPr/>
              <w:t> </w:t>
            </w:r>
          </w:p>
        </w:tc>
        <w:tc>
          <w:tcPr>
            <w:tcW w:w="60" w:type="dxa"/>
            <w:tcBorders/>
            <w:tcMar>
              <w:bottom w:w="0" w:type="dxa"/>
            </w:tcMar>
            <w:vAlign w:val="center"/>
          </w:tcPr>
          <w:p>
            <w:pPr>
              <w:pStyle w:val="TableContents"/>
              <w:bidi w:val="0"/>
              <w:spacing w:lineRule="atLeast" w:line="240" w:before="0" w:after="0"/>
              <w:jc w:val="left"/>
              <w:rPr/>
            </w:pPr>
            <w:r>
              <w:rPr/>
              <w:t> </w:t>
            </w:r>
          </w:p>
        </w:tc>
        <w:tc>
          <w:tcPr>
            <w:tcW w:w="1835"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2024</w:t>
            </w:r>
          </w:p>
        </w:tc>
        <w:tc>
          <w:tcPr>
            <w:tcW w:w="200" w:type="dxa"/>
            <w:tcBorders/>
            <w:tcMar>
              <w:bottom w:w="0" w:type="dxa"/>
            </w:tcMar>
            <w:vAlign w:val="center"/>
          </w:tcPr>
          <w:p>
            <w:pPr>
              <w:pStyle w:val="TableContents"/>
              <w:bidi w:val="0"/>
              <w:spacing w:lineRule="atLeast" w:line="240" w:before="0" w:after="0"/>
              <w:jc w:val="left"/>
              <w:rPr/>
            </w:pPr>
            <w:r>
              <w:rPr/>
              <w:t> </w:t>
            </w:r>
          </w:p>
        </w:tc>
      </w:tr>
      <w:tr>
        <w:trPr/>
        <w:tc>
          <w:tcPr>
            <w:tcW w:w="387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Weighted- average remaining lease term (years)</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83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4.5</w:t>
            </w:r>
          </w:p>
        </w:tc>
        <w:tc>
          <w:tcPr>
            <w:tcW w:w="185" w:type="dxa"/>
            <w:tcBorders/>
            <w:shd w:fill="CCEEFF" w:val="clear"/>
            <w:tcMar>
              <w:bottom w:w="0" w:type="dxa"/>
            </w:tcMar>
            <w:vAlign w:val="center"/>
          </w:tcPr>
          <w:p>
            <w:pPr>
              <w:pStyle w:val="TableContents"/>
              <w:bidi w:val="0"/>
              <w:spacing w:lineRule="atLeast" w:line="240" w:before="0" w:after="0"/>
              <w:jc w:val="left"/>
              <w:rPr/>
            </w:pPr>
            <w:r>
              <w:rPr/>
              <w:t> </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83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4.1</w:t>
            </w:r>
          </w:p>
        </w:tc>
        <w:tc>
          <w:tcPr>
            <w:tcW w:w="200" w:type="dxa"/>
            <w:tcBorders/>
            <w:shd w:fill="CCEEFF" w:val="clear"/>
            <w:tcMar>
              <w:bottom w:w="0" w:type="dxa"/>
            </w:tcMar>
            <w:vAlign w:val="center"/>
          </w:tcPr>
          <w:p>
            <w:pPr>
              <w:pStyle w:val="TableContents"/>
              <w:bidi w:val="0"/>
              <w:spacing w:lineRule="atLeast" w:line="240" w:before="0" w:after="0"/>
              <w:jc w:val="left"/>
              <w:rPr/>
            </w:pPr>
            <w:r>
              <w:rPr/>
              <w:t> </w:t>
            </w:r>
          </w:p>
        </w:tc>
      </w:tr>
      <w:tr>
        <w:trPr/>
        <w:tc>
          <w:tcPr>
            <w:tcW w:w="3875"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Weighted- average discount rate</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835"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3.70</w:t>
            </w:r>
          </w:p>
        </w:tc>
        <w:tc>
          <w:tcPr>
            <w:tcW w:w="185"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835"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3.08</w:t>
            </w:r>
          </w:p>
        </w:tc>
        <w:tc>
          <w:tcPr>
            <w:tcW w:w="200"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0"/>
        </w:rPr>
      </w:pPr>
      <w:r>
        <w:rPr>
          <w:rFonts w:ascii="Times New Roman" w:hAnsi="Times New Roman"/>
          <w:sz w:val="20"/>
        </w:rPr>
        <w:t>The following table presents supplemental cash flow and non-cash information related to leases:</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4953"/>
        <w:gridCol w:w="60"/>
        <w:gridCol w:w="416"/>
        <w:gridCol w:w="1268"/>
        <w:gridCol w:w="60"/>
        <w:gridCol w:w="416"/>
        <w:gridCol w:w="1268"/>
        <w:gridCol w:w="60"/>
        <w:gridCol w:w="407"/>
        <w:gridCol w:w="1297"/>
      </w:tblGrid>
      <w:tr>
        <w:trPr/>
        <w:tc>
          <w:tcPr>
            <w:tcW w:w="4953" w:type="dxa"/>
            <w:tcBorders>
              <w:bottom w:val="single" w:sz="8" w:space="0" w:color="000000"/>
            </w:tcBorders>
            <w:vAlign w:val="center"/>
          </w:tcPr>
          <w:p>
            <w:pPr>
              <w:pStyle w:val="TableContents"/>
              <w:bidi w:val="0"/>
              <w:spacing w:lineRule="atLeast" w:line="240" w:before="0" w:after="0"/>
              <w:jc w:val="left"/>
              <w:rPr>
                <w:rFonts w:ascii="Times New Roman" w:hAnsi="Times New Roman"/>
                <w:b/>
                <w:sz w:val="16"/>
              </w:rPr>
            </w:pPr>
            <w:r>
              <w:rPr>
                <w:rFonts w:ascii="Times New Roman" w:hAnsi="Times New Roman"/>
                <w:b/>
                <w:sz w:val="16"/>
              </w:rPr>
              <w:t>Other Information (in millions)</w:t>
            </w:r>
          </w:p>
        </w:tc>
        <w:tc>
          <w:tcPr>
            <w:tcW w:w="60" w:type="dxa"/>
            <w:tcBorders/>
            <w:tcMar>
              <w:bottom w:w="0" w:type="dxa"/>
            </w:tcMar>
            <w:vAlign w:val="center"/>
          </w:tcPr>
          <w:p>
            <w:pPr>
              <w:pStyle w:val="TableContents"/>
              <w:bidi w:val="0"/>
              <w:spacing w:lineRule="atLeast" w:line="240" w:before="0" w:after="0"/>
              <w:jc w:val="left"/>
              <w:rPr/>
            </w:pPr>
            <w:r>
              <w:rPr/>
              <w:t> </w:t>
            </w:r>
          </w:p>
        </w:tc>
        <w:tc>
          <w:tcPr>
            <w:tcW w:w="168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2025</w:t>
            </w:r>
          </w:p>
        </w:tc>
        <w:tc>
          <w:tcPr>
            <w:tcW w:w="60" w:type="dxa"/>
            <w:tcBorders/>
            <w:tcMar>
              <w:bottom w:w="0" w:type="dxa"/>
            </w:tcMar>
            <w:vAlign w:val="center"/>
          </w:tcPr>
          <w:p>
            <w:pPr>
              <w:pStyle w:val="TableContents"/>
              <w:bidi w:val="0"/>
              <w:spacing w:lineRule="atLeast" w:line="240" w:before="0" w:after="0"/>
              <w:jc w:val="left"/>
              <w:rPr/>
            </w:pPr>
            <w:r>
              <w:rPr/>
              <w:t> </w:t>
            </w:r>
          </w:p>
        </w:tc>
        <w:tc>
          <w:tcPr>
            <w:tcW w:w="168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2024</w:t>
            </w:r>
          </w:p>
        </w:tc>
        <w:tc>
          <w:tcPr>
            <w:tcW w:w="60" w:type="dxa"/>
            <w:tcBorders/>
            <w:tcMar>
              <w:bottom w:w="0" w:type="dxa"/>
            </w:tcMar>
            <w:vAlign w:val="center"/>
          </w:tcPr>
          <w:p>
            <w:pPr>
              <w:pStyle w:val="TableContents"/>
              <w:bidi w:val="0"/>
              <w:spacing w:lineRule="atLeast" w:line="240" w:before="0" w:after="0"/>
              <w:jc w:val="left"/>
              <w:rPr/>
            </w:pPr>
            <w:r>
              <w:rPr/>
              <w:t> </w:t>
            </w:r>
          </w:p>
        </w:tc>
        <w:tc>
          <w:tcPr>
            <w:tcW w:w="1704" w:type="dxa"/>
            <w:gridSpan w:val="2"/>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2023</w:t>
            </w:r>
          </w:p>
        </w:tc>
      </w:tr>
      <w:tr>
        <w:trPr/>
        <w:tc>
          <w:tcPr>
            <w:tcW w:w="4953"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pPr>
            <w:r>
              <w:rPr>
                <w:rFonts w:ascii="Times New Roman" w:hAnsi="Times New Roman"/>
                <w:sz w:val="20"/>
              </w:rPr>
              <w:t>Cash paid for amounts included in the measurement of lease liabilities</w:t>
            </w:r>
            <w:r>
              <w:rPr/>
              <w:t> </w:t>
            </w:r>
            <w:r>
              <w:rPr>
                <w:rFonts w:ascii="Times New Roman" w:hAnsi="Times New Roman"/>
                <w:sz w:val="20"/>
              </w:rPr>
              <w:t>(a)</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416"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268"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53.2</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416"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268"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51.5</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407"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297"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49.9</w:t>
            </w:r>
          </w:p>
        </w:tc>
      </w:tr>
      <w:tr>
        <w:trPr/>
        <w:tc>
          <w:tcPr>
            <w:tcW w:w="4953"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Supplemental non-cash information on lease liabilities arising from obtaining ROU assets:</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416" w:type="dxa"/>
            <w:tcBorders/>
            <w:shd w:fill="FFFFFF" w:val="clear"/>
            <w:tcMar>
              <w:bottom w:w="0" w:type="dxa"/>
            </w:tcMar>
            <w:vAlign w:val="center"/>
          </w:tcPr>
          <w:p>
            <w:pPr>
              <w:pStyle w:val="TableContents"/>
              <w:bidi w:val="0"/>
              <w:spacing w:lineRule="atLeast" w:line="240" w:before="0" w:after="0"/>
              <w:jc w:val="left"/>
              <w:rPr/>
            </w:pPr>
            <w:r>
              <w:rPr/>
              <w:t> </w:t>
            </w:r>
          </w:p>
        </w:tc>
        <w:tc>
          <w:tcPr>
            <w:tcW w:w="1268" w:type="dxa"/>
            <w:tcBorders/>
            <w:shd w:fill="FFFFFF" w:val="clear"/>
            <w:tcMar>
              <w:bottom w:w="0" w:type="dxa"/>
            </w:tcMar>
            <w:vAlign w:val="center"/>
          </w:tcPr>
          <w:p>
            <w:pPr>
              <w:pStyle w:val="TableContents"/>
              <w:bidi w:val="0"/>
              <w:spacing w:lineRule="atLeast" w:line="240" w:before="0" w:after="0"/>
              <w:jc w:val="right"/>
              <w:rPr/>
            </w:pPr>
            <w:r>
              <w:rPr/>
              <w:t> </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416" w:type="dxa"/>
            <w:tcBorders/>
            <w:shd w:fill="FFFFFF" w:val="clear"/>
            <w:tcMar>
              <w:bottom w:w="0" w:type="dxa"/>
            </w:tcMar>
            <w:vAlign w:val="center"/>
          </w:tcPr>
          <w:p>
            <w:pPr>
              <w:pStyle w:val="TableContents"/>
              <w:bidi w:val="0"/>
              <w:spacing w:lineRule="atLeast" w:line="240" w:before="0" w:after="0"/>
              <w:jc w:val="left"/>
              <w:rPr/>
            </w:pPr>
            <w:r>
              <w:rPr/>
              <w:t> </w:t>
            </w:r>
          </w:p>
        </w:tc>
        <w:tc>
          <w:tcPr>
            <w:tcW w:w="1268" w:type="dxa"/>
            <w:tcBorders/>
            <w:shd w:fill="FFFFFF" w:val="clear"/>
            <w:tcMar>
              <w:bottom w:w="0" w:type="dxa"/>
            </w:tcMar>
            <w:vAlign w:val="center"/>
          </w:tcPr>
          <w:p>
            <w:pPr>
              <w:pStyle w:val="TableContents"/>
              <w:bidi w:val="0"/>
              <w:spacing w:lineRule="atLeast" w:line="240" w:before="0" w:after="0"/>
              <w:jc w:val="right"/>
              <w:rPr/>
            </w:pPr>
            <w:r>
              <w:rPr/>
              <w:t> </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407" w:type="dxa"/>
            <w:tcBorders/>
            <w:shd w:fill="FFFFFF" w:val="clear"/>
            <w:tcMar>
              <w:bottom w:w="0" w:type="dxa"/>
            </w:tcMar>
            <w:vAlign w:val="center"/>
          </w:tcPr>
          <w:p>
            <w:pPr>
              <w:pStyle w:val="TableContents"/>
              <w:bidi w:val="0"/>
              <w:spacing w:lineRule="atLeast" w:line="240" w:before="0" w:after="0"/>
              <w:jc w:val="left"/>
              <w:rPr/>
            </w:pPr>
            <w:r>
              <w:rPr/>
              <w:t> </w:t>
            </w:r>
          </w:p>
        </w:tc>
        <w:tc>
          <w:tcPr>
            <w:tcW w:w="1297" w:type="dxa"/>
            <w:tcBorders/>
            <w:shd w:fill="FFFFFF" w:val="clear"/>
            <w:tcMar>
              <w:bottom w:w="0" w:type="dxa"/>
            </w:tcMar>
            <w:vAlign w:val="center"/>
          </w:tcPr>
          <w:p>
            <w:pPr>
              <w:pStyle w:val="TableContents"/>
              <w:bidi w:val="0"/>
              <w:spacing w:lineRule="atLeast" w:line="240" w:before="0" w:after="0"/>
              <w:jc w:val="right"/>
              <w:rPr/>
            </w:pPr>
            <w:r>
              <w:rPr/>
              <w:t> </w:t>
            </w:r>
          </w:p>
        </w:tc>
      </w:tr>
      <w:tr>
        <w:trPr/>
        <w:tc>
          <w:tcPr>
            <w:tcW w:w="4953" w:type="dxa"/>
            <w:tcBorders/>
            <w:shd w:fill="CCEEFF" w:val="clear"/>
            <w:tcMar>
              <w:bottom w:w="0" w:type="dxa"/>
            </w:tcMar>
            <w:vAlign w:val="center"/>
          </w:tcPr>
          <w:p>
            <w:pPr>
              <w:pStyle w:val="TableContents"/>
              <w:bidi w:val="0"/>
              <w:spacing w:lineRule="atLeast" w:line="240" w:before="0" w:after="0"/>
              <w:ind w:left="720" w:right="0" w:hanging="0"/>
              <w:jc w:val="left"/>
              <w:rPr>
                <w:rFonts w:ascii="Times New Roman" w:hAnsi="Times New Roman"/>
                <w:sz w:val="20"/>
              </w:rPr>
            </w:pPr>
            <w:r>
              <w:rPr>
                <w:rFonts w:ascii="Times New Roman" w:hAnsi="Times New Roman"/>
                <w:sz w:val="20"/>
              </w:rPr>
              <w:t>ROU assets obtained in exchange for new operating lease liabilities</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416"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268"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66.2</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416"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268"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51.0</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407"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1297"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49.9</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(a) Included in Net cash provided by operating activities on the Company's Consolidated Statements of Cash Flows.</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53" w:name="bm_7b6a1e2f50963678"/>
        <w:bookmarkEnd w:id="53"/>
        <w:r>
          <w:rPr>
            <w:rStyle w:val="InternetLink"/>
            <w:rFonts w:ascii="Times New Roman" w:hAnsi="Times New Roman"/>
            <w:b/>
            <w:strike w:val="false"/>
            <w:dstrike w:val="false"/>
            <w:color w:val="000000"/>
            <w:sz w:val="20"/>
            <w:u w:val="none"/>
            <w:effect w:val="none"/>
          </w:rPr>
          <w:t>(15) Income Taxes</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sources of income before income taxes for the years ended December 31, 2025, 2024</w:t>
      </w:r>
      <w:r>
        <w:rPr/>
        <w:t xml:space="preserve"> </w:t>
      </w:r>
      <w:r>
        <w:rPr>
          <w:rFonts w:ascii="Times New Roman" w:hAnsi="Times New Roman"/>
          <w:sz w:val="20"/>
        </w:rPr>
        <w:t>and 2023</w:t>
      </w:r>
      <w:r>
        <w:rPr/>
        <w:t xml:space="preserve"> </w:t>
      </w:r>
      <w:r>
        <w:rPr>
          <w:rFonts w:ascii="Times New Roman" w:hAnsi="Times New Roman"/>
          <w:sz w:val="20"/>
        </w:rPr>
        <w:t>are presented as follows:</w:t>
      </w:r>
    </w:p>
    <w:p>
      <w:pPr>
        <w:pStyle w:val="TextBody"/>
        <w:bidi w:val="0"/>
        <w:spacing w:lineRule="atLeast" w:line="240" w:before="0" w:after="0"/>
        <w:jc w:val="both"/>
        <w:rPr/>
      </w:pPr>
      <w:r>
        <w:rPr/>
        <w:t> </w:t>
      </w:r>
    </w:p>
    <w:tbl>
      <w:tblPr>
        <w:tblW w:w="4940" w:type="dxa"/>
        <w:jc w:val="left"/>
        <w:tblInd w:w="0" w:type="dxa"/>
        <w:tblLayout w:type="fixed"/>
        <w:tblCellMar>
          <w:top w:w="0" w:type="dxa"/>
          <w:left w:w="0" w:type="dxa"/>
          <w:bottom w:w="0" w:type="dxa"/>
          <w:right w:w="0" w:type="dxa"/>
        </w:tblCellMar>
      </w:tblPr>
      <w:tblGrid>
        <w:gridCol w:w="2780"/>
        <w:gridCol w:w="60"/>
        <w:gridCol w:w="125"/>
        <w:gridCol w:w="605"/>
        <w:gridCol w:w="60"/>
        <w:gridCol w:w="125"/>
        <w:gridCol w:w="500"/>
        <w:gridCol w:w="60"/>
        <w:gridCol w:w="125"/>
        <w:gridCol w:w="500"/>
      </w:tblGrid>
      <w:tr>
        <w:trPr/>
        <w:tc>
          <w:tcPr>
            <w:tcW w:w="278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2100" w:type="dxa"/>
            <w:gridSpan w:val="8"/>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r>
      <w:tr>
        <w:trPr/>
        <w:tc>
          <w:tcPr>
            <w:tcW w:w="278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2023</w:t>
            </w:r>
          </w:p>
        </w:tc>
      </w:tr>
      <w:tr>
        <w:trPr/>
        <w:tc>
          <w:tcPr>
            <w:tcW w:w="278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Income before taxes: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50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50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2780"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(100.4)</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50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(29.7)</w:t>
            </w:r>
          </w:p>
        </w:tc>
        <w:tc>
          <w:tcPr>
            <w:tcW w:w="60"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2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50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7.0</w:t>
            </w:r>
          </w:p>
        </w:tc>
      </w:tr>
      <w:tr>
        <w:trPr/>
        <w:tc>
          <w:tcPr>
            <w:tcW w:w="2780"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Foreign</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548.6</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 </w:t>
            </w:r>
          </w:p>
        </w:tc>
        <w:tc>
          <w:tcPr>
            <w:tcW w:w="50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478.6</w:t>
            </w:r>
          </w:p>
        </w:tc>
        <w:tc>
          <w:tcPr>
            <w:tcW w:w="60"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 </w:t>
            </w:r>
          </w:p>
        </w:tc>
        <w:tc>
          <w:tcPr>
            <w:tcW w:w="50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393.4</w:t>
            </w:r>
          </w:p>
        </w:tc>
      </w:tr>
      <w:tr>
        <w:trPr/>
        <w:tc>
          <w:tcPr>
            <w:tcW w:w="2780"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income before income taxes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0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448.2</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5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448.9</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50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400.4</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Company's income tax expense for the years ended December 31, 2025, 2024</w:t>
      </w:r>
      <w:r>
        <w:rPr/>
        <w:t xml:space="preserve"> </w:t>
      </w:r>
      <w:r>
        <w:rPr>
          <w:rFonts w:ascii="Times New Roman" w:hAnsi="Times New Roman"/>
          <w:sz w:val="20"/>
        </w:rPr>
        <w:t>and 2023</w:t>
      </w:r>
      <w:r>
        <w:rPr/>
        <w:t xml:space="preserve"> </w:t>
      </w:r>
      <w:r>
        <w:rPr>
          <w:rFonts w:ascii="Times New Roman" w:hAnsi="Times New Roman"/>
          <w:sz w:val="20"/>
        </w:rPr>
        <w:t>consisted of the following:</w:t>
      </w:r>
    </w:p>
    <w:p>
      <w:pPr>
        <w:pStyle w:val="TextBody"/>
        <w:bidi w:val="0"/>
        <w:spacing w:lineRule="atLeast" w:line="240" w:before="0" w:after="0"/>
        <w:jc w:val="left"/>
        <w:rPr/>
      </w:pPr>
      <w:r>
        <w:rPr/>
        <w:t> </w:t>
      </w:r>
    </w:p>
    <w:tbl>
      <w:tblPr>
        <w:tblW w:w="4565" w:type="dxa"/>
        <w:jc w:val="left"/>
        <w:tblInd w:w="0" w:type="dxa"/>
        <w:tblLayout w:type="fixed"/>
        <w:tblCellMar>
          <w:top w:w="0" w:type="dxa"/>
          <w:left w:w="0" w:type="dxa"/>
          <w:bottom w:w="0" w:type="dxa"/>
          <w:right w:w="0" w:type="dxa"/>
        </w:tblCellMar>
      </w:tblPr>
      <w:tblGrid>
        <w:gridCol w:w="2525"/>
        <w:gridCol w:w="60"/>
        <w:gridCol w:w="125"/>
        <w:gridCol w:w="500"/>
        <w:gridCol w:w="60"/>
        <w:gridCol w:w="125"/>
        <w:gridCol w:w="485"/>
        <w:gridCol w:w="60"/>
        <w:gridCol w:w="125"/>
        <w:gridCol w:w="500"/>
      </w:tblGrid>
      <w:tr>
        <w:trPr/>
        <w:tc>
          <w:tcPr>
            <w:tcW w:w="252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80" w:type="dxa"/>
            <w:gridSpan w:val="8"/>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r>
      <w:tr>
        <w:trPr/>
        <w:tc>
          <w:tcPr>
            <w:tcW w:w="252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2023</w:t>
            </w:r>
          </w:p>
        </w:tc>
      </w:tr>
      <w:tr>
        <w:trPr/>
        <w:tc>
          <w:tcPr>
            <w:tcW w:w="252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Current tax expense (benefit):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50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48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50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252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U.S. Federal</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50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1.9</w:t>
            </w:r>
          </w:p>
        </w:tc>
        <w:tc>
          <w:tcPr>
            <w:tcW w:w="60"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2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50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2.8</w:t>
            </w:r>
          </w:p>
        </w:tc>
      </w:tr>
      <w:tr>
        <w:trPr/>
        <w:tc>
          <w:tcPr>
            <w:tcW w:w="252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U.S. state and local</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50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13.3</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shd w:fill="CCEEFF" w:val="clear"/>
            <w:vAlign w:val="center"/>
          </w:tcPr>
          <w:p>
            <w:pPr>
              <w:pStyle w:val="TableContents"/>
              <w:bidi w:val="0"/>
              <w:spacing w:lineRule="atLeast" w:line="240" w:before="0" w:after="0"/>
              <w:jc w:val="right"/>
              <w:rPr/>
            </w:pPr>
            <w:r>
              <w:rPr/>
              <w:t> </w:t>
            </w:r>
          </w:p>
        </w:tc>
        <w:tc>
          <w:tcPr>
            <w:tcW w:w="48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25" w:type="dxa"/>
            <w:tcBorders/>
            <w:shd w:fill="CCEEFF" w:val="clear"/>
            <w:vAlign w:val="center"/>
          </w:tcPr>
          <w:p>
            <w:pPr>
              <w:pStyle w:val="TableContents"/>
              <w:bidi w:val="0"/>
              <w:spacing w:lineRule="atLeast" w:line="240" w:before="0" w:after="0"/>
              <w:jc w:val="right"/>
              <w:rPr/>
            </w:pPr>
            <w:r>
              <w:rPr/>
              <w:t> </w:t>
            </w:r>
          </w:p>
        </w:tc>
        <w:tc>
          <w:tcPr>
            <w:tcW w:w="50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w:t>
            </w:r>
          </w:p>
        </w:tc>
      </w:tr>
      <w:tr>
        <w:trPr/>
        <w:tc>
          <w:tcPr>
            <w:tcW w:w="252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Foreign</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143.3</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pPr>
            <w:r>
              <w:rPr/>
              <w:t> </w:t>
            </w:r>
          </w:p>
        </w:tc>
        <w:tc>
          <w:tcPr>
            <w:tcW w:w="485"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118.6</w:t>
            </w:r>
          </w:p>
        </w:tc>
        <w:tc>
          <w:tcPr>
            <w:tcW w:w="60"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pPr>
            <w:r>
              <w:rPr/>
              <w:t> </w:t>
            </w:r>
          </w:p>
        </w:tc>
        <w:tc>
          <w:tcPr>
            <w:tcW w:w="500"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102.9</w:t>
            </w:r>
          </w:p>
        </w:tc>
      </w:tr>
      <w:tr>
        <w:trPr/>
        <w:tc>
          <w:tcPr>
            <w:tcW w:w="252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current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50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157.2</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pPr>
            <w:r>
              <w:rPr/>
              <w:t> </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122.9</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pPr>
            <w:r>
              <w:rPr/>
              <w:t> </w:t>
            </w:r>
          </w:p>
        </w:tc>
        <w:tc>
          <w:tcPr>
            <w:tcW w:w="50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108.0</w:t>
            </w:r>
          </w:p>
        </w:tc>
      </w:tr>
      <w:tr>
        <w:trPr/>
        <w:tc>
          <w:tcPr>
            <w:tcW w:w="25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Deferred tax expense (benefit):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500"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485"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500" w:type="dxa"/>
            <w:tcBorders>
              <w:top w:val="single" w:sz="8" w:space="0" w:color="000000"/>
            </w:tcBorders>
            <w:shd w:fill="FFFFFF" w:val="clear"/>
            <w:tcMar>
              <w:top w:w="28" w:type="dxa"/>
            </w:tcMar>
            <w:vAlign w:val="center"/>
          </w:tcPr>
          <w:p>
            <w:pPr>
              <w:pStyle w:val="TableContents"/>
              <w:bidi w:val="0"/>
              <w:spacing w:lineRule="atLeast" w:line="240" w:before="0" w:after="0"/>
              <w:jc w:val="right"/>
              <w:rPr/>
            </w:pPr>
            <w:r>
              <w:rPr/>
              <w:t> </w:t>
            </w:r>
          </w:p>
        </w:tc>
      </w:tr>
      <w:tr>
        <w:trPr/>
        <w:tc>
          <w:tcPr>
            <w:tcW w:w="252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U.S. Federal</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500"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(13.9)</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shd w:fill="CCEEFF" w:val="clear"/>
            <w:vAlign w:val="center"/>
          </w:tcPr>
          <w:p>
            <w:pPr>
              <w:pStyle w:val="TableContents"/>
              <w:bidi w:val="0"/>
              <w:spacing w:lineRule="atLeast" w:line="240" w:before="0" w:after="0"/>
              <w:jc w:val="right"/>
              <w:rPr/>
            </w:pPr>
            <w:r>
              <w:rPr/>
              <w:t> </w:t>
            </w:r>
          </w:p>
        </w:tc>
        <w:tc>
          <w:tcPr>
            <w:tcW w:w="485"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4.5</w:t>
            </w:r>
          </w:p>
        </w:tc>
        <w:tc>
          <w:tcPr>
            <w:tcW w:w="60"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25" w:type="dxa"/>
            <w:tcBorders/>
            <w:shd w:fill="CCEEFF" w:val="clear"/>
            <w:vAlign w:val="center"/>
          </w:tcPr>
          <w:p>
            <w:pPr>
              <w:pStyle w:val="TableContents"/>
              <w:bidi w:val="0"/>
              <w:spacing w:lineRule="atLeast" w:line="240" w:before="0" w:after="0"/>
              <w:jc w:val="right"/>
              <w:rPr/>
            </w:pPr>
            <w:r>
              <w:rPr/>
              <w:t> </w:t>
            </w:r>
          </w:p>
        </w:tc>
        <w:tc>
          <w:tcPr>
            <w:tcW w:w="50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10.4</w:t>
            </w:r>
          </w:p>
        </w:tc>
      </w:tr>
      <w:tr>
        <w:trPr/>
        <w:tc>
          <w:tcPr>
            <w:tcW w:w="252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U.S. state and local</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50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(10.0)</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shd w:fill="FFFFFF" w:val="clear"/>
            <w:vAlign w:val="center"/>
          </w:tcPr>
          <w:p>
            <w:pPr>
              <w:pStyle w:val="TableContents"/>
              <w:bidi w:val="0"/>
              <w:spacing w:lineRule="atLeast" w:line="240" w:before="0" w:after="0"/>
              <w:jc w:val="right"/>
              <w:rPr/>
            </w:pPr>
            <w:r>
              <w:rPr/>
              <w:t> </w:t>
            </w:r>
          </w:p>
        </w:tc>
        <w:tc>
          <w:tcPr>
            <w:tcW w:w="48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25" w:type="dxa"/>
            <w:tcBorders/>
            <w:shd w:fill="FFFFFF" w:val="clear"/>
            <w:vAlign w:val="center"/>
          </w:tcPr>
          <w:p>
            <w:pPr>
              <w:pStyle w:val="TableContents"/>
              <w:bidi w:val="0"/>
              <w:spacing w:lineRule="atLeast" w:line="240" w:before="0" w:after="0"/>
              <w:jc w:val="right"/>
              <w:rPr/>
            </w:pPr>
            <w:r>
              <w:rPr/>
              <w:t> </w:t>
            </w:r>
          </w:p>
        </w:tc>
        <w:tc>
          <w:tcPr>
            <w:tcW w:w="50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w:t>
            </w:r>
          </w:p>
        </w:tc>
      </w:tr>
      <w:tr>
        <w:trPr/>
        <w:tc>
          <w:tcPr>
            <w:tcW w:w="252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Foreign</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 </w:t>
            </w:r>
          </w:p>
        </w:tc>
        <w:tc>
          <w:tcPr>
            <w:tcW w:w="48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13.6</w:t>
            </w:r>
          </w:p>
        </w:tc>
        <w:tc>
          <w:tcPr>
            <w:tcW w:w="60"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pPr>
            <w:r>
              <w:rPr/>
              <w:t> </w:t>
            </w:r>
          </w:p>
        </w:tc>
        <w:tc>
          <w:tcPr>
            <w:tcW w:w="50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0.7</w:t>
            </w:r>
          </w:p>
        </w:tc>
      </w:tr>
      <w:tr>
        <w:trPr/>
        <w:tc>
          <w:tcPr>
            <w:tcW w:w="2525"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deferred</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50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(22.0)</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19.7</w:t>
            </w:r>
          </w:p>
        </w:tc>
        <w:tc>
          <w:tcPr>
            <w:tcW w:w="60" w:type="dxa"/>
            <w:tcBorders/>
            <w:shd w:fill="FFFFFF" w:val="clear"/>
            <w:vAlign w:val="center"/>
          </w:tcPr>
          <w:p>
            <w:pPr>
              <w:pStyle w:val="TableContents"/>
              <w:bidi w:val="0"/>
              <w:spacing w:lineRule="atLeast" w:line="240"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pPr>
            <w:r>
              <w:rPr/>
              <w:t> </w:t>
            </w:r>
          </w:p>
        </w:tc>
        <w:tc>
          <w:tcPr>
            <w:tcW w:w="50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12.9</w:t>
            </w:r>
          </w:p>
        </w:tc>
      </w:tr>
      <w:tr>
        <w:trPr/>
        <w:tc>
          <w:tcPr>
            <w:tcW w:w="252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tax expense</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5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135.2</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142.6</w:t>
            </w:r>
          </w:p>
        </w:tc>
        <w:tc>
          <w:tcPr>
            <w:tcW w:w="60" w:type="dxa"/>
            <w:tcBorders/>
            <w:shd w:fill="CCEEFF" w:val="clear"/>
            <w:vAlign w:val="center"/>
          </w:tcPr>
          <w:p>
            <w:pPr>
              <w:pStyle w:val="TableContents"/>
              <w:bidi w:val="0"/>
              <w:spacing w:lineRule="atLeast" w:line="240"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5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120.9</w:t>
            </w:r>
          </w:p>
        </w:tc>
      </w:tr>
    </w:tbl>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Beginning in 2025 annual reporting, we adopted ASU 2023-09 prospectively. See Note 3 – Summary of Significant Accounting Policies –Recently Adopted Accounting Pronouncements for additional details on the adoption of ASU 2023-09. A reconciliation of the U.S. federal statutory income tax rate to our effective tax rate pursuant to the disclosure requirements of ASU 2023-09 for the year ended December 31, 2025</w:t>
      </w:r>
      <w:r>
        <w:rPr/>
        <w:t xml:space="preserve"> </w:t>
      </w:r>
      <w:r>
        <w:rPr>
          <w:rFonts w:ascii="Times New Roman" w:hAnsi="Times New Roman"/>
          <w:sz w:val="20"/>
        </w:rPr>
        <w:t>is as follows (in millions, except for percentages):</w:t>
      </w:r>
    </w:p>
    <w:p>
      <w:pPr>
        <w:pStyle w:val="TextBody"/>
        <w:bidi w:val="0"/>
        <w:spacing w:lineRule="atLeast" w:line="240" w:before="0" w:after="0"/>
        <w:jc w:val="both"/>
        <w:rPr/>
      </w:pPr>
      <w:r>
        <w:rPr/>
        <w:t> </w:t>
      </w:r>
    </w:p>
    <w:tbl>
      <w:tblPr>
        <w:tblW w:w="8247" w:type="dxa"/>
        <w:jc w:val="left"/>
        <w:tblInd w:w="0" w:type="dxa"/>
        <w:tblLayout w:type="fixed"/>
        <w:tblCellMar>
          <w:top w:w="0" w:type="dxa"/>
          <w:left w:w="0" w:type="dxa"/>
          <w:bottom w:w="0" w:type="dxa"/>
          <w:right w:w="0" w:type="dxa"/>
        </w:tblCellMar>
      </w:tblPr>
      <w:tblGrid>
        <w:gridCol w:w="5675"/>
        <w:gridCol w:w="60"/>
        <w:gridCol w:w="232"/>
        <w:gridCol w:w="929"/>
        <w:gridCol w:w="111"/>
        <w:gridCol w:w="111"/>
        <w:gridCol w:w="929"/>
        <w:gridCol w:w="200"/>
      </w:tblGrid>
      <w:tr>
        <w:trPr/>
        <w:tc>
          <w:tcPr>
            <w:tcW w:w="567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2312"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 2025</w:t>
            </w:r>
          </w:p>
        </w:tc>
        <w:tc>
          <w:tcPr>
            <w:tcW w:w="200" w:type="dxa"/>
            <w:tcBorders/>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jc w:val="left"/>
              <w:rPr/>
            </w:pPr>
            <w:r>
              <w:rPr>
                <w:rFonts w:ascii="Times New Roman" w:hAnsi="Times New Roman"/>
                <w:sz w:val="20"/>
              </w:rPr>
              <w:t>U.S.</w:t>
            </w:r>
            <w:r>
              <w:rPr/>
              <w:t xml:space="preserve"> </w:t>
            </w:r>
            <w:r>
              <w:rPr>
                <w:rFonts w:ascii="Times New Roman" w:hAnsi="Times New Roman"/>
                <w:sz w:val="20"/>
              </w:rPr>
              <w:t>Federal income tax expense (benefit) at applicable statutory rate:</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2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94.1</w:t>
            </w:r>
          </w:p>
        </w:tc>
        <w:tc>
          <w:tcPr>
            <w:tcW w:w="111"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111"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92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21.00</w:t>
            </w:r>
          </w:p>
        </w:tc>
        <w:tc>
          <w:tcPr>
            <w:tcW w:w="20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r>
      <w:tr>
        <w:trPr/>
        <w:tc>
          <w:tcPr>
            <w:tcW w:w="567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Effects of cross border tax laws</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(0.8)</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(0.18)</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Changes in valuation allowance</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13.2</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2.95</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Nontaxable and nondeductible items</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Stock compensation</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5.90</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1.31</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State and local income taxes, net of federal effect</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0.40</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0.10</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2.80</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0.60</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Foreign</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Germany</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pPr>
            <w:r>
              <w:rPr/>
              <w:t> </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State and local income taxes</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12.1</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2.69</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(5.5)</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(1.24)</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Netherlands</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Nontaxable and nondeductible items</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pPr>
            <w:r>
              <w:rPr/>
              <w:t> </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576" w:right="0" w:hanging="0"/>
              <w:jc w:val="left"/>
              <w:rPr>
                <w:rFonts w:ascii="Times New Roman" w:hAnsi="Times New Roman"/>
                <w:sz w:val="20"/>
              </w:rPr>
            </w:pPr>
            <w:r>
              <w:rPr>
                <w:rFonts w:ascii="Times New Roman" w:hAnsi="Times New Roman"/>
                <w:sz w:val="20"/>
              </w:rPr>
              <w:t>Loss on corporate reorganization</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(28.3)</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(6.31)</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Withholding tax</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5.4</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1.21</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(0.81)</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United Kingdom</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pPr>
            <w:r>
              <w:rPr/>
              <w:t> </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Nontaxable and nondeductible items</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pPr>
            <w:r>
              <w:rPr/>
              <w:t> </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576" w:right="0" w:hanging="0"/>
              <w:jc w:val="left"/>
              <w:rPr>
                <w:rFonts w:ascii="Times New Roman" w:hAnsi="Times New Roman"/>
                <w:sz w:val="20"/>
              </w:rPr>
            </w:pPr>
            <w:r>
              <w:rPr>
                <w:rFonts w:ascii="Times New Roman" w:hAnsi="Times New Roman"/>
                <w:sz w:val="20"/>
              </w:rPr>
              <w:t>Gain on corporate reorganization</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29.5</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6.59</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ind w:left="432"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4.6</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shd w:fill="FFFFFF" w:val="clear"/>
            <w:vAlign w:val="center"/>
          </w:tcPr>
          <w:p>
            <w:pPr>
              <w:pStyle w:val="TableContents"/>
              <w:bidi w:val="0"/>
              <w:spacing w:lineRule="atLeast" w:line="240" w:before="0" w:after="0"/>
              <w:jc w:val="left"/>
              <w:rPr/>
            </w:pPr>
            <w:r>
              <w:rPr/>
              <w:t> </w:t>
            </w:r>
          </w:p>
        </w:tc>
        <w:tc>
          <w:tcPr>
            <w:tcW w:w="929"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1.03</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Other foreign jurisdictions</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16.9</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shd w:fill="CCEEFF" w:val="clear"/>
            <w:vAlign w:val="center"/>
          </w:tcPr>
          <w:p>
            <w:pPr>
              <w:pStyle w:val="TableContents"/>
              <w:bidi w:val="0"/>
              <w:spacing w:lineRule="atLeast" w:line="240" w:before="0" w:after="0"/>
              <w:jc w:val="left"/>
              <w:rPr/>
            </w:pPr>
            <w:r>
              <w:rPr/>
              <w:t> </w:t>
            </w:r>
          </w:p>
        </w:tc>
        <w:tc>
          <w:tcPr>
            <w:tcW w:w="929"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3.78</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67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Changes in unrecognized tax benefits</w:t>
            </w:r>
          </w:p>
        </w:tc>
        <w:tc>
          <w:tcPr>
            <w:tcW w:w="60" w:type="dxa"/>
            <w:tcBorders/>
            <w:shd w:fill="FFFFFF" w:val="clear"/>
            <w:vAlign w:val="center"/>
          </w:tcPr>
          <w:p>
            <w:pPr>
              <w:pStyle w:val="TableContents"/>
              <w:bidi w:val="0"/>
              <w:spacing w:lineRule="atLeast" w:line="240" w:before="0" w:after="0"/>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(11.4)</w:t>
            </w:r>
          </w:p>
        </w:tc>
        <w:tc>
          <w:tcPr>
            <w:tcW w:w="111" w:type="dxa"/>
            <w:tcBorders/>
            <w:shd w:fill="FFFFFF" w:val="clear"/>
            <w:vAlign w:val="center"/>
          </w:tcPr>
          <w:p>
            <w:pPr>
              <w:pStyle w:val="TableContents"/>
              <w:bidi w:val="0"/>
              <w:spacing w:lineRule="atLeast" w:line="240" w:before="0" w:after="0"/>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92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(2.55)</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67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lineRule="atLeast" w:line="240" w:before="0" w:after="0"/>
              <w:jc w:val="left"/>
              <w:rPr/>
            </w:pPr>
            <w:r>
              <w:rPr/>
              <w:t> </w:t>
            </w:r>
          </w:p>
        </w:tc>
        <w:tc>
          <w:tcPr>
            <w:tcW w:w="2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9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135.2</w:t>
            </w:r>
          </w:p>
        </w:tc>
        <w:tc>
          <w:tcPr>
            <w:tcW w:w="111" w:type="dxa"/>
            <w:tcBorders/>
            <w:shd w:fill="CCEEFF" w:val="clear"/>
            <w:vAlign w:val="center"/>
          </w:tcPr>
          <w:p>
            <w:pPr>
              <w:pStyle w:val="TableContents"/>
              <w:bidi w:val="0"/>
              <w:spacing w:lineRule="atLeast" w:line="240" w:before="0" w:after="0"/>
              <w:jc w:val="left"/>
              <w:rPr/>
            </w:pPr>
            <w:r>
              <w:rPr/>
              <w:t> </w:t>
            </w:r>
          </w:p>
        </w:tc>
        <w:tc>
          <w:tcPr>
            <w:tcW w:w="1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pPr>
            <w:r>
              <w:rPr/>
              <w:t> </w:t>
            </w:r>
          </w:p>
        </w:tc>
        <w:tc>
          <w:tcPr>
            <w:tcW w:w="9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30.17</w:t>
            </w:r>
          </w:p>
        </w:tc>
        <w:tc>
          <w:tcPr>
            <w:tcW w:w="20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is a reconciliation of the federal statutory income tax rates of 21% to the effective income tax rate for the years ended December 31, 2024, and 2023:</w:t>
      </w:r>
    </w:p>
    <w:p>
      <w:pPr>
        <w:pStyle w:val="TextBody"/>
        <w:bidi w:val="0"/>
        <w:spacing w:lineRule="atLeast" w:line="240" w:before="0" w:after="0"/>
        <w:jc w:val="left"/>
        <w:rPr/>
      </w:pPr>
      <w:r>
        <w:rPr/>
        <w:t> </w:t>
      </w:r>
    </w:p>
    <w:tbl>
      <w:tblPr>
        <w:tblW w:w="8112" w:type="dxa"/>
        <w:jc w:val="left"/>
        <w:tblInd w:w="0" w:type="dxa"/>
        <w:tblLayout w:type="fixed"/>
        <w:tblCellMar>
          <w:top w:w="0" w:type="dxa"/>
          <w:left w:w="0" w:type="dxa"/>
          <w:bottom w:w="0" w:type="dxa"/>
          <w:right w:w="0" w:type="dxa"/>
        </w:tblCellMar>
      </w:tblPr>
      <w:tblGrid>
        <w:gridCol w:w="5945"/>
        <w:gridCol w:w="60"/>
        <w:gridCol w:w="169"/>
        <w:gridCol w:w="659"/>
        <w:gridCol w:w="251"/>
        <w:gridCol w:w="169"/>
        <w:gridCol w:w="659"/>
        <w:gridCol w:w="200"/>
      </w:tblGrid>
      <w:tr>
        <w:trPr/>
        <w:tc>
          <w:tcPr>
            <w:tcW w:w="594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07"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c>
          <w:tcPr>
            <w:tcW w:w="200" w:type="dxa"/>
            <w:tcBorders/>
            <w:vAlign w:val="center"/>
          </w:tcPr>
          <w:p>
            <w:pPr>
              <w:pStyle w:val="TableContents"/>
              <w:bidi w:val="0"/>
              <w:spacing w:lineRule="atLeast" w:line="240" w:before="0" w:after="0"/>
              <w:jc w:val="left"/>
              <w:rPr/>
            </w:pPr>
            <w:r>
              <w:rPr/>
              <w:t> </w:t>
            </w:r>
          </w:p>
        </w:tc>
      </w:tr>
      <w:tr>
        <w:trPr/>
        <w:tc>
          <w:tcPr>
            <w:tcW w:w="594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lineRule="atLeast" w:line="240" w:before="0" w:after="0"/>
              <w:jc w:val="left"/>
              <w:rPr/>
            </w:pPr>
            <w:r>
              <w:rPr/>
              <w:t> </w:t>
            </w:r>
          </w:p>
        </w:tc>
        <w:tc>
          <w:tcPr>
            <w:tcW w:w="169"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59"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c>
          <w:tcPr>
            <w:tcW w:w="251"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69"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59"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2023</w:t>
            </w:r>
          </w:p>
        </w:tc>
        <w:tc>
          <w:tcPr>
            <w:tcW w:w="200" w:type="dxa"/>
            <w:tcBorders/>
            <w:vAlign w:val="center"/>
          </w:tcPr>
          <w:p>
            <w:pPr>
              <w:pStyle w:val="TableContents"/>
              <w:bidi w:val="0"/>
              <w:spacing w:lineRule="atLeast" w:line="240" w:before="0" w:after="0"/>
              <w:jc w:val="left"/>
              <w:rPr/>
            </w:pPr>
            <w:r>
              <w:rPr/>
              <w:t> </w:t>
            </w:r>
          </w:p>
        </w:tc>
      </w:tr>
      <w:tr>
        <w:trPr/>
        <w:tc>
          <w:tcPr>
            <w:tcW w:w="594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U.S. federal income tax expense at applicable statutory rate</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65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94.3</w:t>
            </w:r>
          </w:p>
        </w:tc>
        <w:tc>
          <w:tcPr>
            <w:tcW w:w="251"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6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659"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84.1</w:t>
            </w:r>
          </w:p>
        </w:tc>
        <w:tc>
          <w:tcPr>
            <w:tcW w:w="200" w:type="dxa"/>
            <w:tcBorders/>
            <w:shd w:fill="CCEE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Tax effect of:</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pPr>
            <w:r>
              <w:rPr/>
              <w:t> </w:t>
            </w:r>
          </w:p>
        </w:tc>
        <w:tc>
          <w:tcPr>
            <w:tcW w:w="251" w:type="dxa"/>
            <w:tcBorders/>
            <w:shd w:fill="FFFFFF" w:val="clear"/>
            <w:vAlign w:val="center"/>
          </w:tcPr>
          <w:p>
            <w:pPr>
              <w:pStyle w:val="TableContents"/>
              <w:bidi w:val="0"/>
              <w:spacing w:lineRule="atLeast" w:line="240" w:before="0" w:after="0"/>
              <w:jc w:val="right"/>
              <w:rPr/>
            </w:pPr>
            <w:r>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pPr>
            <w:r>
              <w:rPr/>
              <w:t> </w:t>
            </w:r>
          </w:p>
        </w:tc>
        <w:tc>
          <w:tcPr>
            <w:tcW w:w="200" w:type="dxa"/>
            <w:tcBorders/>
            <w:shd w:fill="FFFFFF" w:val="clear"/>
            <w:vAlign w:val="center"/>
          </w:tcPr>
          <w:p>
            <w:pPr>
              <w:pStyle w:val="TableContents"/>
              <w:bidi w:val="0"/>
              <w:spacing w:lineRule="atLeast" w:line="240" w:before="0" w:after="0"/>
              <w:jc w:val="left"/>
              <w:rPr/>
            </w:pPr>
            <w:r>
              <w:rPr/>
              <w:t> </w:t>
            </w:r>
          </w:p>
        </w:tc>
      </w:tr>
      <w:tr>
        <w:trPr/>
        <w:tc>
          <w:tcPr>
            <w:tcW w:w="594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State income tax expense at statutory rates, net of U.S. federal income tax</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3.5</w:t>
            </w:r>
          </w:p>
        </w:tc>
        <w:tc>
          <w:tcPr>
            <w:tcW w:w="251"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3.7</w:t>
            </w:r>
          </w:p>
        </w:tc>
        <w:tc>
          <w:tcPr>
            <w:tcW w:w="200" w:type="dxa"/>
            <w:tcBorders/>
            <w:shd w:fill="CCEE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Non-deductible expenses</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4.1</w:t>
            </w:r>
          </w:p>
        </w:tc>
        <w:tc>
          <w:tcPr>
            <w:tcW w:w="251"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2.9</w:t>
            </w:r>
          </w:p>
        </w:tc>
        <w:tc>
          <w:tcPr>
            <w:tcW w:w="200" w:type="dxa"/>
            <w:tcBorders/>
            <w:shd w:fill="FFFF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3.9</w:t>
            </w:r>
          </w:p>
        </w:tc>
        <w:tc>
          <w:tcPr>
            <w:tcW w:w="251"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4.0</w:t>
            </w:r>
          </w:p>
        </w:tc>
        <w:tc>
          <w:tcPr>
            <w:tcW w:w="200" w:type="dxa"/>
            <w:tcBorders/>
            <w:shd w:fill="CCEE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 permanent differences</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8.0</w:t>
            </w:r>
          </w:p>
        </w:tc>
        <w:tc>
          <w:tcPr>
            <w:tcW w:w="251"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0.9</w:t>
            </w:r>
          </w:p>
        </w:tc>
        <w:tc>
          <w:tcPr>
            <w:tcW w:w="200" w:type="dxa"/>
            <w:tcBorders/>
            <w:shd w:fill="FFFF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Difference between U.S. federal and foreign tax rates</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21.8</w:t>
            </w:r>
          </w:p>
        </w:tc>
        <w:tc>
          <w:tcPr>
            <w:tcW w:w="251"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16.7</w:t>
            </w:r>
          </w:p>
        </w:tc>
        <w:tc>
          <w:tcPr>
            <w:tcW w:w="200" w:type="dxa"/>
            <w:tcBorders/>
            <w:shd w:fill="CCEE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Provision in excess of statutory rates</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(0.5)</w:t>
            </w:r>
          </w:p>
        </w:tc>
        <w:tc>
          <w:tcPr>
            <w:tcW w:w="251"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8.3</w:t>
            </w:r>
          </w:p>
        </w:tc>
        <w:tc>
          <w:tcPr>
            <w:tcW w:w="200" w:type="dxa"/>
            <w:tcBorders/>
            <w:shd w:fill="FFFF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Change in federal and foreign valuation allowance</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1.2</w:t>
            </w:r>
          </w:p>
        </w:tc>
        <w:tc>
          <w:tcPr>
            <w:tcW w:w="251"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2.7</w:t>
            </w:r>
          </w:p>
        </w:tc>
        <w:tc>
          <w:tcPr>
            <w:tcW w:w="200" w:type="dxa"/>
            <w:tcBorders/>
            <w:shd w:fill="CCEE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GILTI, net of tax credits</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12.9</w:t>
            </w:r>
          </w:p>
        </w:tc>
        <w:tc>
          <w:tcPr>
            <w:tcW w:w="251"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FFFFFF" w:val="clear"/>
            <w:vAlign w:val="center"/>
          </w:tcPr>
          <w:p>
            <w:pPr>
              <w:pStyle w:val="TableContents"/>
              <w:bidi w:val="0"/>
              <w:spacing w:lineRule="atLeast" w:line="240" w:before="0" w:after="0"/>
              <w:jc w:val="right"/>
              <w:rPr/>
            </w:pPr>
            <w:r>
              <w:rPr/>
              <w:t> </w:t>
            </w:r>
          </w:p>
        </w:tc>
        <w:tc>
          <w:tcPr>
            <w:tcW w:w="659"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5.9</w:t>
            </w:r>
          </w:p>
        </w:tc>
        <w:tc>
          <w:tcPr>
            <w:tcW w:w="200" w:type="dxa"/>
            <w:tcBorders/>
            <w:shd w:fill="FFFF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Tax credits</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(6.0)</w:t>
            </w:r>
          </w:p>
        </w:tc>
        <w:tc>
          <w:tcPr>
            <w:tcW w:w="251" w:type="dxa"/>
            <w:tcBorders/>
            <w:shd w:fill="CCEEFF" w:val="clear"/>
            <w:vAlign w:val="center"/>
          </w:tcPr>
          <w:p>
            <w:pPr>
              <w:pStyle w:val="TableContents"/>
              <w:bidi w:val="0"/>
              <w:spacing w:lineRule="atLeast" w:line="240" w:before="0" w:after="0"/>
              <w:jc w:val="right"/>
              <w:rPr>
                <w:color w:val="333333"/>
              </w:rPr>
            </w:pPr>
            <w:r>
              <w:rPr>
                <w:color w:val="333333"/>
              </w:rPr>
              <w:t> </w:t>
            </w:r>
          </w:p>
        </w:tc>
        <w:tc>
          <w:tcPr>
            <w:tcW w:w="169" w:type="dxa"/>
            <w:tcBorders/>
            <w:shd w:fill="CCEEFF" w:val="clear"/>
            <w:vAlign w:val="center"/>
          </w:tcPr>
          <w:p>
            <w:pPr>
              <w:pStyle w:val="TableContents"/>
              <w:bidi w:val="0"/>
              <w:spacing w:lineRule="atLeast" w:line="240" w:before="0" w:after="0"/>
              <w:jc w:val="right"/>
              <w:rPr/>
            </w:pPr>
            <w:r>
              <w:rPr/>
              <w:t> </w:t>
            </w:r>
          </w:p>
        </w:tc>
        <w:tc>
          <w:tcPr>
            <w:tcW w:w="659"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(9.2)</w:t>
            </w:r>
          </w:p>
        </w:tc>
        <w:tc>
          <w:tcPr>
            <w:tcW w:w="200" w:type="dxa"/>
            <w:tcBorders/>
            <w:shd w:fill="CCEE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pPr>
            <w:r>
              <w:rPr/>
              <w:t> </w:t>
            </w:r>
          </w:p>
        </w:tc>
        <w:tc>
          <w:tcPr>
            <w:tcW w:w="65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(0.6)</w:t>
            </w:r>
          </w:p>
        </w:tc>
        <w:tc>
          <w:tcPr>
            <w:tcW w:w="251" w:type="dxa"/>
            <w:tcBorders/>
            <w:shd w:fill="FFFFFF" w:val="clear"/>
            <w:vAlign w:val="center"/>
          </w:tcPr>
          <w:p>
            <w:pPr>
              <w:pStyle w:val="TableContents"/>
              <w:bidi w:val="0"/>
              <w:spacing w:lineRule="atLeast" w:line="240" w:before="0" w:after="0"/>
              <w:jc w:val="right"/>
              <w:rPr>
                <w:color w:val="333333"/>
              </w:rPr>
            </w:pPr>
            <w:r>
              <w:rPr>
                <w:color w:val="333333"/>
              </w:rPr>
              <w:t> </w:t>
            </w:r>
          </w:p>
        </w:tc>
        <w:tc>
          <w:tcPr>
            <w:tcW w:w="16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pPr>
            <w:r>
              <w:rPr/>
              <w:t> </w:t>
            </w:r>
          </w:p>
        </w:tc>
        <w:tc>
          <w:tcPr>
            <w:tcW w:w="659"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0.9</w:t>
            </w:r>
          </w:p>
        </w:tc>
        <w:tc>
          <w:tcPr>
            <w:tcW w:w="200" w:type="dxa"/>
            <w:tcBorders/>
            <w:shd w:fill="FFFFFF" w:val="clear"/>
            <w:vAlign w:val="center"/>
          </w:tcPr>
          <w:p>
            <w:pPr>
              <w:pStyle w:val="TableContents"/>
              <w:bidi w:val="0"/>
              <w:spacing w:lineRule="atLeast" w:line="240" w:before="0" w:after="0"/>
              <w:jc w:val="left"/>
              <w:rPr>
                <w:color w:val="333333"/>
              </w:rPr>
            </w:pPr>
            <w:r>
              <w:rPr>
                <w:color w:val="333333"/>
              </w:rPr>
              <w:t> </w:t>
            </w:r>
          </w:p>
        </w:tc>
      </w:tr>
      <w:tr>
        <w:trPr/>
        <w:tc>
          <w:tcPr>
            <w:tcW w:w="594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income tax expense</w:t>
            </w:r>
          </w:p>
        </w:tc>
        <w:tc>
          <w:tcPr>
            <w:tcW w:w="60" w:type="dxa"/>
            <w:tcBorders/>
            <w:shd w:fill="CCEEFF" w:val="clear"/>
            <w:vAlign w:val="center"/>
          </w:tcPr>
          <w:p>
            <w:pPr>
              <w:pStyle w:val="TableContents"/>
              <w:bidi w:val="0"/>
              <w:spacing w:lineRule="atLeast" w:line="240" w:before="0" w:after="0"/>
              <w:jc w:val="left"/>
              <w:rPr/>
            </w:pPr>
            <w:r>
              <w:rPr/>
              <w:t> </w:t>
            </w:r>
          </w:p>
        </w:tc>
        <w:tc>
          <w:tcPr>
            <w:tcW w:w="1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65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142.6</w:t>
            </w:r>
          </w:p>
        </w:tc>
        <w:tc>
          <w:tcPr>
            <w:tcW w:w="251" w:type="dxa"/>
            <w:tcBorders/>
            <w:shd w:fill="CCEEFF" w:val="clear"/>
            <w:vAlign w:val="center"/>
          </w:tcPr>
          <w:p>
            <w:pPr>
              <w:pStyle w:val="TableContents"/>
              <w:bidi w:val="0"/>
              <w:spacing w:lineRule="atLeast" w:line="240" w:before="0" w:after="0"/>
              <w:jc w:val="right"/>
              <w:rPr/>
            </w:pPr>
            <w:r>
              <w:rPr/>
              <w:t> </w:t>
            </w:r>
          </w:p>
        </w:tc>
        <w:tc>
          <w:tcPr>
            <w:tcW w:w="1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65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120.9</w:t>
            </w:r>
          </w:p>
        </w:tc>
        <w:tc>
          <w:tcPr>
            <w:tcW w:w="200" w:type="dxa"/>
            <w:tcBorders/>
            <w:shd w:fill="CCEEFF" w:val="clear"/>
            <w:vAlign w:val="center"/>
          </w:tcPr>
          <w:p>
            <w:pPr>
              <w:pStyle w:val="TableContents"/>
              <w:bidi w:val="0"/>
              <w:spacing w:lineRule="atLeast" w:line="240" w:before="0" w:after="0"/>
              <w:jc w:val="left"/>
              <w:rPr/>
            </w:pPr>
            <w:r>
              <w:rPr/>
              <w:t> </w:t>
            </w:r>
          </w:p>
        </w:tc>
      </w:tr>
      <w:tr>
        <w:trPr/>
        <w:tc>
          <w:tcPr>
            <w:tcW w:w="594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Effective tax rate</w:t>
            </w:r>
          </w:p>
        </w:tc>
        <w:tc>
          <w:tcPr>
            <w:tcW w:w="60" w:type="dxa"/>
            <w:tcBorders/>
            <w:shd w:fill="FFFFFF" w:val="clear"/>
            <w:vAlign w:val="center"/>
          </w:tcPr>
          <w:p>
            <w:pPr>
              <w:pStyle w:val="TableContents"/>
              <w:bidi w:val="0"/>
              <w:spacing w:lineRule="atLeast" w:line="240" w:before="0" w:after="0"/>
              <w:jc w:val="left"/>
              <w:rPr/>
            </w:pPr>
            <w:r>
              <w:rPr/>
              <w:t> </w:t>
            </w:r>
          </w:p>
        </w:tc>
        <w:tc>
          <w:tcPr>
            <w:tcW w:w="169" w:type="dxa"/>
            <w:tcBorders>
              <w:top w:val="double" w:sz="6"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59" w:type="dxa"/>
            <w:tcBorders>
              <w:top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31.77</w:t>
            </w:r>
          </w:p>
        </w:tc>
        <w:tc>
          <w:tcPr>
            <w:tcW w:w="251"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c>
          <w:tcPr>
            <w:tcW w:w="169" w:type="dxa"/>
            <w:tcBorders>
              <w:top w:val="double" w:sz="6" w:space="0" w:color="000000"/>
            </w:tcBorders>
            <w:shd w:fill="FFFFFF" w:val="clear"/>
            <w:tcMar>
              <w:top w:w="28" w:type="dxa"/>
            </w:tcMar>
            <w:vAlign w:val="center"/>
          </w:tcPr>
          <w:p>
            <w:pPr>
              <w:pStyle w:val="TableContents"/>
              <w:bidi w:val="0"/>
              <w:spacing w:lineRule="atLeast" w:line="240" w:before="0" w:after="0"/>
              <w:jc w:val="right"/>
              <w:rPr/>
            </w:pPr>
            <w:r>
              <w:rPr/>
              <w:t> </w:t>
            </w:r>
          </w:p>
        </w:tc>
        <w:tc>
          <w:tcPr>
            <w:tcW w:w="659" w:type="dxa"/>
            <w:tcBorders>
              <w:top w:val="double" w:sz="6"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30.19</w:t>
            </w:r>
          </w:p>
        </w:tc>
        <w:tc>
          <w:tcPr>
            <w:tcW w:w="200"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We calculate our provision for federal, state and foreign income taxes based on current tax law.</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Cash paid for income taxes, net of refunds received, by jurisdiction pursuant to the disclosure requirement of ASU 2023-09 for the year ended December 31, 2025</w:t>
      </w:r>
      <w:r>
        <w:rPr/>
        <w:t xml:space="preserve"> </w:t>
      </w:r>
      <w:r>
        <w:rPr>
          <w:rFonts w:ascii="Times New Roman" w:hAnsi="Times New Roman"/>
          <w:sz w:val="20"/>
        </w:rPr>
        <w:t>is as follows (in millions):</w:t>
      </w:r>
    </w:p>
    <w:p>
      <w:pPr>
        <w:pStyle w:val="TextBody"/>
        <w:bidi w:val="0"/>
        <w:spacing w:lineRule="atLeast" w:line="240" w:before="0" w:after="0"/>
        <w:jc w:val="both"/>
        <w:rPr/>
      </w:pPr>
      <w:r>
        <w:rPr/>
        <w:t> </w:t>
      </w:r>
    </w:p>
    <w:tbl>
      <w:tblPr>
        <w:tblW w:w="7110" w:type="dxa"/>
        <w:jc w:val="left"/>
        <w:tblInd w:w="0" w:type="dxa"/>
        <w:tblLayout w:type="fixed"/>
        <w:tblCellMar>
          <w:top w:w="0" w:type="dxa"/>
          <w:left w:w="0" w:type="dxa"/>
          <w:bottom w:w="28" w:type="dxa"/>
          <w:right w:w="0" w:type="dxa"/>
        </w:tblCellMar>
      </w:tblPr>
      <w:tblGrid>
        <w:gridCol w:w="4595"/>
        <w:gridCol w:w="60"/>
        <w:gridCol w:w="125"/>
        <w:gridCol w:w="2330"/>
      </w:tblGrid>
      <w:tr>
        <w:trPr/>
        <w:tc>
          <w:tcPr>
            <w:tcW w:w="4595" w:type="dxa"/>
            <w:tcBorders>
              <w:bottom w:val="single" w:sz="8" w:space="0" w:color="000000"/>
            </w:tcBorders>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tcMar>
              <w:bottom w:w="0" w:type="dxa"/>
            </w:tcMar>
            <w:vAlign w:val="center"/>
          </w:tcPr>
          <w:p>
            <w:pPr>
              <w:pStyle w:val="TableContents"/>
              <w:bidi w:val="0"/>
              <w:spacing w:lineRule="atLeast" w:line="240" w:before="0" w:after="0"/>
              <w:jc w:val="left"/>
              <w:rPr/>
            </w:pPr>
            <w:r>
              <w:rPr/>
              <w:t> </w:t>
            </w:r>
          </w:p>
        </w:tc>
        <w:tc>
          <w:tcPr>
            <w:tcW w:w="125" w:type="dxa"/>
            <w:tcBorders>
              <w:bottom w:val="single" w:sz="8" w:space="0" w:color="000000"/>
            </w:tcBorders>
            <w:vAlign w:val="center"/>
          </w:tcPr>
          <w:p>
            <w:pPr>
              <w:pStyle w:val="TableContents"/>
              <w:bidi w:val="0"/>
              <w:spacing w:lineRule="atLeast" w:line="240" w:before="0" w:after="0"/>
              <w:jc w:val="left"/>
              <w:rPr/>
            </w:pPr>
            <w:r>
              <w:rPr/>
              <w:t> </w:t>
            </w:r>
          </w:p>
        </w:tc>
        <w:tc>
          <w:tcPr>
            <w:tcW w:w="23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 2025</w:t>
            </w:r>
          </w:p>
        </w:tc>
      </w:tr>
      <w:tr>
        <w:trPr/>
        <w:tc>
          <w:tcPr>
            <w:tcW w:w="459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Federal</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2330"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(10.1)</w:t>
            </w:r>
          </w:p>
        </w:tc>
      </w:tr>
      <w:tr>
        <w:trPr/>
        <w:tc>
          <w:tcPr>
            <w:tcW w:w="4595"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State</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2330"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14.4</w:t>
            </w:r>
          </w:p>
        </w:tc>
      </w:tr>
      <w:tr>
        <w:trPr/>
        <w:tc>
          <w:tcPr>
            <w:tcW w:w="4595"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Foreign</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2330" w:type="dxa"/>
            <w:tcBorders/>
            <w:shd w:fill="CCEEFF" w:val="clear"/>
            <w:tcMar>
              <w:bottom w:w="0" w:type="dxa"/>
            </w:tcMar>
            <w:vAlign w:val="center"/>
          </w:tcPr>
          <w:p>
            <w:pPr>
              <w:pStyle w:val="TableContents"/>
              <w:bidi w:val="0"/>
              <w:spacing w:lineRule="atLeast" w:line="240" w:before="0" w:after="0"/>
              <w:jc w:val="left"/>
              <w:rPr/>
            </w:pPr>
            <w:r>
              <w:rPr/>
              <w:t> </w:t>
            </w:r>
          </w:p>
        </w:tc>
      </w:tr>
      <w:tr>
        <w:trPr/>
        <w:tc>
          <w:tcPr>
            <w:tcW w:w="4595"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Germany</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2330"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37.2</w:t>
            </w:r>
          </w:p>
        </w:tc>
      </w:tr>
      <w:tr>
        <w:trPr/>
        <w:tc>
          <w:tcPr>
            <w:tcW w:w="4595" w:type="dxa"/>
            <w:tcBorders/>
            <w:shd w:fill="CCEE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Greece</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2330"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10.3</w:t>
            </w:r>
          </w:p>
        </w:tc>
      </w:tr>
      <w:tr>
        <w:trPr/>
        <w:tc>
          <w:tcPr>
            <w:tcW w:w="4595"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India</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2330"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16.2</w:t>
            </w:r>
          </w:p>
        </w:tc>
      </w:tr>
      <w:tr>
        <w:trPr/>
        <w:tc>
          <w:tcPr>
            <w:tcW w:w="4595" w:type="dxa"/>
            <w:tcBorders/>
            <w:shd w:fill="CCEE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Italy</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2330"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9.6</w:t>
            </w:r>
          </w:p>
        </w:tc>
      </w:tr>
      <w:tr>
        <w:trPr/>
        <w:tc>
          <w:tcPr>
            <w:tcW w:w="4595"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Spain</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2330"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18.8</w:t>
            </w:r>
          </w:p>
        </w:tc>
      </w:tr>
      <w:tr>
        <w:trPr/>
        <w:tc>
          <w:tcPr>
            <w:tcW w:w="4595" w:type="dxa"/>
            <w:tcBorders/>
            <w:shd w:fill="CCEE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United Kingdom</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2330"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9.3</w:t>
            </w:r>
          </w:p>
        </w:tc>
      </w:tr>
      <w:tr>
        <w:trPr/>
        <w:tc>
          <w:tcPr>
            <w:tcW w:w="4595"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FFFFFF" w:val="clear"/>
            <w:vAlign w:val="center"/>
          </w:tcPr>
          <w:p>
            <w:pPr>
              <w:pStyle w:val="TableContents"/>
              <w:bidi w:val="0"/>
              <w:spacing w:lineRule="atLeast" w:line="240" w:before="0" w:after="0"/>
              <w:jc w:val="left"/>
              <w:rPr/>
            </w:pPr>
            <w:r>
              <w:rPr/>
              <w:t> </w:t>
            </w:r>
          </w:p>
        </w:tc>
        <w:tc>
          <w:tcPr>
            <w:tcW w:w="2330" w:type="dxa"/>
            <w:tcBorders>
              <w:bottom w:val="single" w:sz="8" w:space="0" w:color="000000"/>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47.0</w:t>
            </w:r>
          </w:p>
        </w:tc>
      </w:tr>
      <w:tr>
        <w:trPr/>
        <w:tc>
          <w:tcPr>
            <w:tcW w:w="4595" w:type="dxa"/>
            <w:tcBorders/>
            <w:shd w:fill="CCEEFF" w:val="clear"/>
            <w:tcMar>
              <w:bottom w:w="0" w:type="dxa"/>
            </w:tcM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cash paid for income taxes, net of refunds received</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2330"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152.7</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tax effect of temporary differences and carryforwards that give rise to deferred tax assets and liabilities from continuing operations are as follows:</w:t>
      </w:r>
    </w:p>
    <w:p>
      <w:pPr>
        <w:pStyle w:val="TextBody"/>
        <w:bidi w:val="0"/>
        <w:spacing w:lineRule="atLeast" w:line="240"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4235"/>
        <w:gridCol w:w="60"/>
        <w:gridCol w:w="125"/>
        <w:gridCol w:w="605"/>
        <w:gridCol w:w="60"/>
        <w:gridCol w:w="125"/>
        <w:gridCol w:w="620"/>
      </w:tblGrid>
      <w:tr>
        <w:trPr/>
        <w:tc>
          <w:tcPr>
            <w:tcW w:w="4235"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535"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As of December 31,</w:t>
            </w:r>
          </w:p>
        </w:tc>
      </w:tr>
      <w:tr>
        <w:trPr/>
        <w:tc>
          <w:tcPr>
            <w:tcW w:w="4235"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20"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r>
      <w:tr>
        <w:trPr/>
        <w:tc>
          <w:tcPr>
            <w:tcW w:w="4235"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Deferred tax assets: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20"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Tax loss carryforwards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45.4</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44.8</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17.6</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15.0</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Accrued expenses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21.3</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19.3</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Property and equipment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10.2</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6.8</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Goodwill and intangible amortization</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9.3</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Contract costs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pPr>
            <w:r>
              <w:rPr/>
              <w: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0.7</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Intercompany notes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6.6</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Accrued revenue</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0.7</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Tax credits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45.5</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61.6</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Lease accounting</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38.4</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34.3</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Foreign exchange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13.0</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8.8</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Capitalized research and development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22.3</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10.8</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Capped call premium</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24.1</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pPr>
            <w:r>
              <w:rPr/>
              <w:t>—</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6.3</w:t>
            </w:r>
          </w:p>
        </w:tc>
      </w:tr>
      <w:tr>
        <w:trPr/>
        <w:tc>
          <w:tcPr>
            <w:tcW w:w="4235"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deferred tax assets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605" w:type="dxa"/>
            <w:tcBorders>
              <w:top w:val="single" w:sz="8"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259.0</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lineRule="atLeast" w:line="240" w:before="0" w:after="0"/>
              <w:jc w:val="left"/>
              <w:rPr/>
            </w:pPr>
            <w:r>
              <w:rPr/>
              <w:t> </w:t>
            </w:r>
          </w:p>
        </w:tc>
        <w:tc>
          <w:tcPr>
            <w:tcW w:w="620" w:type="dxa"/>
            <w:tcBorders>
              <w:top w:val="single" w:sz="8" w:space="0" w:color="000000"/>
            </w:tcBorders>
            <w:shd w:fill="FFFF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225.0</w:t>
            </w:r>
          </w:p>
        </w:tc>
      </w:tr>
      <w:tr>
        <w:trPr/>
        <w:tc>
          <w:tcPr>
            <w:tcW w:w="423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Valuation allowance</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(87.9)</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(75.0)</w:t>
            </w:r>
          </w:p>
        </w:tc>
      </w:tr>
      <w:tr>
        <w:trPr/>
        <w:tc>
          <w:tcPr>
            <w:tcW w:w="4235"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deferred tax assets, net of valuation allowance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171.1</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150.0</w:t>
            </w:r>
          </w:p>
        </w:tc>
      </w:tr>
      <w:tr>
        <w:trPr/>
        <w:tc>
          <w:tcPr>
            <w:tcW w:w="4235"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05" w:type="dxa"/>
            <w:tcBorders>
              <w:top w:val="single" w:sz="8" w:space="0" w:color="000000"/>
            </w:tcBorders>
            <w:shd w:fill="CCEEFF" w:val="clear"/>
            <w:tcMar>
              <w:top w:w="28" w:type="dxa"/>
            </w:tcMar>
            <w:vAlign w:val="center"/>
          </w:tcPr>
          <w:p>
            <w:pPr>
              <w:pStyle w:val="TableContents"/>
              <w:bidi w:val="0"/>
              <w:spacing w:lineRule="atLeast" w:line="240" w:before="0" w:after="0"/>
              <w:jc w:val="right"/>
              <w:rPr/>
            </w:pPr>
            <w:r>
              <w:rPr/>
              <w:t> </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lineRule="atLeast" w:line="240" w:before="0" w:after="0"/>
              <w:jc w:val="left"/>
              <w:rPr/>
            </w:pPr>
            <w:r>
              <w:rPr/>
              <w:t> </w:t>
            </w:r>
          </w:p>
        </w:tc>
        <w:tc>
          <w:tcPr>
            <w:tcW w:w="620" w:type="dxa"/>
            <w:tcBorders>
              <w:top w:val="single" w:sz="8" w:space="0" w:color="000000"/>
            </w:tcBorders>
            <w:shd w:fill="CCEEFF" w:val="clear"/>
            <w:tcMar>
              <w:top w:w="28" w:type="dxa"/>
            </w:tcMar>
            <w:vAlign w:val="center"/>
          </w:tcPr>
          <w:p>
            <w:pPr>
              <w:pStyle w:val="TableContents"/>
              <w:bidi w:val="0"/>
              <w:spacing w:lineRule="atLeast" w:line="240" w:before="0" w:after="0"/>
              <w:jc w:val="right"/>
              <w:rPr/>
            </w:pPr>
            <w:r>
              <w:rPr/>
              <w:t> </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Intangible assets related to purchase accounting</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(56.9)</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(28.2)</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Goodwill and intangible amortization</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(32.2)</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(31.8)</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Accrued expenses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(16.4)</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(15.3)</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Intercompany notes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(5.8)</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Accrued interest</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(3.2)</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(42.6)</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Property and equipment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(8.9)</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(6.9)</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Accrued revenue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(1.7)</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Lease accounting</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(38.4)</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(34.3)</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Foreign exchange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(14.7)</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Partnership Investment</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05"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(13.0)</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shd w:fill="CCEEFF" w:val="clear"/>
            <w:vAlign w:val="center"/>
          </w:tcPr>
          <w:p>
            <w:pPr>
              <w:pStyle w:val="TableContents"/>
              <w:bidi w:val="0"/>
              <w:spacing w:lineRule="atLeast" w:line="240" w:before="0" w:after="0"/>
              <w:jc w:val="left"/>
              <w:rPr/>
            </w:pPr>
            <w:r>
              <w:rPr/>
              <w:t> </w:t>
            </w:r>
          </w:p>
        </w:tc>
        <w:tc>
          <w:tcPr>
            <w:tcW w:w="620"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(7.6)</w:t>
            </w:r>
          </w:p>
        </w:tc>
      </w:tr>
      <w:tr>
        <w:trPr/>
        <w:tc>
          <w:tcPr>
            <w:tcW w:w="4235" w:type="dxa"/>
            <w:tcBorders/>
            <w:shd w:fill="FFFF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Deferred revenue</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05"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(7.6)</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shd w:fill="FFFFFF" w:val="clear"/>
            <w:vAlign w:val="center"/>
          </w:tcPr>
          <w:p>
            <w:pPr>
              <w:pStyle w:val="TableContents"/>
              <w:bidi w:val="0"/>
              <w:spacing w:lineRule="atLeast" w:line="240" w:before="0" w:after="0"/>
              <w:jc w:val="left"/>
              <w:rPr/>
            </w:pPr>
            <w:r>
              <w:rPr/>
              <w:t> </w:t>
            </w:r>
          </w:p>
        </w:tc>
        <w:tc>
          <w:tcPr>
            <w:tcW w:w="620"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(6.7)</w:t>
            </w:r>
          </w:p>
        </w:tc>
      </w:tr>
      <w:tr>
        <w:trPr/>
        <w:tc>
          <w:tcPr>
            <w:tcW w:w="4235" w:type="dxa"/>
            <w:tcBorders/>
            <w:shd w:fill="CCEEFF" w:val="cle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(2.3)</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lineRule="atLeast" w:line="240" w:before="0" w:after="0"/>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(0.9)</w:t>
            </w:r>
          </w:p>
        </w:tc>
      </w:tr>
      <w:tr>
        <w:trPr/>
        <w:tc>
          <w:tcPr>
            <w:tcW w:w="4235" w:type="dxa"/>
            <w:tcBorders/>
            <w:shd w:fill="FFFF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Total deferred tax liabilities</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(187.5)</w:t>
            </w:r>
          </w:p>
        </w:tc>
        <w:tc>
          <w:tcPr>
            <w:tcW w:w="60" w:type="dxa"/>
            <w:tcBorders/>
            <w:shd w:fill="FFFFFF" w:val="clear"/>
            <w:vAlign w:val="center"/>
          </w:tcPr>
          <w:p>
            <w:pPr>
              <w:pStyle w:val="TableContents"/>
              <w:bidi w:val="0"/>
              <w:spacing w:lineRule="atLeast" w:line="240"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left"/>
              <w:rPr/>
            </w:pPr>
            <w:r>
              <w:rPr/>
              <w:t> </w:t>
            </w:r>
          </w:p>
        </w:tc>
        <w:tc>
          <w:tcPr>
            <w:tcW w:w="6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(196.5)</w:t>
            </w:r>
          </w:p>
        </w:tc>
      </w:tr>
      <w:tr>
        <w:trPr/>
        <w:tc>
          <w:tcPr>
            <w:tcW w:w="4235" w:type="dxa"/>
            <w:tcBorders/>
            <w:shd w:fill="CCEEFF" w:val="clear"/>
            <w:vAlign w:val="center"/>
          </w:tcPr>
          <w:p>
            <w:pPr>
              <w:pStyle w:val="TableContents"/>
              <w:bidi w:val="0"/>
              <w:spacing w:lineRule="atLeast" w:line="240" w:before="0" w:after="0"/>
              <w:ind w:left="288" w:right="0" w:hanging="0"/>
              <w:jc w:val="left"/>
              <w:rPr>
                <w:rFonts w:ascii="Times New Roman" w:hAnsi="Times New Roman"/>
                <w:sz w:val="20"/>
              </w:rPr>
            </w:pPr>
            <w:r>
              <w:rPr>
                <w:rFonts w:ascii="Times New Roman" w:hAnsi="Times New Roman"/>
                <w:sz w:val="20"/>
              </w:rPr>
              <w:t>Net deferred tax liabilities</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(16.4)</w:t>
            </w:r>
          </w:p>
        </w:tc>
        <w:tc>
          <w:tcPr>
            <w:tcW w:w="60" w:type="dxa"/>
            <w:tcBorders/>
            <w:shd w:fill="CCEEFF" w:val="cle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2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(46.5)</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Net deferred tax assets of $61.9</w:t>
      </w:r>
      <w:r>
        <w:rPr/>
        <w:t xml:space="preserve"> </w:t>
      </w:r>
      <w:r>
        <w:rPr>
          <w:rFonts w:ascii="Times New Roman" w:hAnsi="Times New Roman"/>
          <w:sz w:val="20"/>
        </w:rPr>
        <w:t>million and $25.3</w:t>
      </w:r>
      <w:r>
        <w:rPr/>
        <w:t xml:space="preserve"> </w:t>
      </w:r>
      <w:r>
        <w:rPr>
          <w:rFonts w:ascii="Times New Roman" w:hAnsi="Times New Roman"/>
          <w:sz w:val="20"/>
        </w:rPr>
        <w:t>million as of December 31, 2025</w:t>
      </w:r>
      <w:r>
        <w:rPr/>
        <w:t xml:space="preserve"> </w:t>
      </w:r>
      <w:r>
        <w:rPr>
          <w:rFonts w:ascii="Times New Roman" w:hAnsi="Times New Roman"/>
          <w:sz w:val="20"/>
        </w:rPr>
        <w:t>and 2024, respectively, are recorded within "Other assets" on the Consolidated Balance Sheet.</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Subsequently recognized tax benefits relating to the valuation allowance for deferred tax assets as of December 31, 2025</w:t>
      </w:r>
      <w:r>
        <w:rPr/>
        <w:t xml:space="preserve"> </w:t>
      </w:r>
      <w:r>
        <w:rPr>
          <w:rFonts w:ascii="Times New Roman" w:hAnsi="Times New Roman"/>
          <w:sz w:val="20"/>
        </w:rPr>
        <w:t>are expected to be allocated to income taxes in the Consolidated Statements of Operations. As of December 31, 2025</w:t>
      </w:r>
      <w:r>
        <w:rPr/>
        <w:t xml:space="preserve"> </w:t>
      </w:r>
      <w:r>
        <w:rPr>
          <w:rFonts w:ascii="Times New Roman" w:hAnsi="Times New Roman"/>
          <w:sz w:val="20"/>
        </w:rPr>
        <w:t>and 2024, the Company's foreign tax loss carryforwards were $193.8</w:t>
      </w:r>
      <w:r>
        <w:rPr/>
        <w:t xml:space="preserve"> </w:t>
      </w:r>
      <w:r>
        <w:rPr>
          <w:rFonts w:ascii="Times New Roman" w:hAnsi="Times New Roman"/>
          <w:sz w:val="20"/>
        </w:rPr>
        <w:t>million and $183.3</w:t>
      </w:r>
      <w:r>
        <w:rPr/>
        <w:t xml:space="preserve"> </w:t>
      </w:r>
      <w:r>
        <w:rPr>
          <w:rFonts w:ascii="Times New Roman" w:hAnsi="Times New Roman"/>
          <w:sz w:val="20"/>
        </w:rPr>
        <w:t>million, respectively, and U.S. state tax loss carryforwards were $58.2</w:t>
      </w:r>
      <w:r>
        <w:rPr/>
        <w:t xml:space="preserve"> </w:t>
      </w:r>
      <w:r>
        <w:rPr>
          <w:rFonts w:ascii="Times New Roman" w:hAnsi="Times New Roman"/>
          <w:sz w:val="20"/>
        </w:rPr>
        <w:t>million and $81.0</w:t>
      </w:r>
      <w:r>
        <w:rPr/>
        <w:t xml:space="preserve"> </w:t>
      </w:r>
      <w:r>
        <w:rPr>
          <w:rFonts w:ascii="Times New Roman" w:hAnsi="Times New Roman"/>
          <w:sz w:val="20"/>
        </w:rPr>
        <w:t>million, 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As of December 31, 2025</w:t>
      </w:r>
      <w:r>
        <w:rPr/>
        <w:t> </w:t>
      </w:r>
      <w:r>
        <w:rPr>
          <w:rFonts w:ascii="Times New Roman" w:hAnsi="Times New Roman"/>
          <w:sz w:val="20"/>
        </w:rPr>
        <w:t>and 2024, the Company has U.S. foreign tax credit carryforwards of $43.6</w:t>
      </w:r>
      <w:r>
        <w:rPr/>
        <w:t xml:space="preserve"> </w:t>
      </w:r>
      <w:r>
        <w:rPr>
          <w:rFonts w:ascii="Times New Roman" w:hAnsi="Times New Roman"/>
          <w:sz w:val="20"/>
        </w:rPr>
        <w:t>million and $57.1</w:t>
      </w:r>
      <w:r>
        <w:rPr/>
        <w:t> </w:t>
      </w:r>
      <w:r>
        <w:rPr>
          <w:rFonts w:ascii="Times New Roman" w:hAnsi="Times New Roman"/>
          <w:sz w:val="20"/>
        </w:rPr>
        <w:t>million respectively, which are largely not expected to be utilized in future periods.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realize the benefits of these deductible differences, net of the existing valuation allowances, as of December 31, 2025.</w:t>
      </w:r>
    </w:p>
    <w:p>
      <w:pPr>
        <w:pStyle w:val="TextBody"/>
        <w:bidi w:val="0"/>
        <w:spacing w:lineRule="atLeast" w:line="240" w:before="0" w:after="0"/>
        <w:jc w:val="both"/>
        <w:rPr/>
      </w:pPr>
      <w:r>
        <w:rPr/>
        <w:t> </w:t>
      </w:r>
    </w:p>
    <w:p>
      <w:pPr>
        <w:pStyle w:val="TextBody"/>
        <w:bidi w:val="0"/>
        <w:spacing w:lineRule="atLeast" w:line="240" w:before="0" w:after="0"/>
        <w:jc w:val="left"/>
        <w:rPr/>
      </w:pPr>
      <w:r>
        <w:rPr>
          <w:rFonts w:ascii="Times New Roman" w:hAnsi="Times New Roman"/>
          <w:sz w:val="20"/>
        </w:rPr>
        <w:t>As of December 31, 2025, the Company had foreign tax net operating loss carryforwards of $193.8</w:t>
      </w:r>
      <w:r>
        <w:rPr/>
        <w:t xml:space="preserve"> </w:t>
      </w:r>
      <w:r>
        <w:rPr>
          <w:rFonts w:ascii="Times New Roman" w:hAnsi="Times New Roman"/>
          <w:sz w:val="20"/>
        </w:rPr>
        <w:t>million, which will expire as follows:</w:t>
      </w:r>
    </w:p>
    <w:p>
      <w:pPr>
        <w:pStyle w:val="TextBody"/>
        <w:bidi w:val="0"/>
        <w:spacing w:lineRule="atLeast" w:line="240" w:before="0" w:after="0"/>
        <w:jc w:val="left"/>
        <w:rPr/>
      </w:pPr>
      <w:r>
        <w:rPr/>
        <w:t> </w:t>
      </w:r>
    </w:p>
    <w:tbl>
      <w:tblPr>
        <w:tblW w:w="3874" w:type="dxa"/>
        <w:jc w:val="left"/>
        <w:tblInd w:w="0" w:type="dxa"/>
        <w:tblLayout w:type="fixed"/>
        <w:tblCellMar>
          <w:top w:w="0" w:type="dxa"/>
          <w:left w:w="0" w:type="dxa"/>
          <w:bottom w:w="28" w:type="dxa"/>
          <w:right w:w="0" w:type="dxa"/>
        </w:tblCellMar>
      </w:tblPr>
      <w:tblGrid>
        <w:gridCol w:w="2180"/>
        <w:gridCol w:w="60"/>
        <w:gridCol w:w="125"/>
        <w:gridCol w:w="485"/>
        <w:gridCol w:w="60"/>
        <w:gridCol w:w="230"/>
        <w:gridCol w:w="734"/>
      </w:tblGrid>
      <w:tr>
        <w:trPr/>
        <w:tc>
          <w:tcPr>
            <w:tcW w:w="2180" w:type="dxa"/>
            <w:tcBorders>
              <w:bottom w:val="single" w:sz="8" w:space="0" w:color="000000"/>
            </w:tcBorders>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tcMar>
              <w:bottom w:w="0" w:type="dxa"/>
            </w:tcMar>
            <w:vAlign w:val="center"/>
          </w:tcPr>
          <w:p>
            <w:pPr>
              <w:pStyle w:val="TableContents"/>
              <w:bidi w:val="0"/>
              <w:spacing w:lineRule="atLeast" w:line="240" w:before="0" w:after="0"/>
              <w:jc w:val="left"/>
              <w:rPr/>
            </w:pPr>
            <w:r>
              <w:rPr/>
              <w:t> </w:t>
            </w:r>
          </w:p>
        </w:tc>
        <w:tc>
          <w:tcPr>
            <w:tcW w:w="610" w:type="dxa"/>
            <w:gridSpan w:val="2"/>
            <w:tcBorders>
              <w:bottom w:val="single" w:sz="8" w:space="0" w:color="000000"/>
            </w:tcBorders>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Gross</w:t>
            </w:r>
          </w:p>
        </w:tc>
        <w:tc>
          <w:tcPr>
            <w:tcW w:w="60" w:type="dxa"/>
            <w:tcBorders/>
            <w:tcMar>
              <w:bottom w:w="0" w:type="dxa"/>
            </w:tcMar>
            <w:vAlign w:val="center"/>
          </w:tcPr>
          <w:p>
            <w:pPr>
              <w:pStyle w:val="TableContents"/>
              <w:bidi w:val="0"/>
              <w:spacing w:lineRule="atLeast" w:line="240" w:before="0" w:after="0"/>
              <w:jc w:val="left"/>
              <w:rPr/>
            </w:pPr>
            <w:r>
              <w:rPr/>
              <w:t> </w:t>
            </w:r>
          </w:p>
        </w:tc>
        <w:tc>
          <w:tcPr>
            <w:tcW w:w="964" w:type="dxa"/>
            <w:gridSpan w:val="2"/>
            <w:tcBorders>
              <w:bottom w:val="single" w:sz="8" w:space="0" w:color="000000"/>
            </w:tcBorders>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Tax Effected</w:t>
            </w:r>
          </w:p>
        </w:tc>
      </w:tr>
      <w:tr>
        <w:trPr/>
        <w:tc>
          <w:tcPr>
            <w:tcW w:w="2180"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Year ending December 31,</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pPr>
            <w:r>
              <w:rPr/>
              <w:t> </w:t>
            </w:r>
          </w:p>
        </w:tc>
        <w:tc>
          <w:tcPr>
            <w:tcW w:w="485"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pPr>
            <w:r>
              <w:rPr/>
              <w:t> </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30"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pPr>
            <w:r>
              <w:rPr/>
              <w:t> </w:t>
            </w:r>
          </w:p>
        </w:tc>
        <w:tc>
          <w:tcPr>
            <w:tcW w:w="734" w:type="dxa"/>
            <w:tcBorders>
              <w:top w:val="single" w:sz="8" w:space="0" w:color="000000"/>
            </w:tcBorders>
            <w:shd w:fill="CCEEFF" w:val="clear"/>
            <w:tcMar>
              <w:top w:w="28" w:type="dxa"/>
              <w:bottom w:w="0" w:type="dxa"/>
            </w:tcMar>
            <w:vAlign w:val="center"/>
          </w:tcPr>
          <w:p>
            <w:pPr>
              <w:pStyle w:val="TableContents"/>
              <w:bidi w:val="0"/>
              <w:spacing w:lineRule="atLeast" w:line="240" w:before="0" w:after="0"/>
              <w:jc w:val="left"/>
              <w:rPr/>
            </w:pPr>
            <w:r>
              <w:rPr/>
              <w:t> </w:t>
            </w:r>
          </w:p>
        </w:tc>
      </w:tr>
      <w:tr>
        <w:trPr/>
        <w:tc>
          <w:tcPr>
            <w:tcW w:w="2180"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2026</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485"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2.9</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230" w:type="dxa"/>
            <w:tcBorders/>
            <w:shd w:fill="FFFF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34"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0.7</w:t>
            </w:r>
          </w:p>
        </w:tc>
      </w:tr>
      <w:tr>
        <w:trPr/>
        <w:tc>
          <w:tcPr>
            <w:tcW w:w="2180" w:type="dxa"/>
            <w:tcBorders/>
            <w:shd w:fill="CCEE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2027</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485"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2.6</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30" w:type="dxa"/>
            <w:tcBorders/>
            <w:shd w:fill="CCEEFF" w:val="clear"/>
            <w:tcMar>
              <w:bottom w:w="0" w:type="dxa"/>
            </w:tcMar>
            <w:vAlign w:val="center"/>
          </w:tcPr>
          <w:p>
            <w:pPr>
              <w:pStyle w:val="TableContents"/>
              <w:bidi w:val="0"/>
              <w:spacing w:lineRule="atLeast" w:line="240" w:before="0" w:after="0"/>
              <w:jc w:val="left"/>
              <w:rPr/>
            </w:pPr>
            <w:r>
              <w:rPr/>
              <w:t> </w:t>
            </w:r>
          </w:p>
        </w:tc>
        <w:tc>
          <w:tcPr>
            <w:tcW w:w="734"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0.6</w:t>
            </w:r>
          </w:p>
        </w:tc>
      </w:tr>
      <w:tr>
        <w:trPr/>
        <w:tc>
          <w:tcPr>
            <w:tcW w:w="2180"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2028</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485"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4.1</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230" w:type="dxa"/>
            <w:tcBorders/>
            <w:shd w:fill="FFFFFF" w:val="clear"/>
            <w:tcMar>
              <w:bottom w:w="0" w:type="dxa"/>
            </w:tcMar>
            <w:vAlign w:val="center"/>
          </w:tcPr>
          <w:p>
            <w:pPr>
              <w:pStyle w:val="TableContents"/>
              <w:bidi w:val="0"/>
              <w:spacing w:lineRule="atLeast" w:line="240" w:before="0" w:after="0"/>
              <w:jc w:val="left"/>
              <w:rPr/>
            </w:pPr>
            <w:r>
              <w:rPr/>
              <w:t> </w:t>
            </w:r>
          </w:p>
        </w:tc>
        <w:tc>
          <w:tcPr>
            <w:tcW w:w="734"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1.0</w:t>
            </w:r>
          </w:p>
        </w:tc>
      </w:tr>
      <w:tr>
        <w:trPr/>
        <w:tc>
          <w:tcPr>
            <w:tcW w:w="2180" w:type="dxa"/>
            <w:tcBorders/>
            <w:shd w:fill="CCEE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2029</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485"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5.5</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30" w:type="dxa"/>
            <w:tcBorders/>
            <w:shd w:fill="CCEEFF" w:val="clear"/>
            <w:tcMar>
              <w:bottom w:w="0" w:type="dxa"/>
            </w:tcMar>
            <w:vAlign w:val="center"/>
          </w:tcPr>
          <w:p>
            <w:pPr>
              <w:pStyle w:val="TableContents"/>
              <w:bidi w:val="0"/>
              <w:spacing w:lineRule="atLeast" w:line="240" w:before="0" w:after="0"/>
              <w:jc w:val="left"/>
              <w:rPr/>
            </w:pPr>
            <w:r>
              <w:rPr/>
              <w:t> </w:t>
            </w:r>
          </w:p>
        </w:tc>
        <w:tc>
          <w:tcPr>
            <w:tcW w:w="734"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w:t>
            </w:r>
          </w:p>
        </w:tc>
      </w:tr>
      <w:tr>
        <w:trPr/>
        <w:tc>
          <w:tcPr>
            <w:tcW w:w="2180"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2030</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shd w:fill="FFFFFF" w:val="clear"/>
            <w:tcMar>
              <w:bottom w:w="0" w:type="dxa"/>
            </w:tcMar>
            <w:vAlign w:val="center"/>
          </w:tcPr>
          <w:p>
            <w:pPr>
              <w:pStyle w:val="TableContents"/>
              <w:bidi w:val="0"/>
              <w:spacing w:lineRule="atLeast" w:line="240" w:before="0" w:after="0"/>
              <w:jc w:val="left"/>
              <w:rPr/>
            </w:pPr>
            <w:r>
              <w:rPr/>
              <w:t> </w:t>
            </w:r>
          </w:p>
        </w:tc>
        <w:tc>
          <w:tcPr>
            <w:tcW w:w="485"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22.1</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230" w:type="dxa"/>
            <w:tcBorders/>
            <w:shd w:fill="FFFFFF" w:val="clear"/>
            <w:tcMar>
              <w:bottom w:w="0" w:type="dxa"/>
            </w:tcMar>
            <w:vAlign w:val="center"/>
          </w:tcPr>
          <w:p>
            <w:pPr>
              <w:pStyle w:val="TableContents"/>
              <w:bidi w:val="0"/>
              <w:spacing w:lineRule="atLeast" w:line="240" w:before="0" w:after="0"/>
              <w:jc w:val="left"/>
              <w:rPr/>
            </w:pPr>
            <w:r>
              <w:rPr/>
              <w:t> </w:t>
            </w:r>
          </w:p>
        </w:tc>
        <w:tc>
          <w:tcPr>
            <w:tcW w:w="734" w:type="dxa"/>
            <w:tcBorders/>
            <w:shd w:fill="FFFF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4.6</w:t>
            </w:r>
          </w:p>
        </w:tc>
      </w:tr>
      <w:tr>
        <w:trPr/>
        <w:tc>
          <w:tcPr>
            <w:tcW w:w="2180" w:type="dxa"/>
            <w:tcBorders/>
            <w:shd w:fill="CCEE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Thereafter</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shd w:fill="CCEEFF" w:val="clear"/>
            <w:tcMar>
              <w:bottom w:w="0" w:type="dxa"/>
            </w:tcMar>
            <w:vAlign w:val="center"/>
          </w:tcPr>
          <w:p>
            <w:pPr>
              <w:pStyle w:val="TableContents"/>
              <w:bidi w:val="0"/>
              <w:spacing w:lineRule="atLeast" w:line="240" w:before="0" w:after="0"/>
              <w:jc w:val="left"/>
              <w:rPr/>
            </w:pPr>
            <w:r>
              <w:rPr/>
              <w:t> </w:t>
            </w:r>
          </w:p>
        </w:tc>
        <w:tc>
          <w:tcPr>
            <w:tcW w:w="485"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6.8</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30" w:type="dxa"/>
            <w:tcBorders/>
            <w:shd w:fill="CCEEFF" w:val="clear"/>
            <w:tcMar>
              <w:bottom w:w="0" w:type="dxa"/>
            </w:tcMar>
            <w:vAlign w:val="center"/>
          </w:tcPr>
          <w:p>
            <w:pPr>
              <w:pStyle w:val="TableContents"/>
              <w:bidi w:val="0"/>
              <w:spacing w:lineRule="atLeast" w:line="240" w:before="0" w:after="0"/>
              <w:jc w:val="left"/>
              <w:rPr/>
            </w:pPr>
            <w:r>
              <w:rPr/>
              <w:t> </w:t>
            </w:r>
          </w:p>
        </w:tc>
        <w:tc>
          <w:tcPr>
            <w:tcW w:w="734" w:type="dxa"/>
            <w:tcBorders/>
            <w:shd w:fill="CCEEFF" w:val="clear"/>
            <w:tcMar>
              <w:bottom w:w="0"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1.7</w:t>
            </w:r>
          </w:p>
        </w:tc>
      </w:tr>
      <w:tr>
        <w:trPr/>
        <w:tc>
          <w:tcPr>
            <w:tcW w:w="2180" w:type="dxa"/>
            <w:tcBorders/>
            <w:shd w:fill="FFFFFF" w:val="clear"/>
            <w:tcMar>
              <w:bottom w:w="0" w:type="dxa"/>
            </w:tcMar>
            <w:vAlign w:val="center"/>
          </w:tcPr>
          <w:p>
            <w:pPr>
              <w:pStyle w:val="TableContents"/>
              <w:bidi w:val="0"/>
              <w:spacing w:lineRule="atLeast" w:line="240" w:before="0" w:after="0"/>
              <w:ind w:left="144" w:right="0" w:hanging="0"/>
              <w:jc w:val="left"/>
              <w:rPr>
                <w:rFonts w:ascii="Times New Roman" w:hAnsi="Times New Roman"/>
                <w:sz w:val="20"/>
              </w:rPr>
            </w:pPr>
            <w:r>
              <w:rPr>
                <w:rFonts w:ascii="Times New Roman" w:hAnsi="Times New Roman"/>
                <w:sz w:val="20"/>
              </w:rPr>
              <w:t>Unlimited</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125" w:type="dxa"/>
            <w:tcBorders>
              <w:bottom w:val="single" w:sz="8" w:space="0" w:color="000000"/>
            </w:tcBorders>
            <w:shd w:fill="FFFFFF" w:val="clear"/>
            <w:vAlign w:val="center"/>
          </w:tcPr>
          <w:p>
            <w:pPr>
              <w:pStyle w:val="TableContents"/>
              <w:bidi w:val="0"/>
              <w:spacing w:lineRule="atLeast" w:line="240" w:before="0" w:after="0"/>
              <w:jc w:val="left"/>
              <w:rPr/>
            </w:pPr>
            <w:r>
              <w:rPr/>
              <w:t> </w:t>
            </w:r>
          </w:p>
        </w:tc>
        <w:tc>
          <w:tcPr>
            <w:tcW w:w="485" w:type="dxa"/>
            <w:tcBorders>
              <w:bottom w:val="single" w:sz="8" w:space="0" w:color="000000"/>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149.8</w:t>
            </w:r>
          </w:p>
        </w:tc>
        <w:tc>
          <w:tcPr>
            <w:tcW w:w="60" w:type="dxa"/>
            <w:tcBorders/>
            <w:shd w:fill="FFFFFF" w:val="clear"/>
            <w:tcMar>
              <w:bottom w:w="0" w:type="dxa"/>
            </w:tcMar>
            <w:vAlign w:val="center"/>
          </w:tcPr>
          <w:p>
            <w:pPr>
              <w:pStyle w:val="TableContents"/>
              <w:bidi w:val="0"/>
              <w:spacing w:lineRule="atLeast" w:line="240" w:before="0" w:after="0"/>
              <w:jc w:val="left"/>
              <w:rPr/>
            </w:pPr>
            <w:r>
              <w:rPr/>
              <w:t> </w:t>
            </w:r>
          </w:p>
        </w:tc>
        <w:tc>
          <w:tcPr>
            <w:tcW w:w="230" w:type="dxa"/>
            <w:tcBorders>
              <w:bottom w:val="single" w:sz="8" w:space="0" w:color="000000"/>
            </w:tcBorders>
            <w:shd w:fill="FFFFFF" w:val="clear"/>
            <w:vAlign w:val="center"/>
          </w:tcPr>
          <w:p>
            <w:pPr>
              <w:pStyle w:val="TableContents"/>
              <w:bidi w:val="0"/>
              <w:spacing w:lineRule="atLeast" w:line="240" w:before="0" w:after="0"/>
              <w:jc w:val="left"/>
              <w:rPr/>
            </w:pPr>
            <w:r>
              <w:rPr/>
              <w:t> </w:t>
            </w:r>
          </w:p>
        </w:tc>
        <w:tc>
          <w:tcPr>
            <w:tcW w:w="734" w:type="dxa"/>
            <w:tcBorders>
              <w:bottom w:val="single" w:sz="8" w:space="0" w:color="000000"/>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31.9</w:t>
            </w:r>
          </w:p>
        </w:tc>
      </w:tr>
      <w:tr>
        <w:trPr/>
        <w:tc>
          <w:tcPr>
            <w:tcW w:w="2180" w:type="dxa"/>
            <w:tcBorders/>
            <w:shd w:fill="CCEEFF" w:val="clear"/>
            <w:tcMar>
              <w:bottom w:w="0"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Total</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193.8</w:t>
            </w:r>
          </w:p>
        </w:tc>
        <w:tc>
          <w:tcPr>
            <w:tcW w:w="60" w:type="dxa"/>
            <w:tcBorders/>
            <w:shd w:fill="CCEEFF" w:val="clear"/>
            <w:tcMar>
              <w:bottom w:w="0" w:type="dxa"/>
            </w:tcMar>
            <w:vAlign w:val="center"/>
          </w:tcPr>
          <w:p>
            <w:pPr>
              <w:pStyle w:val="TableContents"/>
              <w:bidi w:val="0"/>
              <w:spacing w:lineRule="atLeast" w:line="240" w:before="0" w:after="0"/>
              <w:jc w:val="left"/>
              <w:rPr/>
            </w:pPr>
            <w:r>
              <w:rPr/>
              <w:t> </w:t>
            </w:r>
          </w:p>
        </w:tc>
        <w:tc>
          <w:tcPr>
            <w:tcW w:w="230"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34" w:type="dxa"/>
            <w:tcBorders>
              <w:top w:val="single" w:sz="8" w:space="0" w:color="000000"/>
              <w:bottom w:val="double" w:sz="6"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41.7</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In addition, the Company's state tax net operating loss carryforwards of $58.2</w:t>
      </w:r>
      <w:r>
        <w:rPr/>
        <w:t xml:space="preserve"> </w:t>
      </w:r>
      <w:r>
        <w:rPr>
          <w:rFonts w:ascii="Times New Roman" w:hAnsi="Times New Roman"/>
          <w:sz w:val="20"/>
        </w:rPr>
        <w:t>million will expire periodically from 2026</w:t>
      </w:r>
      <w:r>
        <w:rPr/>
        <w:t> </w:t>
      </w:r>
      <w:r>
        <w:rPr>
          <w:rFonts w:ascii="Times New Roman" w:hAnsi="Times New Roman"/>
          <w:sz w:val="20"/>
        </w:rPr>
        <w:t>through 2044, U.S. foreign tax credit carryforwards of $43.6</w:t>
      </w:r>
      <w:r>
        <w:rPr/>
        <w:t xml:space="preserve"> </w:t>
      </w:r>
      <w:r>
        <w:rPr>
          <w:rFonts w:ascii="Times New Roman" w:hAnsi="Times New Roman"/>
          <w:sz w:val="20"/>
        </w:rPr>
        <w:t>million will expire periodically from 2027</w:t>
      </w:r>
      <w:r>
        <w:rPr/>
        <w:t xml:space="preserve"> </w:t>
      </w:r>
      <w:r>
        <w:rPr>
          <w:rFonts w:ascii="Times New Roman" w:hAnsi="Times New Roman"/>
          <w:sz w:val="20"/>
        </w:rPr>
        <w:t>through 2034</w:t>
      </w:r>
      <w:r>
        <w:rPr/>
        <w:t> </w:t>
      </w:r>
      <w:r>
        <w:rPr>
          <w:rFonts w:ascii="Times New Roman" w:hAnsi="Times New Roman"/>
          <w:sz w:val="20"/>
        </w:rPr>
        <w:t>and U.S. federal research and expenditure credit carryforwards of $1.9</w:t>
      </w:r>
      <w:r>
        <w:rPr/>
        <w:t xml:space="preserve"> </w:t>
      </w:r>
      <w:r>
        <w:rPr>
          <w:rFonts w:ascii="Times New Roman" w:hAnsi="Times New Roman"/>
          <w:sz w:val="20"/>
        </w:rPr>
        <w:t>million will expire periodically from 2034</w:t>
      </w:r>
      <w:r>
        <w:rPr/>
        <w:t xml:space="preserve"> </w:t>
      </w:r>
      <w:r>
        <w:rPr>
          <w:rFonts w:ascii="Times New Roman" w:hAnsi="Times New Roman"/>
          <w:sz w:val="20"/>
        </w:rPr>
        <w:t>through 2044.</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$2,987.3</w:t>
      </w:r>
      <w:r>
        <w:rPr/>
        <w:t xml:space="preserve"> </w:t>
      </w:r>
      <w:r>
        <w:rPr>
          <w:rFonts w:ascii="Times New Roman" w:hAnsi="Times New Roman"/>
          <w:sz w:val="20"/>
        </w:rPr>
        <w:t>million as of December 31, 2025.</w:t>
      </w:r>
    </w:p>
    <w:p>
      <w:pPr>
        <w:pStyle w:val="TextBody"/>
        <w:bidi w:val="0"/>
        <w:spacing w:lineRule="atLeast" w:line="240" w:before="0" w:after="0"/>
        <w:jc w:val="both"/>
        <w:rPr/>
      </w:pPr>
      <w:r>
        <w:rPr/>
        <w:t> </w:t>
      </w:r>
    </w:p>
    <w:p>
      <w:pPr>
        <w:pStyle w:val="TextBody"/>
        <w:bidi w:val="0"/>
        <w:spacing w:lineRule="atLeast" w:line="264" w:before="0" w:after="0"/>
        <w:jc w:val="both"/>
        <w:rPr>
          <w:rFonts w:ascii="Times New Roman" w:hAnsi="Times New Roman"/>
          <w:sz w:val="20"/>
        </w:rPr>
      </w:pPr>
      <w:r>
        <w:rPr>
          <w:rFonts w:ascii="Times New Roman" w:hAnsi="Times New Roman"/>
          <w:sz w:val="20"/>
        </w:rPr>
        <w:t>Based upon the current Organization for Economic Co-operation and Development (OECD) rules and administrative guidance, as well as the related legislation of those countries which has been enacted to date, the Company does not anticipate being subject to material minimum foreign taxes. The Company is continuing to monitor the potential impact of the Pillar Two proposals for a minimum effective tax rate and related developments on our Consolidated Financial Statements and related disclosures, including eligibility for any transitional safe harbor rules.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 xml:space="preserve">Accounting for uncertainty in income taxes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A reconciliation of the beginning and ending amount of unrecognized tax benefits for the years ended December 31, 2025</w:t>
      </w:r>
      <w:r>
        <w:rPr/>
        <w:t xml:space="preserve"> </w:t>
      </w:r>
      <w:r>
        <w:rPr>
          <w:rFonts w:ascii="Times New Roman" w:hAnsi="Times New Roman"/>
          <w:sz w:val="20"/>
        </w:rPr>
        <w:t>and 2024</w:t>
      </w:r>
      <w:r>
        <w:rPr/>
        <w:t xml:space="preserve"> </w:t>
      </w:r>
      <w:r>
        <w:rPr>
          <w:rFonts w:ascii="Times New Roman" w:hAnsi="Times New Roman"/>
          <w:sz w:val="20"/>
        </w:rPr>
        <w:t xml:space="preserve">is as follows: </w:t>
      </w:r>
    </w:p>
    <w:p>
      <w:pPr>
        <w:pStyle w:val="TextBody"/>
        <w:bidi w:val="0"/>
        <w:spacing w:lineRule="atLeast" w:line="240" w:before="0" w:after="0"/>
        <w:jc w:val="left"/>
        <w:rPr/>
      </w:pPr>
      <w:r>
        <w:rPr/>
        <w:t> </w:t>
      </w:r>
    </w:p>
    <w:tbl>
      <w:tblPr>
        <w:tblW w:w="6802" w:type="dxa"/>
        <w:jc w:val="left"/>
        <w:tblInd w:w="0" w:type="dxa"/>
        <w:tblLayout w:type="fixed"/>
        <w:tblCellMar>
          <w:top w:w="0" w:type="dxa"/>
          <w:left w:w="0" w:type="dxa"/>
          <w:bottom w:w="0" w:type="dxa"/>
          <w:right w:w="0" w:type="dxa"/>
        </w:tblCellMar>
      </w:tblPr>
      <w:tblGrid>
        <w:gridCol w:w="4820"/>
        <w:gridCol w:w="60"/>
        <w:gridCol w:w="197"/>
        <w:gridCol w:w="788"/>
        <w:gridCol w:w="94"/>
        <w:gridCol w:w="197"/>
        <w:gridCol w:w="646"/>
      </w:tblGrid>
      <w:tr>
        <w:trPr/>
        <w:tc>
          <w:tcPr>
            <w:tcW w:w="4820" w:type="dxa"/>
            <w:tcBorders/>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lineRule="atLeast" w:line="240" w:before="0" w:after="0"/>
              <w:jc w:val="left"/>
              <w:rPr/>
            </w:pPr>
            <w:r>
              <w:rPr/>
              <w:t> </w:t>
            </w:r>
          </w:p>
        </w:tc>
        <w:tc>
          <w:tcPr>
            <w:tcW w:w="1922" w:type="dxa"/>
            <w:gridSpan w:val="5"/>
            <w:tcBorders>
              <w:bottom w:val="single" w:sz="8" w:space="0" w:color="000000"/>
            </w:tcBorders>
            <w:tcMar>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Year Ended December 31,</w:t>
            </w:r>
          </w:p>
        </w:tc>
      </w:tr>
      <w:tr>
        <w:trPr/>
        <w:tc>
          <w:tcPr>
            <w:tcW w:w="4820" w:type="dxa"/>
            <w:tcBorders>
              <w:bottom w:val="single" w:sz="8" w:space="0" w:color="000000"/>
            </w:tcBorders>
            <w:tcMar>
              <w:bottom w:w="28" w:type="dxa"/>
            </w:tcMar>
            <w:vAlign w:val="center"/>
          </w:tcPr>
          <w:p>
            <w:pPr>
              <w:pStyle w:val="TableContents"/>
              <w:bidi w:val="0"/>
              <w:spacing w:lineRule="atLeast" w:line="240"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lineRule="atLeast" w:line="240" w:before="0" w:after="0"/>
              <w:jc w:val="left"/>
              <w:rPr/>
            </w:pPr>
            <w:r>
              <w:rPr/>
              <w:t> </w:t>
            </w:r>
          </w:p>
        </w:tc>
        <w:tc>
          <w:tcPr>
            <w:tcW w:w="197"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788"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2025</w:t>
            </w:r>
          </w:p>
        </w:tc>
        <w:tc>
          <w:tcPr>
            <w:tcW w:w="94" w:type="dxa"/>
            <w:tcBorders>
              <w:top w:val="single" w:sz="8" w:space="0" w:color="000000"/>
            </w:tcBorders>
            <w:tcMar>
              <w:top w:w="28" w:type="dxa"/>
            </w:tcMar>
            <w:vAlign w:val="center"/>
          </w:tcPr>
          <w:p>
            <w:pPr>
              <w:pStyle w:val="TableContents"/>
              <w:bidi w:val="0"/>
              <w:spacing w:lineRule="atLeast" w:line="240" w:before="0" w:after="0"/>
              <w:jc w:val="left"/>
              <w:rPr/>
            </w:pPr>
            <w:r>
              <w:rPr/>
              <w:t> </w:t>
            </w:r>
          </w:p>
        </w:tc>
        <w:tc>
          <w:tcPr>
            <w:tcW w:w="197"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left"/>
              <w:rPr/>
            </w:pPr>
            <w:r>
              <w:rPr/>
              <w:t> </w:t>
            </w:r>
          </w:p>
        </w:tc>
        <w:tc>
          <w:tcPr>
            <w:tcW w:w="646" w:type="dxa"/>
            <w:tcBorders>
              <w:top w:val="single" w:sz="8" w:space="0" w:color="000000"/>
              <w:bottom w:val="single" w:sz="8" w:space="0" w:color="000000"/>
            </w:tcBorders>
            <w:tcMar>
              <w:top w:w="28" w:type="dxa"/>
              <w:bottom w:w="28" w:type="dxa"/>
            </w:tcMar>
            <w:vAlign w:val="center"/>
          </w:tcPr>
          <w:p>
            <w:pPr>
              <w:pStyle w:val="TableContents"/>
              <w:bidi w:val="0"/>
              <w:spacing w:lineRule="atLeast" w:line="240" w:before="0" w:after="0"/>
              <w:jc w:val="center"/>
              <w:rPr>
                <w:rFonts w:ascii="Times New Roman" w:hAnsi="Times New Roman"/>
                <w:b/>
                <w:sz w:val="16"/>
              </w:rPr>
            </w:pPr>
            <w:r>
              <w:rPr>
                <w:rFonts w:ascii="Times New Roman" w:hAnsi="Times New Roman"/>
                <w:b/>
                <w:sz w:val="16"/>
              </w:rPr>
              <w:t>2024</w:t>
            </w:r>
          </w:p>
        </w:tc>
      </w:tr>
      <w:tr>
        <w:trPr/>
        <w:tc>
          <w:tcPr>
            <w:tcW w:w="4820"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center"/>
          </w:tcPr>
          <w:p>
            <w:pPr>
              <w:pStyle w:val="TableContents"/>
              <w:bidi w:val="0"/>
              <w:spacing w:lineRule="atLeast" w:line="240" w:before="0" w:after="0"/>
              <w:jc w:val="left"/>
              <w:rPr/>
            </w:pPr>
            <w:r>
              <w:rPr/>
              <w:t> </w:t>
            </w:r>
          </w:p>
        </w:tc>
        <w:tc>
          <w:tcPr>
            <w:tcW w:w="197"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88"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48.6</w:t>
            </w:r>
          </w:p>
        </w:tc>
        <w:tc>
          <w:tcPr>
            <w:tcW w:w="94" w:type="dxa"/>
            <w:tcBorders/>
            <w:shd w:fill="CCEEFF" w:val="clear"/>
            <w:vAlign w:val="center"/>
          </w:tcPr>
          <w:p>
            <w:pPr>
              <w:pStyle w:val="TableContents"/>
              <w:bidi w:val="0"/>
              <w:spacing w:lineRule="atLeast" w:line="240" w:before="0" w:after="0"/>
              <w:jc w:val="left"/>
              <w:rPr/>
            </w:pPr>
            <w:r>
              <w:rPr/>
              <w:t> </w:t>
            </w:r>
          </w:p>
        </w:tc>
        <w:tc>
          <w:tcPr>
            <w:tcW w:w="197" w:type="dxa"/>
            <w:tcBorders>
              <w:top w:val="single" w:sz="8" w:space="0" w:color="000000"/>
            </w:tcBorders>
            <w:shd w:fill="CCEEFF" w:val="clear"/>
            <w:tcMar>
              <w:top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46" w:type="dxa"/>
            <w:tcBorders>
              <w:top w:val="single" w:sz="8" w:space="0" w:color="000000"/>
            </w:tcBorders>
            <w:shd w:fill="CCEEFF" w:val="clear"/>
            <w:tcMar>
              <w:top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51.8</w:t>
            </w:r>
          </w:p>
        </w:tc>
      </w:tr>
      <w:tr>
        <w:trPr/>
        <w:tc>
          <w:tcPr>
            <w:tcW w:w="48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Additions based on tax positions related to the current year</w:t>
            </w:r>
          </w:p>
        </w:tc>
        <w:tc>
          <w:tcPr>
            <w:tcW w:w="60" w:type="dxa"/>
            <w:tcBorders/>
            <w:shd w:fill="FFFFFF" w:val="clear"/>
            <w:vAlign w:val="center"/>
          </w:tcPr>
          <w:p>
            <w:pPr>
              <w:pStyle w:val="TableContents"/>
              <w:bidi w:val="0"/>
              <w:spacing w:lineRule="atLeast" w:line="240" w:before="0" w:after="0"/>
              <w:jc w:val="left"/>
              <w:rPr/>
            </w:pPr>
            <w:r>
              <w:rPr/>
              <w:t> </w:t>
            </w:r>
          </w:p>
        </w:tc>
        <w:tc>
          <w:tcPr>
            <w:tcW w:w="197" w:type="dxa"/>
            <w:tcBorders/>
            <w:shd w:fill="FFFFFF" w:val="clear"/>
            <w:vAlign w:val="center"/>
          </w:tcPr>
          <w:p>
            <w:pPr>
              <w:pStyle w:val="TableContents"/>
              <w:bidi w:val="0"/>
              <w:spacing w:lineRule="atLeast" w:line="240" w:before="0" w:after="0"/>
              <w:jc w:val="left"/>
              <w:rPr/>
            </w:pPr>
            <w:r>
              <w:rPr/>
              <w:t> </w:t>
            </w:r>
          </w:p>
        </w:tc>
        <w:tc>
          <w:tcPr>
            <w:tcW w:w="788"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7.1</w:t>
            </w:r>
          </w:p>
        </w:tc>
        <w:tc>
          <w:tcPr>
            <w:tcW w:w="94" w:type="dxa"/>
            <w:tcBorders/>
            <w:shd w:fill="FFFFFF" w:val="clear"/>
            <w:vAlign w:val="center"/>
          </w:tcPr>
          <w:p>
            <w:pPr>
              <w:pStyle w:val="TableContents"/>
              <w:bidi w:val="0"/>
              <w:spacing w:lineRule="atLeast" w:line="240" w:before="0" w:after="0"/>
              <w:jc w:val="left"/>
              <w:rPr/>
            </w:pPr>
            <w:r>
              <w:rPr/>
              <w:t> </w:t>
            </w:r>
          </w:p>
        </w:tc>
        <w:tc>
          <w:tcPr>
            <w:tcW w:w="197" w:type="dxa"/>
            <w:tcBorders/>
            <w:shd w:fill="FFFFFF" w:val="clear"/>
            <w:vAlign w:val="center"/>
          </w:tcPr>
          <w:p>
            <w:pPr>
              <w:pStyle w:val="TableContents"/>
              <w:bidi w:val="0"/>
              <w:spacing w:lineRule="atLeast" w:line="240" w:before="0" w:after="0"/>
              <w:jc w:val="left"/>
              <w:rPr/>
            </w:pPr>
            <w:r>
              <w:rPr/>
              <w:t> </w:t>
            </w:r>
          </w:p>
        </w:tc>
        <w:tc>
          <w:tcPr>
            <w:tcW w:w="646"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6.2</w:t>
            </w:r>
          </w:p>
        </w:tc>
      </w:tr>
      <w:tr>
        <w:trPr/>
        <w:tc>
          <w:tcPr>
            <w:tcW w:w="48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Additions for tax positions of prior years</w:t>
            </w:r>
          </w:p>
        </w:tc>
        <w:tc>
          <w:tcPr>
            <w:tcW w:w="60" w:type="dxa"/>
            <w:tcBorders/>
            <w:shd w:fill="CCEEFF" w:val="clear"/>
            <w:vAlign w:val="center"/>
          </w:tcPr>
          <w:p>
            <w:pPr>
              <w:pStyle w:val="TableContents"/>
              <w:bidi w:val="0"/>
              <w:spacing w:lineRule="atLeast" w:line="240" w:before="0" w:after="0"/>
              <w:jc w:val="left"/>
              <w:rPr/>
            </w:pPr>
            <w:r>
              <w:rPr/>
              <w:t> </w:t>
            </w:r>
          </w:p>
        </w:tc>
        <w:tc>
          <w:tcPr>
            <w:tcW w:w="197" w:type="dxa"/>
            <w:tcBorders/>
            <w:shd w:fill="CCEEFF" w:val="clear"/>
            <w:vAlign w:val="center"/>
          </w:tcPr>
          <w:p>
            <w:pPr>
              <w:pStyle w:val="TableContents"/>
              <w:bidi w:val="0"/>
              <w:spacing w:lineRule="atLeast" w:line="240" w:before="0" w:after="0"/>
              <w:jc w:val="left"/>
              <w:rPr/>
            </w:pPr>
            <w:r>
              <w:rPr/>
              <w:t> </w:t>
            </w:r>
          </w:p>
        </w:tc>
        <w:tc>
          <w:tcPr>
            <w:tcW w:w="788"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4.2</w:t>
            </w:r>
          </w:p>
        </w:tc>
        <w:tc>
          <w:tcPr>
            <w:tcW w:w="94" w:type="dxa"/>
            <w:tcBorders/>
            <w:shd w:fill="CCEEFF" w:val="clear"/>
            <w:vAlign w:val="center"/>
          </w:tcPr>
          <w:p>
            <w:pPr>
              <w:pStyle w:val="TableContents"/>
              <w:bidi w:val="0"/>
              <w:spacing w:lineRule="atLeast" w:line="240" w:before="0" w:after="0"/>
              <w:jc w:val="left"/>
              <w:rPr/>
            </w:pPr>
            <w:r>
              <w:rPr/>
              <w:t> </w:t>
            </w:r>
          </w:p>
        </w:tc>
        <w:tc>
          <w:tcPr>
            <w:tcW w:w="197" w:type="dxa"/>
            <w:tcBorders/>
            <w:shd w:fill="CCEEFF" w:val="clear"/>
            <w:vAlign w:val="center"/>
          </w:tcPr>
          <w:p>
            <w:pPr>
              <w:pStyle w:val="TableContents"/>
              <w:bidi w:val="0"/>
              <w:spacing w:lineRule="atLeast" w:line="240" w:before="0" w:after="0"/>
              <w:jc w:val="left"/>
              <w:rPr/>
            </w:pPr>
            <w:r>
              <w:rPr/>
              <w:t> </w:t>
            </w:r>
          </w:p>
        </w:tc>
        <w:tc>
          <w:tcPr>
            <w:tcW w:w="646"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1.4</w:t>
            </w:r>
          </w:p>
        </w:tc>
      </w:tr>
      <w:tr>
        <w:trPr/>
        <w:tc>
          <w:tcPr>
            <w:tcW w:w="48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Reductions for tax positions of prior years</w:t>
            </w:r>
          </w:p>
        </w:tc>
        <w:tc>
          <w:tcPr>
            <w:tcW w:w="60" w:type="dxa"/>
            <w:tcBorders/>
            <w:shd w:fill="FFFFFF" w:val="clear"/>
            <w:vAlign w:val="center"/>
          </w:tcPr>
          <w:p>
            <w:pPr>
              <w:pStyle w:val="TableContents"/>
              <w:bidi w:val="0"/>
              <w:spacing w:lineRule="atLeast" w:line="240" w:before="0" w:after="0"/>
              <w:jc w:val="left"/>
              <w:rPr/>
            </w:pPr>
            <w:r>
              <w:rPr/>
              <w:t> </w:t>
            </w:r>
          </w:p>
        </w:tc>
        <w:tc>
          <w:tcPr>
            <w:tcW w:w="197" w:type="dxa"/>
            <w:tcBorders/>
            <w:shd w:fill="FFFFFF" w:val="clear"/>
            <w:vAlign w:val="center"/>
          </w:tcPr>
          <w:p>
            <w:pPr>
              <w:pStyle w:val="TableContents"/>
              <w:bidi w:val="0"/>
              <w:spacing w:lineRule="atLeast" w:line="240" w:before="0" w:after="0"/>
              <w:jc w:val="left"/>
              <w:rPr/>
            </w:pPr>
            <w:r>
              <w:rPr/>
              <w:t> </w:t>
            </w:r>
          </w:p>
        </w:tc>
        <w:tc>
          <w:tcPr>
            <w:tcW w:w="788" w:type="dxa"/>
            <w:tcBorders/>
            <w:shd w:fill="FFFF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(0.1)</w:t>
            </w:r>
          </w:p>
        </w:tc>
        <w:tc>
          <w:tcPr>
            <w:tcW w:w="94" w:type="dxa"/>
            <w:tcBorders/>
            <w:shd w:fill="FFFFFF" w:val="clear"/>
            <w:vAlign w:val="center"/>
          </w:tcPr>
          <w:p>
            <w:pPr>
              <w:pStyle w:val="TableContents"/>
              <w:bidi w:val="0"/>
              <w:spacing w:lineRule="atLeast" w:line="240" w:before="0" w:after="0"/>
              <w:jc w:val="left"/>
              <w:rPr/>
            </w:pPr>
            <w:r>
              <w:rPr/>
              <w:t> </w:t>
            </w:r>
          </w:p>
        </w:tc>
        <w:tc>
          <w:tcPr>
            <w:tcW w:w="197" w:type="dxa"/>
            <w:tcBorders/>
            <w:shd w:fill="FFFFFF" w:val="clear"/>
            <w:vAlign w:val="center"/>
          </w:tcPr>
          <w:p>
            <w:pPr>
              <w:pStyle w:val="TableContents"/>
              <w:bidi w:val="0"/>
              <w:spacing w:lineRule="atLeast" w:line="240" w:before="0" w:after="0"/>
              <w:jc w:val="left"/>
              <w:rPr/>
            </w:pPr>
            <w:r>
              <w:rPr/>
              <w:t> </w:t>
            </w:r>
          </w:p>
        </w:tc>
        <w:tc>
          <w:tcPr>
            <w:tcW w:w="646" w:type="dxa"/>
            <w:tcBorders/>
            <w:shd w:fill="FFFF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(4.0)</w:t>
            </w:r>
          </w:p>
        </w:tc>
      </w:tr>
      <w:tr>
        <w:trPr/>
        <w:tc>
          <w:tcPr>
            <w:tcW w:w="48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Settlements</w:t>
            </w:r>
          </w:p>
        </w:tc>
        <w:tc>
          <w:tcPr>
            <w:tcW w:w="60" w:type="dxa"/>
            <w:tcBorders/>
            <w:shd w:fill="CCEEFF" w:val="clear"/>
            <w:vAlign w:val="center"/>
          </w:tcPr>
          <w:p>
            <w:pPr>
              <w:pStyle w:val="TableContents"/>
              <w:bidi w:val="0"/>
              <w:spacing w:lineRule="atLeast" w:line="240" w:before="0" w:after="0"/>
              <w:jc w:val="left"/>
              <w:rPr/>
            </w:pPr>
            <w:r>
              <w:rPr/>
              <w:t> </w:t>
            </w:r>
          </w:p>
        </w:tc>
        <w:tc>
          <w:tcPr>
            <w:tcW w:w="197" w:type="dxa"/>
            <w:tcBorders/>
            <w:shd w:fill="CCEEFF" w:val="clear"/>
            <w:vAlign w:val="center"/>
          </w:tcPr>
          <w:p>
            <w:pPr>
              <w:pStyle w:val="TableContents"/>
              <w:bidi w:val="0"/>
              <w:spacing w:lineRule="atLeast" w:line="240" w:before="0" w:after="0"/>
              <w:jc w:val="left"/>
              <w:rPr/>
            </w:pPr>
            <w:r>
              <w:rPr/>
              <w:t> </w:t>
            </w:r>
          </w:p>
        </w:tc>
        <w:tc>
          <w:tcPr>
            <w:tcW w:w="788" w:type="dxa"/>
            <w:tcBorders/>
            <w:shd w:fill="CCEEFF" w:val="cle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(12.3)</w:t>
            </w:r>
          </w:p>
        </w:tc>
        <w:tc>
          <w:tcPr>
            <w:tcW w:w="94" w:type="dxa"/>
            <w:tcBorders/>
            <w:shd w:fill="CCEEFF" w:val="clear"/>
            <w:vAlign w:val="center"/>
          </w:tcPr>
          <w:p>
            <w:pPr>
              <w:pStyle w:val="TableContents"/>
              <w:bidi w:val="0"/>
              <w:spacing w:lineRule="atLeast" w:line="240" w:before="0" w:after="0"/>
              <w:jc w:val="left"/>
              <w:rPr/>
            </w:pPr>
            <w:r>
              <w:rPr/>
              <w:t> </w:t>
            </w:r>
          </w:p>
        </w:tc>
        <w:tc>
          <w:tcPr>
            <w:tcW w:w="197" w:type="dxa"/>
            <w:tcBorders/>
            <w:shd w:fill="CCEEFF" w:val="clear"/>
            <w:vAlign w:val="center"/>
          </w:tcPr>
          <w:p>
            <w:pPr>
              <w:pStyle w:val="TableContents"/>
              <w:bidi w:val="0"/>
              <w:spacing w:lineRule="atLeast" w:line="240" w:before="0" w:after="0"/>
              <w:jc w:val="left"/>
              <w:rPr/>
            </w:pPr>
            <w:r>
              <w:rPr/>
              <w:t> </w:t>
            </w:r>
          </w:p>
        </w:tc>
        <w:tc>
          <w:tcPr>
            <w:tcW w:w="646" w:type="dxa"/>
            <w:tcBorders/>
            <w:shd w:fill="CCEEFF" w:val="cle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(0.2)</w:t>
            </w:r>
          </w:p>
        </w:tc>
      </w:tr>
      <w:tr>
        <w:trPr/>
        <w:tc>
          <w:tcPr>
            <w:tcW w:w="4820" w:type="dxa"/>
            <w:tcBorders/>
            <w:shd w:fill="FFFF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Statute of limitations expiration</w:t>
            </w:r>
          </w:p>
        </w:tc>
        <w:tc>
          <w:tcPr>
            <w:tcW w:w="60" w:type="dxa"/>
            <w:tcBorders/>
            <w:shd w:fill="FFFFFF" w:val="clear"/>
            <w:vAlign w:val="center"/>
          </w:tcPr>
          <w:p>
            <w:pPr>
              <w:pStyle w:val="TableContents"/>
              <w:bidi w:val="0"/>
              <w:spacing w:lineRule="atLeast" w:line="240" w:before="0" w:after="0"/>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sz w:val="20"/>
              </w:rPr>
            </w:pPr>
            <w:r>
              <w:rPr>
                <w:rFonts w:ascii="Times New Roman" w:hAnsi="Times New Roman"/>
                <w:sz w:val="20"/>
              </w:rPr>
              <w:t>(6.1)</w:t>
            </w:r>
          </w:p>
        </w:tc>
        <w:tc>
          <w:tcPr>
            <w:tcW w:w="94" w:type="dxa"/>
            <w:tcBorders/>
            <w:shd w:fill="FFFFFF" w:val="clear"/>
            <w:vAlign w:val="center"/>
          </w:tcPr>
          <w:p>
            <w:pPr>
              <w:pStyle w:val="TableContents"/>
              <w:bidi w:val="0"/>
              <w:spacing w:lineRule="atLeast" w:line="240" w:before="0" w:after="0"/>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lineRule="atLeast" w:line="240" w:before="0" w:after="0"/>
              <w:jc w:val="left"/>
              <w:rPr/>
            </w:pPr>
            <w:r>
              <w:rPr/>
              <w:t> </w:t>
            </w:r>
          </w:p>
        </w:tc>
        <w:tc>
          <w:tcPr>
            <w:tcW w:w="646" w:type="dxa"/>
            <w:tcBorders>
              <w:bottom w:val="single" w:sz="8" w:space="0" w:color="000000"/>
            </w:tcBorders>
            <w:shd w:fill="FFFFFF" w:val="clear"/>
            <w:tcMar>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(6.6)</w:t>
            </w:r>
          </w:p>
        </w:tc>
      </w:tr>
      <w:tr>
        <w:trPr/>
        <w:tc>
          <w:tcPr>
            <w:tcW w:w="4820" w:type="dxa"/>
            <w:tcBorders/>
            <w:shd w:fill="CCEEFF" w:val="cle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Ending balance</w:t>
            </w:r>
          </w:p>
        </w:tc>
        <w:tc>
          <w:tcPr>
            <w:tcW w:w="60" w:type="dxa"/>
            <w:tcBorders/>
            <w:shd w:fill="CCEEFF" w:val="clear"/>
            <w:vAlign w:val="center"/>
          </w:tcPr>
          <w:p>
            <w:pPr>
              <w:pStyle w:val="TableContents"/>
              <w:bidi w:val="0"/>
              <w:spacing w:lineRule="atLeast" w:line="240" w:before="0" w:after="0"/>
              <w:jc w:val="left"/>
              <w:rPr/>
            </w:pPr>
            <w:r>
              <w:rPr/>
              <w:t> </w:t>
            </w:r>
          </w:p>
        </w:tc>
        <w:tc>
          <w:tcPr>
            <w:tcW w:w="19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7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41.4</w:t>
            </w:r>
          </w:p>
        </w:tc>
        <w:tc>
          <w:tcPr>
            <w:tcW w:w="94" w:type="dxa"/>
            <w:tcBorders/>
            <w:shd w:fill="CCEEFF" w:val="clear"/>
            <w:vAlign w:val="center"/>
          </w:tcPr>
          <w:p>
            <w:pPr>
              <w:pStyle w:val="TableContents"/>
              <w:bidi w:val="0"/>
              <w:spacing w:lineRule="atLeast" w:line="240" w:before="0" w:after="0"/>
              <w:jc w:val="left"/>
              <w:rPr>
                <w:color w:val="333333"/>
              </w:rPr>
            </w:pPr>
            <w:r>
              <w:rPr>
                <w:color w:val="333333"/>
              </w:rPr>
              <w:t> </w:t>
            </w:r>
          </w:p>
        </w:tc>
        <w:tc>
          <w:tcPr>
            <w:tcW w:w="19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left"/>
              <w:rPr>
                <w:rFonts w:ascii="Times New Roman" w:hAnsi="Times New Roman"/>
                <w:sz w:val="20"/>
              </w:rPr>
            </w:pPr>
            <w:r>
              <w:rPr>
                <w:rFonts w:ascii="Times New Roman" w:hAnsi="Times New Roman"/>
                <w:sz w:val="20"/>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tLeast" w:line="240" w:before="0" w:after="0"/>
              <w:jc w:val="right"/>
              <w:rPr>
                <w:rFonts w:ascii="Times New Roman" w:hAnsi="Times New Roman"/>
                <w:color w:val="333333"/>
                <w:sz w:val="20"/>
              </w:rPr>
            </w:pPr>
            <w:r>
              <w:rPr>
                <w:rFonts w:ascii="Times New Roman" w:hAnsi="Times New Roman"/>
                <w:color w:val="333333"/>
                <w:sz w:val="20"/>
              </w:rPr>
              <w:t>48.6</w:t>
            </w:r>
          </w:p>
        </w:tc>
      </w:tr>
    </w:tbl>
    <w:p>
      <w:pPr>
        <w:pStyle w:val="TextBody"/>
        <w:bidi w:val="0"/>
        <w:spacing w:lineRule="atLeast" w:line="240" w:before="0" w:after="0"/>
        <w:jc w:val="center"/>
        <w:rPr/>
      </w:pPr>
      <w:r>
        <w:rPr/>
        <w:t> </w:t>
      </w:r>
    </w:p>
    <w:p>
      <w:pPr>
        <w:pStyle w:val="TextBody"/>
        <w:bidi w:val="0"/>
        <w:spacing w:lineRule="atLeast" w:line="240" w:before="0" w:after="0"/>
        <w:jc w:val="both"/>
        <w:rPr/>
      </w:pPr>
      <w:r>
        <w:rPr>
          <w:rFonts w:ascii="Times New Roman" w:hAnsi="Times New Roman"/>
          <w:sz w:val="20"/>
        </w:rPr>
        <w:t>As of December 31, 2025</w:t>
      </w:r>
      <w:r>
        <w:rPr/>
        <w:t xml:space="preserve"> </w:t>
      </w:r>
      <w:r>
        <w:rPr>
          <w:rFonts w:ascii="Times New Roman" w:hAnsi="Times New Roman"/>
          <w:sz w:val="20"/>
        </w:rPr>
        <w:t>and 2024, approximately $41.2</w:t>
      </w:r>
      <w:r>
        <w:rPr/>
        <w:t xml:space="preserve"> </w:t>
      </w:r>
      <w:r>
        <w:rPr>
          <w:rFonts w:ascii="Times New Roman" w:hAnsi="Times New Roman"/>
          <w:sz w:val="20"/>
        </w:rPr>
        <w:t>million and $36.4</w:t>
      </w:r>
      <w:r>
        <w:rPr/>
        <w:t xml:space="preserve"> </w:t>
      </w:r>
      <w:r>
        <w:rPr>
          <w:rFonts w:ascii="Times New Roman" w:hAnsi="Times New Roman"/>
          <w:sz w:val="20"/>
        </w:rPr>
        <w:t>million, respectively, of the unrecognized tax benefits would impact the Company's provision for income taxes and effective income tax rate, if recognized. Total estimated accrued interest and penalties related to the underpayment of income taxes was $7.0</w:t>
      </w:r>
      <w:r>
        <w:rPr/>
        <w:t xml:space="preserve"> </w:t>
      </w:r>
      <w:r>
        <w:rPr>
          <w:rFonts w:ascii="Times New Roman" w:hAnsi="Times New Roman"/>
          <w:sz w:val="20"/>
        </w:rPr>
        <w:t>million and $7.1</w:t>
      </w:r>
      <w:r>
        <w:rPr/>
        <w:t xml:space="preserve"> </w:t>
      </w:r>
      <w:r>
        <w:rPr>
          <w:rFonts w:ascii="Times New Roman" w:hAnsi="Times New Roman"/>
          <w:sz w:val="20"/>
        </w:rPr>
        <w:t>million as of December 31, 2025</w:t>
      </w:r>
      <w:r>
        <w:rPr/>
        <w:t xml:space="preserve"> </w:t>
      </w:r>
      <w:r>
        <w:rPr>
          <w:rFonts w:ascii="Times New Roman" w:hAnsi="Times New Roman"/>
          <w:sz w:val="20"/>
        </w:rPr>
        <w:t xml:space="preserve">and 2024, respectively.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is subject to taxation in the U.S. and various state and foreign jurisdictions.</w:t>
      </w:r>
      <w:r>
        <w:rPr/>
        <w:t xml:space="preserve">  </w:t>
      </w:r>
      <w:r>
        <w:rPr>
          <w:rFonts w:ascii="Times New Roman" w:hAnsi="Times New Roman"/>
          <w:sz w:val="20"/>
        </w:rPr>
        <w:t xml:space="preserve">The major jurisdictions which remain subject to examination after 2014 include the U.S., Germany, India, and Spain.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(16) Valuation and Qualifying Accounts</w:t>
      </w:r>
      <w:bookmarkStart w:id="54" w:name="bm_6494a12967b34807"/>
      <w:bookmarkEnd w:id="54"/>
    </w:p>
    <w:p>
      <w:pPr>
        <w:pStyle w:val="TextBody"/>
        <w:bidi w:val="0"/>
        <w:spacing w:lineRule="atLeast" w:line="240" w:before="0" w:after="0"/>
        <w:jc w:val="both"/>
        <w:rPr/>
      </w:pPr>
      <w:r>
        <w:rPr/>
        <w:t> </w:t>
      </w:r>
    </w:p>
    <w:p>
      <w:pPr>
        <w:pStyle w:val="TextBody"/>
        <w:bidi w:val="0"/>
        <w:spacing w:lineRule="atLeast" w:line="240" w:before="0" w:after="160"/>
        <w:jc w:val="both"/>
        <w:rPr/>
      </w:pPr>
      <w:r>
        <w:rPr>
          <w:rFonts w:ascii="Times New Roman" w:hAnsi="Times New Roman"/>
          <w:sz w:val="20"/>
        </w:rPr>
        <w:t>Trade accounts receivable and accounts receivable balances included within the settlement assets are stated net of credit losses. Historically, the Company has not experienced significant write-offs. The Company records an allowance for credit losses when it is probable that the accounts receivable balance will not be collected.</w:t>
      </w:r>
      <w:r>
        <w:rPr/>
        <w:t> </w:t>
      </w:r>
    </w:p>
    <w:p>
      <w:pPr>
        <w:pStyle w:val="TextBody"/>
        <w:bidi w:val="0"/>
        <w:spacing w:lineRule="atLeast" w:line="240" w:before="0" w:after="160"/>
        <w:jc w:val="both"/>
        <w:rPr/>
      </w:pPr>
      <w:r>
        <w:rPr>
          <w:rFonts w:ascii="Times New Roman" w:hAnsi="Times New Roman"/>
          <w:sz w:val="20"/>
        </w:rPr>
        <w:t>The following table provides a summary of the allowance for credit loss balances and activity for the years ended December 31, 2025, 2024</w:t>
      </w:r>
      <w:r>
        <w:rPr/>
        <w:t> </w:t>
      </w:r>
      <w:r>
        <w:rPr>
          <w:rFonts w:ascii="Times New Roman" w:hAnsi="Times New Roman"/>
          <w:sz w:val="20"/>
        </w:rPr>
        <w:t>and 2023:</w:t>
      </w:r>
      <w:r>
        <w:rPr/>
        <w:t>  </w:t>
      </w:r>
    </w:p>
    <w:tbl>
      <w:tblPr>
        <w:tblW w:w="6922" w:type="dxa"/>
        <w:jc w:val="left"/>
        <w:tblInd w:w="0" w:type="dxa"/>
        <w:tblLayout w:type="fixed"/>
        <w:tblCellMar>
          <w:top w:w="0" w:type="dxa"/>
          <w:left w:w="0" w:type="dxa"/>
          <w:bottom w:w="0" w:type="dxa"/>
          <w:right w:w="0" w:type="dxa"/>
        </w:tblCellMar>
      </w:tblPr>
      <w:tblGrid>
        <w:gridCol w:w="4940"/>
        <w:gridCol w:w="60"/>
        <w:gridCol w:w="126"/>
        <w:gridCol w:w="505"/>
        <w:gridCol w:w="60"/>
        <w:gridCol w:w="126"/>
        <w:gridCol w:w="505"/>
        <w:gridCol w:w="60"/>
        <w:gridCol w:w="126"/>
        <w:gridCol w:w="414"/>
      </w:tblGrid>
      <w:tr>
        <w:trPr/>
        <w:tc>
          <w:tcPr>
            <w:tcW w:w="4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922"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r>
      <w:tr>
        <w:trPr/>
        <w:tc>
          <w:tcPr>
            <w:tcW w:w="494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1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494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balance-credit losses</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35.9</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w:t>
            </w:r>
          </w:p>
        </w:tc>
        <w:tc>
          <w:tcPr>
            <w:tcW w:w="60" w:type="dxa"/>
            <w:tcBorders/>
            <w:shd w:fill="CCEEFF" w:val="clear"/>
            <w:vAlign w:val="center"/>
          </w:tcPr>
          <w:p>
            <w:pPr>
              <w:pStyle w:val="TableContents"/>
              <w:bidi w:val="0"/>
              <w:spacing w:before="0" w:after="0"/>
              <w:jc w:val="right"/>
              <w:rPr/>
            </w:pPr>
            <w:r>
              <w:rPr/>
              <w:t> </w:t>
            </w:r>
          </w:p>
        </w:tc>
        <w:tc>
          <w:tcPr>
            <w:tcW w:w="1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41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37.0</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Additions-charged to expense</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5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5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18.7</w:t>
            </w:r>
          </w:p>
        </w:tc>
        <w:tc>
          <w:tcPr>
            <w:tcW w:w="60" w:type="dxa"/>
            <w:tcBorders/>
            <w:shd w:fill="FFFFFF" w:val="clear"/>
            <w:vAlign w:val="center"/>
          </w:tcPr>
          <w:p>
            <w:pPr>
              <w:pStyle w:val="TableContents"/>
              <w:bidi w:val="0"/>
              <w:spacing w:before="0" w:after="0"/>
              <w:jc w:val="right"/>
              <w:rPr/>
            </w:pPr>
            <w:r>
              <w:rPr/>
              <w:t> </w:t>
            </w:r>
          </w:p>
        </w:tc>
        <w:tc>
          <w:tcPr>
            <w:tcW w:w="126" w:type="dxa"/>
            <w:tcBorders/>
            <w:shd w:fill="FFFFFF" w:val="clear"/>
            <w:vAlign w:val="center"/>
          </w:tcPr>
          <w:p>
            <w:pPr>
              <w:pStyle w:val="TableContents"/>
              <w:bidi w:val="0"/>
              <w:spacing w:before="0" w:after="0"/>
              <w:jc w:val="right"/>
              <w:rPr/>
            </w:pPr>
            <w:r>
              <w:rPr/>
              <w:t> </w:t>
            </w:r>
          </w:p>
        </w:tc>
        <w:tc>
          <w:tcPr>
            <w:tcW w:w="41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13.3</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written off</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(23.9)</w:t>
            </w:r>
          </w:p>
        </w:tc>
        <w:tc>
          <w:tcPr>
            <w:tcW w:w="60" w:type="dxa"/>
            <w:tcBorders/>
            <w:shd w:fill="CCEEFF" w:val="clear"/>
            <w:vAlign w:val="center"/>
          </w:tcPr>
          <w:p>
            <w:pPr>
              <w:pStyle w:val="TableContents"/>
              <w:bidi w:val="0"/>
              <w:spacing w:before="0" w:after="0"/>
              <w:jc w:val="right"/>
              <w:rPr/>
            </w:pPr>
            <w:r>
              <w:rPr/>
              <w:t> </w:t>
            </w:r>
          </w:p>
        </w:tc>
        <w:tc>
          <w:tcPr>
            <w:tcW w:w="126" w:type="dxa"/>
            <w:tcBorders/>
            <w:shd w:fill="CCEEFF" w:val="clear"/>
            <w:vAlign w:val="center"/>
          </w:tcPr>
          <w:p>
            <w:pPr>
              <w:pStyle w:val="TableContents"/>
              <w:bidi w:val="0"/>
              <w:spacing w:before="0" w:after="0"/>
              <w:jc w:val="right"/>
              <w:rPr/>
            </w:pPr>
            <w:r>
              <w:rPr/>
              <w:t> </w:t>
            </w:r>
          </w:p>
        </w:tc>
        <w:tc>
          <w:tcPr>
            <w:tcW w:w="41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(primarily changes in foreign currency exchange rates)</w:t>
            </w:r>
          </w:p>
        </w:tc>
        <w:tc>
          <w:tcPr>
            <w:tcW w:w="60" w:type="dxa"/>
            <w:tcBorders/>
            <w:shd w:fill="FFFFFF" w:val="clear"/>
            <w:vAlign w:val="center"/>
          </w:tcPr>
          <w:p>
            <w:pPr>
              <w:pStyle w:val="TableContents"/>
              <w:bidi w:val="0"/>
              <w:spacing w:before="0" w:after="0"/>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0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60" w:type="dxa"/>
            <w:tcBorders/>
            <w:shd w:fill="FFFFFF" w:val="clear"/>
            <w:vAlign w:val="center"/>
          </w:tcPr>
          <w:p>
            <w:pPr>
              <w:pStyle w:val="TableContents"/>
              <w:bidi w:val="0"/>
              <w:spacing w:before="0" w:after="0"/>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50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jc w:val="righ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41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balance-credit losses</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47.2</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35.9</w:t>
            </w:r>
          </w:p>
        </w:tc>
        <w:tc>
          <w:tcPr>
            <w:tcW w:w="60" w:type="dxa"/>
            <w:tcBorders/>
            <w:shd w:fill="CCEEFF" w:val="clear"/>
            <w:vAlign w:val="center"/>
          </w:tcPr>
          <w:p>
            <w:pPr>
              <w:pStyle w:val="TableContents"/>
              <w:bidi w:val="0"/>
              <w:spacing w:before="0" w:after="0"/>
              <w:jc w:val="right"/>
              <w:rPr/>
            </w:pPr>
            <w:r>
              <w:rPr/>
              <w:t> </w:t>
            </w:r>
          </w:p>
        </w:tc>
        <w:tc>
          <w:tcPr>
            <w:tcW w:w="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41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w:t>
            </w:r>
          </w:p>
        </w:tc>
      </w:tr>
    </w:tbl>
    <w:p>
      <w:pPr>
        <w:pStyle w:val="TextBody"/>
        <w:bidi w:val="0"/>
        <w:spacing w:lineRule="atLeast" w:line="240" w:before="0" w:after="0"/>
        <w:jc w:val="both"/>
        <w:rPr/>
      </w:pPr>
      <w:r>
        <w:rPr/>
        <w:t> </w:t>
      </w:r>
    </w:p>
    <w:p>
      <w:pPr>
        <w:pStyle w:val="TextBody"/>
        <w:bidi w:val="0"/>
        <w:spacing w:before="0" w:after="0"/>
        <w:jc w:val="left"/>
        <w:rPr/>
      </w:pPr>
      <w:r>
        <w:rPr/>
        <w:t> </w:t>
      </w:r>
    </w:p>
    <w:p>
      <w:pPr>
        <w:pStyle w:val="TextBody"/>
        <w:bidi w:val="0"/>
        <w:spacing w:lineRule="atLeast" w:line="240" w:before="0" w:after="0"/>
        <w:jc w:val="both"/>
        <w:rPr/>
      </w:pPr>
      <w:hyperlink w:anchor="TOC">
        <w:bookmarkStart w:id="55" w:name="bm_4ac9b36c5b34d6f2"/>
        <w:bookmarkEnd w:id="55"/>
        <w:r>
          <w:rPr>
            <w:rStyle w:val="InternetLink"/>
            <w:rFonts w:ascii="Times New Roman" w:hAnsi="Times New Roman"/>
            <w:b/>
            <w:strike w:val="false"/>
            <w:dstrike w:val="false"/>
            <w:color w:val="000000"/>
            <w:sz w:val="20"/>
            <w:u w:val="none"/>
            <w:effect w:val="none"/>
          </w:rPr>
          <w:t>(17) Stock Plans</w:t>
        </w:r>
      </w:hyperlink>
    </w:p>
    <w:p>
      <w:pPr>
        <w:pStyle w:val="TextBody"/>
        <w:bidi w:val="0"/>
        <w:spacing w:lineRule="atLeast" w:line="240" w:before="160" w:after="160"/>
        <w:jc w:val="both"/>
        <w:rPr/>
      </w:pPr>
      <w:r>
        <w:rPr>
          <w:rFonts w:ascii="Times New Roman" w:hAnsi="Times New Roman"/>
          <w:sz w:val="20"/>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w:t>
      </w:r>
      <w:r>
        <w:rPr/>
        <w:t xml:space="preserve"> </w:t>
      </w:r>
      <w:r>
        <w:rPr>
          <w:rFonts w:ascii="Times New Roman" w:hAnsi="Times New Roman"/>
          <w:sz w:val="20"/>
        </w:rPr>
        <w:t>to four years</w:t>
      </w:r>
      <w:r>
        <w:rPr/>
        <w:t> </w:t>
      </w:r>
      <w:r>
        <w:rPr>
          <w:rFonts w:ascii="Times New Roman" w:hAnsi="Times New Roman"/>
          <w:sz w:val="20"/>
        </w:rPr>
        <w:t>from the date of grant. Stock options are generally exercisable during the shorter of a ten-year</w:t>
      </w:r>
      <w:r>
        <w:rPr/>
        <w:t xml:space="preserve"> </w:t>
      </w:r>
      <w:r>
        <w:rPr>
          <w:rFonts w:ascii="Times New Roman" w:hAnsi="Times New Roman"/>
          <w:sz w:val="20"/>
        </w:rPr>
        <w:t>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2025, the Company has approximately 1.1</w:t>
      </w:r>
      <w:r>
        <w:rPr/>
        <w:t xml:space="preserve"> </w:t>
      </w:r>
      <w:r>
        <w:rPr>
          <w:rFonts w:ascii="Times New Roman" w:hAnsi="Times New Roman"/>
          <w:sz w:val="20"/>
        </w:rPr>
        <w:t>million in total shares remaining available for issuance under the SCP.</w:t>
      </w:r>
    </w:p>
    <w:p>
      <w:pPr>
        <w:pStyle w:val="TextBody"/>
        <w:bidi w:val="0"/>
        <w:spacing w:lineRule="atLeast" w:line="240" w:before="0" w:after="160"/>
        <w:jc w:val="both"/>
        <w:rPr/>
      </w:pPr>
      <w:r>
        <w:rPr>
          <w:rFonts w:ascii="Times New Roman" w:hAnsi="Times New Roman"/>
          <w:sz w:val="20"/>
        </w:rPr>
        <w:t>Share-based compensation expense was $55.1</w:t>
      </w:r>
      <w:r>
        <w:rPr/>
        <w:t xml:space="preserve"> </w:t>
      </w:r>
      <w:r>
        <w:rPr>
          <w:rFonts w:ascii="Times New Roman" w:hAnsi="Times New Roman"/>
          <w:sz w:val="20"/>
        </w:rPr>
        <w:t>million, $43.9</w:t>
      </w:r>
      <w:r>
        <w:rPr/>
        <w:t xml:space="preserve"> </w:t>
      </w:r>
      <w:r>
        <w:rPr>
          <w:rFonts w:ascii="Times New Roman" w:hAnsi="Times New Roman"/>
          <w:sz w:val="20"/>
        </w:rPr>
        <w:t>million, and $53.7</w:t>
      </w:r>
      <w:r>
        <w:rPr/>
        <w:t xml:space="preserve"> </w:t>
      </w:r>
      <w:r>
        <w:rPr>
          <w:rFonts w:ascii="Times New Roman" w:hAnsi="Times New Roman"/>
          <w:sz w:val="20"/>
        </w:rPr>
        <w:t>million for the years ended December 31, 2025, 2024</w:t>
      </w:r>
      <w:r>
        <w:rPr/>
        <w:t xml:space="preserve"> </w:t>
      </w:r>
      <w:r>
        <w:rPr>
          <w:rFonts w:ascii="Times New Roman" w:hAnsi="Times New Roman"/>
          <w:sz w:val="20"/>
        </w:rPr>
        <w:t>and 2023, respectively, and was recorded in salaries and benefits expense in the accompanying Consolidated Statements of Operations. The Company recorded a tax benefit of $2.3</w:t>
      </w:r>
      <w:r>
        <w:rPr/>
        <w:t xml:space="preserve"> </w:t>
      </w:r>
      <w:r>
        <w:rPr>
          <w:rFonts w:ascii="Times New Roman" w:hAnsi="Times New Roman"/>
          <w:sz w:val="20"/>
        </w:rPr>
        <w:t>million, $2.0</w:t>
      </w:r>
      <w:r>
        <w:rPr/>
        <w:t xml:space="preserve"> </w:t>
      </w:r>
      <w:r>
        <w:rPr>
          <w:rFonts w:ascii="Times New Roman" w:hAnsi="Times New Roman"/>
          <w:sz w:val="20"/>
        </w:rPr>
        <w:t>million, and $4.0</w:t>
      </w:r>
      <w:r>
        <w:rPr/>
        <w:t> </w:t>
      </w:r>
      <w:r>
        <w:rPr>
          <w:rFonts w:ascii="Times New Roman" w:hAnsi="Times New Roman"/>
          <w:sz w:val="20"/>
        </w:rPr>
        <w:t>million during the years ended December 31, 2025, 2024</w:t>
      </w:r>
      <w:r>
        <w:rPr/>
        <w:t xml:space="preserve"> </w:t>
      </w:r>
      <w:r>
        <w:rPr>
          <w:rFonts w:ascii="Times New Roman" w:hAnsi="Times New Roman"/>
          <w:sz w:val="20"/>
        </w:rPr>
        <w:t>and 2023, respectively, for the portion of this expense that relates to foreign tax jurisdictions in which an income tax benefit is expected to be derived.</w:t>
      </w: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Stock options</w:t>
      </w:r>
    </w:p>
    <w:p>
      <w:pPr>
        <w:pStyle w:val="TextBody"/>
        <w:bidi w:val="0"/>
        <w:spacing w:lineRule="atLeast" w:line="240" w:before="160" w:after="160"/>
        <w:jc w:val="both"/>
        <w:rPr>
          <w:rFonts w:ascii="Times New Roman" w:hAnsi="Times New Roman"/>
          <w:sz w:val="20"/>
        </w:rPr>
      </w:pPr>
      <w:r>
        <w:rPr>
          <w:rFonts w:ascii="Times New Roman" w:hAnsi="Times New Roman"/>
          <w:sz w:val="20"/>
        </w:rPr>
        <w:t>Summary stock options activity is presented in the table below:</w:t>
      </w:r>
    </w:p>
    <w:tbl>
      <w:tblPr>
        <w:tblW w:w="10205" w:type="dxa"/>
        <w:jc w:val="left"/>
        <w:tblInd w:w="0" w:type="dxa"/>
        <w:tblLayout w:type="fixed"/>
        <w:tblCellMar>
          <w:top w:w="0" w:type="dxa"/>
          <w:left w:w="0" w:type="dxa"/>
          <w:bottom w:w="0" w:type="dxa"/>
          <w:right w:w="0" w:type="dxa"/>
        </w:tblCellMar>
      </w:tblPr>
      <w:tblGrid>
        <w:gridCol w:w="2869"/>
        <w:gridCol w:w="60"/>
        <w:gridCol w:w="1070"/>
        <w:gridCol w:w="60"/>
        <w:gridCol w:w="60"/>
        <w:gridCol w:w="125"/>
        <w:gridCol w:w="1520"/>
        <w:gridCol w:w="60"/>
        <w:gridCol w:w="60"/>
        <w:gridCol w:w="60"/>
        <w:gridCol w:w="2413"/>
        <w:gridCol w:w="60"/>
        <w:gridCol w:w="125"/>
        <w:gridCol w:w="1663"/>
      </w:tblGrid>
      <w:tr>
        <w:trPr/>
        <w:tc>
          <w:tcPr>
            <w:tcW w:w="286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Weighted Average Exercise Price</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241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Weighted Average Remaining Contractual Term (years)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6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Aggregate Intrinsic Value (millions)</w:t>
            </w:r>
          </w:p>
        </w:tc>
      </w:tr>
      <w:tr>
        <w:trPr/>
        <w:tc>
          <w:tcPr>
            <w:tcW w:w="2869" w:type="dxa"/>
            <w:tcBorders/>
            <w:shd w:fill="CCEEFF" w:val="clear"/>
            <w:vAlign w:val="center"/>
          </w:tcPr>
          <w:p>
            <w:pPr>
              <w:pStyle w:val="TableContents"/>
              <w:bidi w:val="0"/>
              <w:spacing w:before="0" w:after="0"/>
              <w:jc w:val="left"/>
              <w:rPr>
                <w:sz w:val="20"/>
              </w:rPr>
            </w:pPr>
            <w:r>
              <w:rPr>
                <w:rFonts w:ascii="Times New Roman" w:hAnsi="Times New Roman"/>
                <w:sz w:val="20"/>
              </w:rPr>
              <w:t>Balance at December 31, 2024 (3,740,436</w:t>
            </w:r>
            <w:r>
              <w:rPr>
                <w:sz w:val="20"/>
              </w:rPr>
              <w:t xml:space="preserve"> </w:t>
            </w:r>
            <w:r>
              <w:rPr>
                <w:rFonts w:ascii="Times New Roman" w:hAnsi="Times New Roman"/>
                <w:sz w:val="20"/>
              </w:rPr>
              <w:t>shares exercisable)</w:t>
            </w:r>
          </w:p>
        </w:tc>
        <w:tc>
          <w:tcPr>
            <w:tcW w:w="60" w:type="dxa"/>
            <w:tcBorders/>
            <w:shd w:fill="CCEEFF" w:val="clear"/>
            <w:vAlign w:val="center"/>
          </w:tcPr>
          <w:p>
            <w:pPr>
              <w:pStyle w:val="TableContents"/>
              <w:bidi w:val="0"/>
              <w:spacing w:before="0" w:after="0"/>
              <w:jc w:val="left"/>
              <w:rPr/>
            </w:pPr>
            <w:r>
              <w:rPr/>
              <w:t> </w:t>
            </w:r>
          </w:p>
        </w:tc>
        <w:tc>
          <w:tcPr>
            <w:tcW w:w="10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5,161,664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104.10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41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66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869"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jc w:val="left"/>
              <w:rPr/>
            </w:pPr>
            <w:r>
              <w:rPr/>
              <w:t> </w:t>
            </w:r>
          </w:p>
        </w:tc>
        <w:tc>
          <w:tcPr>
            <w:tcW w:w="10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413"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663" w:type="dxa"/>
            <w:tcBorders/>
            <w:shd w:fill="FFFFFF" w:val="clear"/>
            <w:vAlign w:val="center"/>
          </w:tcPr>
          <w:p>
            <w:pPr>
              <w:pStyle w:val="TableContents"/>
              <w:bidi w:val="0"/>
              <w:spacing w:before="0" w:after="0"/>
              <w:jc w:val="left"/>
              <w:rPr/>
            </w:pPr>
            <w:r>
              <w:rPr/>
              <w:t> </w:t>
            </w:r>
          </w:p>
        </w:tc>
      </w:tr>
      <w:tr>
        <w:trPr/>
        <w:tc>
          <w:tcPr>
            <w:tcW w:w="2869"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(217,317)</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74.83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41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663" w:type="dxa"/>
            <w:tcBorders/>
            <w:shd w:fill="CCEEFF" w:val="clear"/>
            <w:vAlign w:val="center"/>
          </w:tcPr>
          <w:p>
            <w:pPr>
              <w:pStyle w:val="TableContents"/>
              <w:bidi w:val="0"/>
              <w:spacing w:before="0" w:after="0"/>
              <w:jc w:val="left"/>
              <w:rPr/>
            </w:pPr>
            <w:r>
              <w:rPr/>
              <w:t> </w:t>
            </w:r>
          </w:p>
        </w:tc>
      </w:tr>
      <w:tr>
        <w:trPr/>
        <w:tc>
          <w:tcPr>
            <w:tcW w:w="2869"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Forfeited/Canceled</w:t>
            </w:r>
          </w:p>
        </w:tc>
        <w:tc>
          <w:tcPr>
            <w:tcW w:w="60" w:type="dxa"/>
            <w:tcBorders/>
            <w:shd w:fill="FFFFFF" w:val="clear"/>
            <w:vAlign w:val="center"/>
          </w:tcPr>
          <w:p>
            <w:pPr>
              <w:pStyle w:val="TableContents"/>
              <w:bidi w:val="0"/>
              <w:spacing w:before="0" w:after="0"/>
              <w:jc w:val="left"/>
              <w:rPr/>
            </w:pPr>
            <w:r>
              <w:rPr/>
              <w:t> </w:t>
            </w:r>
          </w:p>
        </w:tc>
        <w:tc>
          <w:tcPr>
            <w:tcW w:w="107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(26,018)</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112.62</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413"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663" w:type="dxa"/>
            <w:tcBorders/>
            <w:shd w:fill="FFFFFF" w:val="clear"/>
            <w:vAlign w:val="center"/>
          </w:tcPr>
          <w:p>
            <w:pPr>
              <w:pStyle w:val="TableContents"/>
              <w:bidi w:val="0"/>
              <w:spacing w:before="0" w:after="0"/>
              <w:jc w:val="left"/>
              <w:rPr/>
            </w:pPr>
            <w:r>
              <w:rPr/>
              <w:t> </w:t>
            </w:r>
          </w:p>
        </w:tc>
      </w:tr>
      <w:tr>
        <w:trPr/>
        <w:tc>
          <w:tcPr>
            <w:tcW w:w="2869"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Expired</w:t>
            </w:r>
          </w:p>
        </w:tc>
        <w:tc>
          <w:tcPr>
            <w:tcW w:w="60" w:type="dxa"/>
            <w:tcBorders/>
            <w:shd w:fill="CCEEFF" w:val="cle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(10,234)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74.28</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41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663" w:type="dxa"/>
            <w:tcBorders/>
            <w:shd w:fill="CCEEFF" w:val="clear"/>
            <w:vAlign w:val="center"/>
          </w:tcPr>
          <w:p>
            <w:pPr>
              <w:pStyle w:val="TableContents"/>
              <w:bidi w:val="0"/>
              <w:spacing w:before="0" w:after="0"/>
              <w:jc w:val="left"/>
              <w:rPr/>
            </w:pPr>
            <w:r>
              <w:rPr/>
              <w:t> </w:t>
            </w:r>
          </w:p>
        </w:tc>
      </w:tr>
      <w:tr>
        <w:trPr/>
        <w:tc>
          <w:tcPr>
            <w:tcW w:w="286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60" w:type="dxa"/>
            <w:tcBorders/>
            <w:shd w:fill="FFFFFF" w:val="clear"/>
            <w:vAlign w:val="center"/>
          </w:tcPr>
          <w:p>
            <w:pPr>
              <w:pStyle w:val="TableContents"/>
              <w:bidi w:val="0"/>
              <w:spacing w:before="0" w:after="0"/>
              <w:jc w:val="left"/>
              <w:rPr/>
            </w:pPr>
            <w:r>
              <w:rPr/>
              <w:t> </w:t>
            </w:r>
          </w:p>
        </w:tc>
        <w:tc>
          <w:tcPr>
            <w:tcW w:w="10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4,908,095</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105.41</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41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5.55</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6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0.44</w:t>
            </w:r>
          </w:p>
        </w:tc>
      </w:tr>
      <w:tr>
        <w:trPr/>
        <w:tc>
          <w:tcPr>
            <w:tcW w:w="2869" w:type="dxa"/>
            <w:tcBorders/>
            <w:shd w:fill="CCEEFF" w:val="clear"/>
            <w:vAlign w:val="center"/>
          </w:tcPr>
          <w:p>
            <w:pPr>
              <w:pStyle w:val="TableContents"/>
              <w:bidi w:val="0"/>
              <w:spacing w:before="0" w:after="0"/>
              <w:jc w:val="left"/>
              <w:rPr>
                <w:sz w:val="20"/>
              </w:rPr>
            </w:pPr>
            <w:r>
              <w:rPr>
                <w:rFonts w:ascii="Times New Roman" w:hAnsi="Times New Roman"/>
                <w:sz w:val="20"/>
              </w:rPr>
              <w:t>Exercisable at December 31,</w:t>
            </w:r>
            <w:r>
              <w:rPr>
                <w:sz w:val="20"/>
              </w:rPr>
              <w:t xml:space="preserve">  </w:t>
            </w:r>
            <w:r>
              <w:rPr>
                <w:rFonts w:ascii="Times New Roman" w:hAnsi="Times New Roman"/>
                <w:sz w:val="20"/>
              </w:rPr>
              <w:t>2025</w:t>
            </w:r>
          </w:p>
        </w:tc>
        <w:tc>
          <w:tcPr>
            <w:tcW w:w="60" w:type="dxa"/>
            <w:tcBorders/>
            <w:shd w:fill="CCEEFF" w:val="clear"/>
            <w:vAlign w:val="center"/>
          </w:tcPr>
          <w:p>
            <w:pPr>
              <w:pStyle w:val="TableContents"/>
              <w:bidi w:val="0"/>
              <w:spacing w:before="0" w:after="0"/>
              <w:jc w:val="left"/>
              <w:rPr/>
            </w:pPr>
            <w:r>
              <w:rPr/>
              <w:t> </w:t>
            </w:r>
          </w:p>
        </w:tc>
        <w:tc>
          <w:tcPr>
            <w:tcW w:w="107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3,962,250</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107.13</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41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4.88</w:t>
            </w:r>
          </w:p>
        </w:tc>
        <w:tc>
          <w:tcPr>
            <w:tcW w:w="60" w:type="dxa"/>
            <w:tcBorders/>
            <w:shd w:fill="CCEEFF" w:val="clear"/>
            <w:vAlign w:val="center"/>
          </w:tcPr>
          <w:p>
            <w:pPr>
              <w:pStyle w:val="TableContents"/>
              <w:bidi w:val="0"/>
              <w:spacing w:before="0" w:after="0"/>
              <w:jc w:val="left"/>
              <w:rPr>
                <w:color w:val="333333"/>
              </w:rPr>
            </w:pPr>
            <w:r>
              <w:rPr>
                <w:color w:val="333333"/>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63"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0.44</w:t>
            </w:r>
          </w:p>
        </w:tc>
      </w:tr>
      <w:tr>
        <w:trPr/>
        <w:tc>
          <w:tcPr>
            <w:tcW w:w="286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 and expected to vest at December 31, 2025</w:t>
            </w:r>
          </w:p>
        </w:tc>
        <w:tc>
          <w:tcPr>
            <w:tcW w:w="60" w:type="dxa"/>
            <w:tcBorders/>
            <w:shd w:fill="FFFFFF" w:val="clear"/>
            <w:vAlign w:val="center"/>
          </w:tcPr>
          <w:p>
            <w:pPr>
              <w:pStyle w:val="TableContents"/>
              <w:bidi w:val="0"/>
              <w:spacing w:before="0" w:after="0"/>
              <w:jc w:val="left"/>
              <w:rPr/>
            </w:pPr>
            <w:r>
              <w:rPr/>
              <w:t> </w:t>
            </w:r>
          </w:p>
        </w:tc>
        <w:tc>
          <w:tcPr>
            <w:tcW w:w="1070" w:type="dxa"/>
            <w:tcBorders>
              <w:top w:val="double" w:sz="6"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3,172,601</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20"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105.43</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41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5.95</w:t>
            </w:r>
          </w:p>
        </w:tc>
        <w:tc>
          <w:tcPr>
            <w:tcW w:w="60" w:type="dxa"/>
            <w:tcBorders/>
            <w:shd w:fill="FFFFFF" w:val="clear"/>
            <w:vAlign w:val="center"/>
          </w:tcPr>
          <w:p>
            <w:pPr>
              <w:pStyle w:val="TableContents"/>
              <w:bidi w:val="0"/>
              <w:spacing w:before="0" w:after="0"/>
              <w:jc w:val="left"/>
              <w:rPr>
                <w:color w:val="333333"/>
              </w:rPr>
            </w:pPr>
            <w:r>
              <w:rPr>
                <w:color w:val="333333"/>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63" w:type="dxa"/>
            <w:tcBorders/>
            <w:shd w:fill="FFFF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0.44</w:t>
            </w:r>
          </w:p>
        </w:tc>
      </w:tr>
    </w:tbl>
    <w:p>
      <w:pPr>
        <w:pStyle w:val="TextBody"/>
        <w:bidi w:val="0"/>
        <w:spacing w:lineRule="atLeast" w:line="240" w:before="200" w:after="200"/>
        <w:jc w:val="both"/>
        <w:rPr/>
      </w:pPr>
      <w:r>
        <w:rPr>
          <w:rFonts w:ascii="Times New Roman" w:hAnsi="Times New Roman"/>
          <w:sz w:val="20"/>
        </w:rPr>
        <w:t>Options outstanding that are expected to vest are net of estimated future forfeitures. The Company received cash of $7.0</w:t>
      </w:r>
      <w:r>
        <w:rPr/>
        <w:t xml:space="preserve"> </w:t>
      </w:r>
      <w:r>
        <w:rPr>
          <w:rFonts w:ascii="Times New Roman" w:hAnsi="Times New Roman"/>
          <w:sz w:val="20"/>
        </w:rPr>
        <w:t>million, $14.9</w:t>
      </w:r>
      <w:r>
        <w:rPr/>
        <w:t> </w:t>
      </w:r>
      <w:r>
        <w:rPr>
          <w:rFonts w:ascii="Times New Roman" w:hAnsi="Times New Roman"/>
          <w:sz w:val="20"/>
        </w:rPr>
        <w:t>million, and $5.4</w:t>
      </w:r>
      <w:r>
        <w:rPr/>
        <w:t> </w:t>
      </w:r>
      <w:r>
        <w:rPr>
          <w:rFonts w:ascii="Times New Roman" w:hAnsi="Times New Roman"/>
          <w:sz w:val="20"/>
        </w:rPr>
        <w:t>million in connection with stock options exercised in the years ended December 31, 2025, 2024</w:t>
      </w:r>
      <w:r>
        <w:rPr/>
        <w:t> </w:t>
      </w:r>
      <w:r>
        <w:rPr>
          <w:rFonts w:ascii="Times New Roman" w:hAnsi="Times New Roman"/>
          <w:sz w:val="20"/>
        </w:rPr>
        <w:t>and 2023, respectively. The intrinsic value of these options exercised was $2.0</w:t>
      </w:r>
      <w:r>
        <w:rPr/>
        <w:t xml:space="preserve"> </w:t>
      </w:r>
      <w:r>
        <w:rPr>
          <w:rFonts w:ascii="Times New Roman" w:hAnsi="Times New Roman"/>
          <w:sz w:val="20"/>
        </w:rPr>
        <w:t>million, $10.7</w:t>
      </w:r>
      <w:r>
        <w:rPr/>
        <w:t xml:space="preserve"> </w:t>
      </w:r>
      <w:r>
        <w:rPr>
          <w:rFonts w:ascii="Times New Roman" w:hAnsi="Times New Roman"/>
          <w:sz w:val="20"/>
        </w:rPr>
        <w:t>million, and $6.3</w:t>
      </w:r>
      <w:r>
        <w:rPr/>
        <w:t> </w:t>
      </w:r>
      <w:r>
        <w:rPr>
          <w:rFonts w:ascii="Times New Roman" w:hAnsi="Times New Roman"/>
          <w:sz w:val="20"/>
        </w:rPr>
        <w:t>million in the years ended December 31, 2025, 2024</w:t>
      </w:r>
      <w:r>
        <w:rPr/>
        <w:t> </w:t>
      </w:r>
      <w:r>
        <w:rPr>
          <w:rFonts w:ascii="Times New Roman" w:hAnsi="Times New Roman"/>
          <w:sz w:val="20"/>
        </w:rPr>
        <w:t>and 2023, respectively. As of December 31, 2025, unrecognized compensation expense related to nonvested stock options that are expected to vest totaled $30.4</w:t>
      </w:r>
      <w:r>
        <w:rPr/>
        <w:t xml:space="preserve"> </w:t>
      </w:r>
      <w:r>
        <w:rPr>
          <w:rFonts w:ascii="Times New Roman" w:hAnsi="Times New Roman"/>
          <w:sz w:val="20"/>
        </w:rPr>
        <w:t>million and will be recognized over the next 4</w:t>
      </w:r>
      <w:r>
        <w:rPr/>
        <w:t xml:space="preserve"> </w:t>
      </w:r>
      <w:r>
        <w:rPr>
          <w:rFonts w:ascii="Times New Roman" w:hAnsi="Times New Roman"/>
          <w:sz w:val="20"/>
        </w:rPr>
        <w:t>years, with an overall weighted-average period of 2.3</w:t>
      </w:r>
      <w:r>
        <w:rPr/>
        <w:t> </w:t>
      </w:r>
      <w:r>
        <w:rPr>
          <w:rFonts w:ascii="Times New Roman" w:hAnsi="Times New Roman"/>
          <w:sz w:val="20"/>
        </w:rPr>
        <w:t>years. We did not grant any options in 2025. The following table provides the fair value of options granted under the SCP during 2024</w:t>
      </w:r>
      <w:r>
        <w:rPr/>
        <w:t> </w:t>
      </w:r>
      <w:r>
        <w:rPr>
          <w:rFonts w:ascii="Times New Roman" w:hAnsi="Times New Roman"/>
          <w:sz w:val="20"/>
        </w:rPr>
        <w:t>and 2023, together with a description of the assumptions used to calculate the fair value using the Black-Scholes-Merton option-pricing model or Monte Carlo simulation model:</w:t>
      </w:r>
      <w:r>
        <w:rPr/>
        <w:t> </w:t>
      </w:r>
    </w:p>
    <w:tbl>
      <w:tblPr>
        <w:tblW w:w="6555" w:type="dxa"/>
        <w:jc w:val="left"/>
        <w:tblInd w:w="0" w:type="dxa"/>
        <w:tblLayout w:type="fixed"/>
        <w:tblCellMar>
          <w:top w:w="0" w:type="dxa"/>
          <w:left w:w="0" w:type="dxa"/>
          <w:bottom w:w="0" w:type="dxa"/>
          <w:right w:w="0" w:type="dxa"/>
        </w:tblCellMar>
      </w:tblPr>
      <w:tblGrid>
        <w:gridCol w:w="3335"/>
        <w:gridCol w:w="125"/>
        <w:gridCol w:w="380"/>
        <w:gridCol w:w="60"/>
        <w:gridCol w:w="60"/>
        <w:gridCol w:w="125"/>
        <w:gridCol w:w="1160"/>
        <w:gridCol w:w="185"/>
        <w:gridCol w:w="60"/>
        <w:gridCol w:w="125"/>
        <w:gridCol w:w="740"/>
        <w:gridCol w:w="200"/>
      </w:tblGrid>
      <w:tr>
        <w:trPr/>
        <w:tc>
          <w:tcPr>
            <w:tcW w:w="3335" w:type="dxa"/>
            <w:tcBorders/>
            <w:vAlign w:val="center"/>
          </w:tcPr>
          <w:p>
            <w:pPr>
              <w:pStyle w:val="TableContents"/>
              <w:bidi w:val="0"/>
              <w:spacing w:before="0" w:after="0"/>
              <w:jc w:val="left"/>
              <w:rPr/>
            </w:pPr>
            <w:r>
              <w:rPr/>
              <w:t> </w:t>
            </w:r>
          </w:p>
        </w:tc>
        <w:tc>
          <w:tcPr>
            <w:tcW w:w="3020"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ended December 31,</w:t>
            </w:r>
          </w:p>
        </w:tc>
        <w:tc>
          <w:tcPr>
            <w:tcW w:w="200" w:type="dxa"/>
            <w:tcBorders/>
            <w:vAlign w:val="center"/>
          </w:tcPr>
          <w:p>
            <w:pPr>
              <w:pStyle w:val="TableContents"/>
              <w:bidi w:val="0"/>
              <w:spacing w:before="0" w:after="0"/>
              <w:jc w:val="left"/>
              <w:rPr/>
            </w:pPr>
            <w:r>
              <w:rPr/>
              <w:t> </w:t>
            </w:r>
          </w:p>
        </w:tc>
      </w:tr>
      <w:tr>
        <w:trPr/>
        <w:tc>
          <w:tcPr>
            <w:tcW w:w="3335"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3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185" w:type="dxa"/>
            <w:tcBorders/>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c>
          <w:tcPr>
            <w:tcW w:w="200" w:type="dxa"/>
            <w:tcBorders/>
            <w:vAlign w:val="center"/>
          </w:tcPr>
          <w:p>
            <w:pPr>
              <w:pStyle w:val="TableContents"/>
              <w:bidi w:val="0"/>
              <w:spacing w:before="0" w:after="0"/>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5"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42.36</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42.5</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 - weighted average</w:t>
            </w:r>
          </w:p>
        </w:tc>
        <w:tc>
          <w:tcPr>
            <w:tcW w:w="125" w:type="dxa"/>
            <w:tcBorders/>
            <w:shd w:fill="FFFFFF" w:val="clear"/>
            <w:vAlign w:val="center"/>
          </w:tcPr>
          <w:p>
            <w:pPr>
              <w:pStyle w:val="TableContents"/>
              <w:bidi w:val="0"/>
              <w:spacing w:before="0" w:after="0"/>
              <w:jc w:val="left"/>
              <w:rPr/>
            </w:pPr>
            <w:r>
              <w:rPr/>
              <w:t> </w:t>
            </w:r>
          </w:p>
        </w:tc>
        <w:tc>
          <w:tcPr>
            <w:tcW w:w="3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4.09</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7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4.23</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 - range</w:t>
            </w:r>
          </w:p>
        </w:tc>
        <w:tc>
          <w:tcPr>
            <w:tcW w:w="125"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4.09% to 4.31</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4.23</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5" w:type="dxa"/>
            <w:tcBorders/>
            <w:shd w:fill="FFFFFF" w:val="clear"/>
            <w:vAlign w:val="center"/>
          </w:tcPr>
          <w:p>
            <w:pPr>
              <w:pStyle w:val="TableContents"/>
              <w:bidi w:val="0"/>
              <w:spacing w:before="0" w:after="0"/>
              <w:jc w:val="left"/>
              <w:rPr/>
            </w:pPr>
            <w:r>
              <w:rPr/>
              <w:t> </w:t>
            </w:r>
          </w:p>
        </w:tc>
        <w:tc>
          <w:tcPr>
            <w:tcW w:w="3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60" w:type="dxa"/>
            <w:tcBorders/>
            <w:shd w:fill="FFFFFF" w:val="clear"/>
            <w:vAlign w:val="center"/>
          </w:tcPr>
          <w:p>
            <w:pPr>
              <w:pStyle w:val="TableContents"/>
              <w:bidi w:val="0"/>
              <w:spacing w:before="0" w:after="0"/>
              <w:jc w:val="right"/>
              <w:rPr/>
            </w:pPr>
            <w:r>
              <w:rPr/>
              <w:t>—</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740" w:type="dxa"/>
            <w:tcBorders/>
            <w:shd w:fill="FFFFFF" w:val="clear"/>
            <w:vAlign w:val="center"/>
          </w:tcPr>
          <w:p>
            <w:pPr>
              <w:pStyle w:val="TableContents"/>
              <w:bidi w:val="0"/>
              <w:spacing w:before="0" w:after="0"/>
              <w:jc w:val="right"/>
              <w:rPr/>
            </w:pPr>
            <w:r>
              <w:rPr/>
              <w:t>—</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Assumed forfeitures</w:t>
            </w:r>
          </w:p>
        </w:tc>
        <w:tc>
          <w:tcPr>
            <w:tcW w:w="125"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lives</w:t>
            </w:r>
          </w:p>
        </w:tc>
        <w:tc>
          <w:tcPr>
            <w:tcW w:w="125" w:type="dxa"/>
            <w:tcBorders/>
            <w:shd w:fill="FFFFFF" w:val="clear"/>
            <w:vAlign w:val="center"/>
          </w:tcPr>
          <w:p>
            <w:pPr>
              <w:pStyle w:val="TableContents"/>
              <w:bidi w:val="0"/>
              <w:spacing w:before="0" w:after="0"/>
              <w:jc w:val="left"/>
              <w:rPr/>
            </w:pPr>
            <w:r>
              <w:rPr/>
              <w:t> </w:t>
            </w:r>
          </w:p>
        </w:tc>
        <w:tc>
          <w:tcPr>
            <w:tcW w:w="3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60" w:type="dxa"/>
            <w:tcBorders/>
            <w:shd w:fill="FFFFFF" w:val="clear"/>
            <w:vAlign w:val="center"/>
          </w:tcPr>
          <w:p>
            <w:pPr>
              <w:pStyle w:val="TableContents"/>
              <w:bidi w:val="0"/>
              <w:spacing w:before="0" w:after="0"/>
              <w:jc w:val="right"/>
              <w:rPr>
                <w:sz w:val="20"/>
              </w:rPr>
            </w:pPr>
            <w:r>
              <w:rPr>
                <w:rFonts w:ascii="Times New Roman" w:hAnsi="Times New Roman"/>
                <w:sz w:val="20"/>
              </w:rPr>
              <w:t>5.0</w:t>
            </w:r>
            <w:r>
              <w:rPr>
                <w:sz w:val="20"/>
              </w:rPr>
              <w:t xml:space="preserve"> </w:t>
            </w:r>
            <w:r>
              <w:rPr>
                <w:rFonts w:ascii="Times New Roman" w:hAnsi="Times New Roman"/>
                <w:sz w:val="20"/>
              </w:rPr>
              <w:t>years</w:t>
            </w:r>
          </w:p>
        </w:tc>
        <w:tc>
          <w:tcPr>
            <w:tcW w:w="18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740" w:type="dxa"/>
            <w:tcBorders/>
            <w:shd w:fill="FFFFFF" w:val="clear"/>
            <w:vAlign w:val="center"/>
          </w:tcPr>
          <w:p>
            <w:pPr>
              <w:pStyle w:val="TableContents"/>
              <w:bidi w:val="0"/>
              <w:spacing w:before="0" w:after="0"/>
              <w:jc w:val="right"/>
              <w:rPr>
                <w:sz w:val="20"/>
              </w:rPr>
            </w:pPr>
            <w:r>
              <w:rPr>
                <w:rFonts w:ascii="Times New Roman" w:hAnsi="Times New Roman"/>
                <w:sz w:val="20"/>
              </w:rPr>
              <w:t>5.0</w:t>
            </w:r>
            <w:r>
              <w:rPr>
                <w:sz w:val="20"/>
              </w:rPr>
              <w:t xml:space="preserve"> </w:t>
            </w:r>
            <w:r>
              <w:rPr>
                <w:rFonts w:ascii="Times New Roman" w:hAnsi="Times New Roman"/>
                <w:sz w:val="20"/>
              </w:rPr>
              <w:t>years</w:t>
            </w:r>
          </w:p>
        </w:tc>
        <w:tc>
          <w:tcPr>
            <w:tcW w:w="200" w:type="dxa"/>
            <w:tcBorders/>
            <w:shd w:fill="FFFFFF" w:val="clear"/>
            <w:vAlign w:val="center"/>
          </w:tcPr>
          <w:p>
            <w:pPr>
              <w:pStyle w:val="TableContents"/>
              <w:bidi w:val="0"/>
              <w:spacing w:before="0" w:after="0"/>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fair value (per share)</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43.42</w:t>
            </w:r>
          </w:p>
        </w:tc>
        <w:tc>
          <w:tcPr>
            <w:tcW w:w="18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39.43</w:t>
            </w:r>
          </w:p>
        </w:tc>
        <w:tc>
          <w:tcPr>
            <w:tcW w:w="200" w:type="dxa"/>
            <w:tcBorders/>
            <w:shd w:fill="CCEEFF" w:val="clear"/>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During 2024, the Company granted approximately 562,785</w:t>
      </w:r>
      <w:r>
        <w:rPr/>
        <w:t xml:space="preserve"> </w:t>
      </w:r>
      <w:r>
        <w:rPr>
          <w:rFonts w:ascii="Times New Roman" w:hAnsi="Times New Roman"/>
          <w:sz w:val="20"/>
        </w:rPr>
        <w:t>options to executive officers,</w:t>
      </w:r>
      <w:r>
        <w:rPr/>
        <w:t> </w:t>
      </w:r>
      <w:r>
        <w:rPr>
          <w:rFonts w:ascii="Times New Roman" w:hAnsi="Times New Roman"/>
          <w:sz w:val="20"/>
        </w:rPr>
        <w:t>which vest evenly over a four-year</w:t>
      </w:r>
      <w:r>
        <w:rPr/>
        <w:t xml:space="preserve"> </w:t>
      </w:r>
      <w:r>
        <w:rPr>
          <w:rFonts w:ascii="Times New Roman" w:hAnsi="Times New Roman"/>
          <w:sz w:val="20"/>
        </w:rPr>
        <w:t>term upon the achievement of a 10% increase over the share price on the date of grant for 30</w:t>
      </w:r>
      <w:r>
        <w:rPr/>
        <w:t xml:space="preserve"> </w:t>
      </w:r>
      <w:r>
        <w:rPr>
          <w:rFonts w:ascii="Times New Roman" w:hAnsi="Times New Roman"/>
          <w:sz w:val="20"/>
        </w:rPr>
        <w:t>consecutive days.</w:t>
      </w:r>
      <w:r>
        <w:rPr/>
        <w:t> </w:t>
      </w:r>
      <w:r>
        <w:rPr>
          <w:rFonts w:ascii="Times New Roman" w:hAnsi="Times New Roman"/>
          <w:sz w:val="20"/>
        </w:rPr>
        <w:t>During 2023, the Company granted approximately 596,127</w:t>
      </w:r>
      <w:r>
        <w:rPr/>
        <w:t xml:space="preserve"> </w:t>
      </w:r>
      <w:r>
        <w:rPr>
          <w:rFonts w:ascii="Times New Roman" w:hAnsi="Times New Roman"/>
          <w:sz w:val="20"/>
        </w:rPr>
        <w:t>options to executive officers,</w:t>
      </w:r>
      <w:r>
        <w:rPr/>
        <w:t> </w:t>
      </w:r>
      <w:r>
        <w:rPr>
          <w:rFonts w:ascii="Times New Roman" w:hAnsi="Times New Roman"/>
          <w:sz w:val="20"/>
        </w:rPr>
        <w:t>which vest evenly over a five-year</w:t>
      </w:r>
      <w:r>
        <w:rPr/>
        <w:t> </w:t>
      </w:r>
      <w:r>
        <w:rPr>
          <w:rFonts w:ascii="Times New Roman" w:hAnsi="Times New Roman"/>
          <w:sz w:val="20"/>
        </w:rPr>
        <w:t>term upon the achievement of a 10% increase over the share price on the date of grant for 30</w:t>
      </w:r>
      <w:r>
        <w:rPr/>
        <w:t xml:space="preserve"> </w:t>
      </w:r>
      <w:r>
        <w:rPr>
          <w:rFonts w:ascii="Times New Roman" w:hAnsi="Times New Roman"/>
          <w:sz w:val="20"/>
        </w:rPr>
        <w:t>consecutive days.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Restricted stock</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Restricted stock awards vest based on the achievement of time-based service conditions and/or performance-based conditions. For certain awards, vesting is based on the achievement of more than one condition of an award with multiple time-based</w:t>
      </w:r>
      <w:r>
        <w:rPr/>
        <w:t> </w:t>
      </w:r>
      <w:r>
        <w:rPr>
          <w:rFonts w:ascii="Times New Roman" w:hAnsi="Times New Roman"/>
          <w:sz w:val="20"/>
        </w:rPr>
        <w:t>and/or performance-based conditions. The Company records related expenses for these awards that have performance-based conditions over the vesting period when the achievement of the award is probable of occurrence.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 xml:space="preserve">Summary restricted stock activity is presented in the table below: </w:t>
      </w:r>
    </w:p>
    <w:p>
      <w:pPr>
        <w:pStyle w:val="TextBody"/>
        <w:bidi w:val="0"/>
        <w:spacing w:lineRule="atLeast" w:line="240" w:before="0" w:after="0"/>
        <w:jc w:val="left"/>
        <w:rPr/>
      </w:pPr>
      <w:r>
        <w:rPr/>
        <w:t> </w:t>
      </w:r>
    </w:p>
    <w:tbl>
      <w:tblPr>
        <w:tblW w:w="8255" w:type="dxa"/>
        <w:jc w:val="left"/>
        <w:tblInd w:w="0" w:type="dxa"/>
        <w:tblLayout w:type="fixed"/>
        <w:tblCellMar>
          <w:top w:w="0" w:type="dxa"/>
          <w:left w:w="0" w:type="dxa"/>
          <w:bottom w:w="0" w:type="dxa"/>
          <w:right w:w="0" w:type="dxa"/>
        </w:tblCellMar>
      </w:tblPr>
      <w:tblGrid>
        <w:gridCol w:w="2765"/>
        <w:gridCol w:w="60"/>
        <w:gridCol w:w="1325"/>
        <w:gridCol w:w="60"/>
        <w:gridCol w:w="60"/>
        <w:gridCol w:w="125"/>
        <w:gridCol w:w="3860"/>
      </w:tblGrid>
      <w:tr>
        <w:trPr/>
        <w:tc>
          <w:tcPr>
            <w:tcW w:w="27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8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Weighted Average Grant Date Fair Value Per Share</w:t>
            </w:r>
          </w:p>
        </w:tc>
      </w:tr>
      <w:tr>
        <w:trPr/>
        <w:tc>
          <w:tcPr>
            <w:tcW w:w="2765" w:type="dxa"/>
            <w:tcBorders/>
            <w:shd w:fill="CCEEFF" w:val="clear"/>
            <w:vAlign w:val="center"/>
          </w:tcPr>
          <w:p>
            <w:pPr>
              <w:pStyle w:val="TableContents"/>
              <w:bidi w:val="0"/>
              <w:spacing w:before="0" w:after="0"/>
              <w:jc w:val="left"/>
              <w:rPr>
                <w:sz w:val="20"/>
              </w:rPr>
            </w:pPr>
            <w:r>
              <w:rPr>
                <w:rFonts w:ascii="Times New Roman" w:hAnsi="Times New Roman"/>
                <w:sz w:val="20"/>
              </w:rPr>
              <w:t>Nonvested at December 31,</w:t>
            </w:r>
            <w:r>
              <w:rPr>
                <w:sz w:val="20"/>
              </w:rPr>
              <w:t xml:space="preserve">  </w:t>
            </w:r>
            <w:r>
              <w:rPr>
                <w:rFonts w:ascii="Times New Roman" w:hAnsi="Times New Roman"/>
                <w:sz w:val="20"/>
              </w:rPr>
              <w:t>2024</w:t>
            </w:r>
          </w:p>
        </w:tc>
        <w:tc>
          <w:tcPr>
            <w:tcW w:w="60" w:type="dxa"/>
            <w:tcBorders/>
            <w:shd w:fill="CCEEFF" w:val="clear"/>
            <w:vAlign w:val="center"/>
          </w:tcPr>
          <w:p>
            <w:pPr>
              <w:pStyle w:val="TableContents"/>
              <w:bidi w:val="0"/>
              <w:spacing w:before="0" w:after="0"/>
              <w:jc w:val="left"/>
              <w:rPr/>
            </w:pPr>
            <w:r>
              <w:rPr/>
              <w:t> </w:t>
            </w:r>
          </w:p>
        </w:tc>
        <w:tc>
          <w:tcPr>
            <w:tcW w:w="13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829,355</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97.11</w:t>
            </w:r>
          </w:p>
        </w:tc>
      </w:tr>
      <w:tr>
        <w:trPr/>
        <w:tc>
          <w:tcPr>
            <w:tcW w:w="276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jc w:val="left"/>
              <w:rPr/>
            </w:pPr>
            <w:r>
              <w:rPr/>
              <w:t> </w:t>
            </w:r>
          </w:p>
        </w:tc>
        <w:tc>
          <w:tcPr>
            <w:tcW w:w="13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888,832</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83.68</w:t>
            </w:r>
          </w:p>
        </w:tc>
      </w:tr>
      <w:tr>
        <w:trPr/>
        <w:tc>
          <w:tcPr>
            <w:tcW w:w="2765"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Vested</w:t>
            </w:r>
          </w:p>
        </w:tc>
        <w:tc>
          <w:tcPr>
            <w:tcW w:w="6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206,855</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105.00</w:t>
            </w:r>
          </w:p>
        </w:tc>
      </w:tr>
      <w:tr>
        <w:trPr/>
        <w:tc>
          <w:tcPr>
            <w:tcW w:w="2765"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0"/>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5,353</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6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105.44</w:t>
            </w:r>
          </w:p>
        </w:tc>
      </w:tr>
      <w:tr>
        <w:trPr/>
        <w:tc>
          <w:tcPr>
            <w:tcW w:w="2765" w:type="dxa"/>
            <w:tcBorders/>
            <w:shd w:fill="CCEEFF" w:val="clear"/>
            <w:vAlign w:val="center"/>
          </w:tcPr>
          <w:p>
            <w:pPr>
              <w:pStyle w:val="TableContents"/>
              <w:bidi w:val="0"/>
              <w:spacing w:before="0" w:after="0"/>
              <w:jc w:val="left"/>
              <w:rPr>
                <w:sz w:val="20"/>
              </w:rPr>
            </w:pPr>
            <w:r>
              <w:rPr>
                <w:rFonts w:ascii="Times New Roman" w:hAnsi="Times New Roman"/>
                <w:sz w:val="20"/>
              </w:rPr>
              <w:t>Nonvested at December 31,</w:t>
            </w:r>
            <w:r>
              <w:rPr>
                <w:sz w:val="20"/>
              </w:rPr>
              <w:t xml:space="preserve">  </w:t>
            </w:r>
            <w:r>
              <w:rPr>
                <w:rFonts w:ascii="Times New Roman" w:hAnsi="Times New Roman"/>
                <w:sz w:val="20"/>
              </w:rPr>
              <w:t>2025</w:t>
            </w:r>
          </w:p>
        </w:tc>
        <w:tc>
          <w:tcPr>
            <w:tcW w:w="60" w:type="dxa"/>
            <w:tcBorders/>
            <w:shd w:fill="CCEEFF" w:val="clear"/>
            <w:vAlign w:val="center"/>
          </w:tcPr>
          <w:p>
            <w:pPr>
              <w:pStyle w:val="TableContents"/>
              <w:bidi w:val="0"/>
              <w:spacing w:before="0" w:after="0"/>
              <w:jc w:val="left"/>
              <w:rPr/>
            </w:pPr>
            <w:r>
              <w:rPr/>
              <w:t> </w:t>
            </w:r>
          </w:p>
        </w:tc>
        <w:tc>
          <w:tcPr>
            <w:tcW w:w="1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1,505,979</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88.04</w:t>
            </w:r>
          </w:p>
        </w:tc>
      </w:tr>
    </w:tbl>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fair value of shares vested in the years ended December 31, 2025, 2024</w:t>
      </w:r>
      <w:r>
        <w:rPr/>
        <w:t xml:space="preserve"> </w:t>
      </w:r>
      <w:r>
        <w:rPr>
          <w:rFonts w:ascii="Times New Roman" w:hAnsi="Times New Roman"/>
          <w:sz w:val="20"/>
        </w:rPr>
        <w:t>and 2023</w:t>
      </w:r>
      <w:r>
        <w:rPr/>
        <w:t xml:space="preserve"> </w:t>
      </w:r>
      <w:r>
        <w:rPr>
          <w:rFonts w:ascii="Times New Roman" w:hAnsi="Times New Roman"/>
          <w:sz w:val="20"/>
        </w:rPr>
        <w:t>was $19.5</w:t>
      </w:r>
      <w:r>
        <w:rPr/>
        <w:t xml:space="preserve"> </w:t>
      </w:r>
      <w:r>
        <w:rPr>
          <w:rFonts w:ascii="Times New Roman" w:hAnsi="Times New Roman"/>
          <w:sz w:val="20"/>
        </w:rPr>
        <w:t>million, $18.9</w:t>
      </w:r>
      <w:r>
        <w:rPr/>
        <w:t xml:space="preserve"> </w:t>
      </w:r>
      <w:r>
        <w:rPr>
          <w:rFonts w:ascii="Times New Roman" w:hAnsi="Times New Roman"/>
          <w:sz w:val="20"/>
        </w:rPr>
        <w:t>million, and $14.8</w:t>
      </w:r>
      <w:r>
        <w:rPr/>
        <w:t xml:space="preserve"> </w:t>
      </w:r>
      <w:r>
        <w:rPr>
          <w:rFonts w:ascii="Times New Roman" w:hAnsi="Times New Roman"/>
          <w:sz w:val="20"/>
        </w:rPr>
        <w:t>million, respectively. As of December 31, 2025, there was $35.8</w:t>
      </w:r>
      <w:r>
        <w:rPr/>
        <w:t xml:space="preserve"> </w:t>
      </w:r>
      <w:r>
        <w:rPr>
          <w:rFonts w:ascii="Times New Roman" w:hAnsi="Times New Roman"/>
          <w:sz w:val="20"/>
        </w:rPr>
        <w:t>million of total unrecognized compensation cost related to unvested time-based restricted stock, which is expected to be recognized over a weighted-average period of 3.2</w:t>
      </w:r>
      <w:r>
        <w:rPr/>
        <w:t> </w:t>
      </w:r>
      <w:r>
        <w:rPr>
          <w:rFonts w:ascii="Times New Roman" w:hAnsi="Times New Roman"/>
          <w:sz w:val="20"/>
        </w:rPr>
        <w:t>years. As of December 31, 2025, there was $44.0</w:t>
      </w:r>
      <w:r>
        <w:rPr/>
        <w:t> </w:t>
      </w:r>
      <w:r>
        <w:rPr>
          <w:rFonts w:ascii="Times New Roman" w:hAnsi="Times New Roman"/>
          <w:sz w:val="20"/>
        </w:rPr>
        <w:t>million of total unrecognized</w:t>
      </w:r>
      <w:r>
        <w:rPr/>
        <w:t> </w:t>
      </w:r>
      <w:r>
        <w:rPr>
          <w:rFonts w:ascii="Times New Roman" w:hAnsi="Times New Roman"/>
          <w:sz w:val="20"/>
        </w:rPr>
        <w:t>compensation costs related to unvested performance-based restricted stock, which is expected to be recognized based on Company performance over a weighted-average period of 1.7</w:t>
      </w:r>
      <w:r>
        <w:rPr/>
        <w:t xml:space="preserve"> </w:t>
      </w:r>
      <w:r>
        <w:rPr>
          <w:rFonts w:ascii="Times New Roman" w:hAnsi="Times New Roman"/>
          <w:sz w:val="20"/>
        </w:rPr>
        <w:t>years. The weighted average grant date fair value of restricted stock granted during the years ended December 31, 2025, 2024</w:t>
      </w:r>
      <w:r>
        <w:rPr/>
        <w:t xml:space="preserve"> </w:t>
      </w:r>
      <w:r>
        <w:rPr>
          <w:rFonts w:ascii="Times New Roman" w:hAnsi="Times New Roman"/>
          <w:sz w:val="20"/>
        </w:rPr>
        <w:t>and 2023</w:t>
      </w:r>
      <w:r>
        <w:rPr/>
        <w:t xml:space="preserve"> </w:t>
      </w:r>
      <w:r>
        <w:rPr>
          <w:rFonts w:ascii="Times New Roman" w:hAnsi="Times New Roman"/>
          <w:sz w:val="20"/>
        </w:rPr>
        <w:t>was $83.68, $105.08</w:t>
      </w:r>
      <w:r>
        <w:rPr/>
        <w:t> </w:t>
      </w:r>
      <w:r>
        <w:rPr>
          <w:rFonts w:ascii="Times New Roman" w:hAnsi="Times New Roman"/>
          <w:sz w:val="20"/>
        </w:rPr>
        <w:t>and $92.76</w:t>
      </w:r>
      <w:r>
        <w:rPr/>
        <w:t xml:space="preserve"> </w:t>
      </w:r>
      <w:r>
        <w:rPr>
          <w:rFonts w:ascii="Times New Roman" w:hAnsi="Times New Roman"/>
          <w:sz w:val="20"/>
        </w:rPr>
        <w:t>per share, respectively.</w:t>
      </w:r>
    </w:p>
    <w:p>
      <w:pPr>
        <w:pStyle w:val="TextBody"/>
        <w:bidi w:val="0"/>
        <w:spacing w:lineRule="atLeast" w:line="240" w:before="0" w:after="0"/>
        <w:jc w:val="both"/>
        <w:rPr/>
      </w:pPr>
      <w:r>
        <w:rPr/>
        <w:t> </w:t>
      </w:r>
    </w:p>
    <w:p>
      <w:pPr>
        <w:pStyle w:val="TextBody"/>
        <w:bidi w:val="0"/>
        <w:spacing w:before="0" w:after="0"/>
        <w:jc w:val="left"/>
        <w:rPr/>
      </w:pPr>
      <w:r>
        <w:rPr/>
        <w:t> </w:t>
      </w:r>
    </w:p>
    <w:p>
      <w:pPr>
        <w:pStyle w:val="TextBody"/>
        <w:bidi w:val="0"/>
        <w:spacing w:lineRule="atLeast" w:line="240" w:before="0" w:after="0"/>
        <w:jc w:val="left"/>
        <w:rPr/>
      </w:pPr>
      <w:hyperlink w:anchor="TOC">
        <w:bookmarkStart w:id="56" w:name="bm_9c5156aad326a8a5"/>
        <w:bookmarkEnd w:id="56"/>
        <w:r>
          <w:rPr>
            <w:rStyle w:val="InternetLink"/>
            <w:rFonts w:ascii="Times New Roman" w:hAnsi="Times New Roman"/>
            <w:b/>
            <w:strike w:val="false"/>
            <w:dstrike w:val="false"/>
            <w:color w:val="000000"/>
            <w:sz w:val="20"/>
            <w:u w:val="none"/>
            <w:effect w:val="none"/>
          </w:rPr>
          <w:t>(18) Business Segment Information</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w:t>
      </w:r>
      <w:r>
        <w:rPr/>
        <w:t> </w:t>
      </w:r>
      <w:r>
        <w:rPr>
          <w:rFonts w:ascii="Times New Roman" w:hAnsi="Times New Roman"/>
          <w:sz w:val="20"/>
        </w:rPr>
        <w:t>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w:t>
      </w:r>
      <w:r>
        <w:rPr/>
        <w:t> </w:t>
      </w:r>
      <w:r>
        <w:rPr>
          <w:rFonts w:ascii="Times New Roman" w:hAnsi="Times New Roman"/>
          <w:sz w:val="20"/>
        </w:rPr>
        <w:t>The accounting policies of the segments are the same as those described in the summary of significant accounting policies.</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 xml:space="preserve">Euronet's reportable operating segments have been determined in accordance with ASC Topic 280, </w:t>
      </w:r>
      <w:r>
        <w:rPr>
          <w:rFonts w:ascii="Times New Roman" w:hAnsi="Times New Roman"/>
          <w:i/>
          <w:sz w:val="20"/>
        </w:rPr>
        <w:t>Segment Reporting</w:t>
      </w:r>
      <w:r>
        <w:rPr/>
        <w:t xml:space="preserve"> </w:t>
      </w:r>
      <w:r>
        <w:rPr>
          <w:rFonts w:ascii="Times New Roman" w:hAnsi="Times New Roman"/>
          <w:sz w:val="20"/>
        </w:rPr>
        <w:t>("ASC 280")</w:t>
      </w:r>
      <w:r>
        <w:rPr>
          <w:rFonts w:ascii="Times New Roman" w:hAnsi="Times New Roman"/>
          <w:i/>
          <w:sz w:val="20"/>
        </w:rPr>
        <w:t>.</w:t>
      </w:r>
      <w:r>
        <w:rPr/>
        <w:t xml:space="preserve"> </w:t>
      </w:r>
      <w:r>
        <w:rPr>
          <w:rFonts w:ascii="Times New Roman" w:hAnsi="Times New Roman"/>
          <w:sz w:val="20"/>
        </w:rPr>
        <w:t>The Company currently operates in the following three</w:t>
      </w:r>
      <w:r>
        <w:rPr/>
        <w:t xml:space="preserve"> </w:t>
      </w:r>
      <w:r>
        <w:rPr>
          <w:rFonts w:ascii="Times New Roman" w:hAnsi="Times New Roman"/>
          <w:sz w:val="20"/>
        </w:rPr>
        <w:t>reportable operating segments:</w:t>
      </w:r>
      <w:r>
        <w:rPr/>
        <w:t> </w:t>
      </w:r>
    </w:p>
    <w:p>
      <w:pPr>
        <w:pStyle w:val="TextBody"/>
        <w:bidi w:val="0"/>
        <w:spacing w:lineRule="atLeast" w:line="240" w:before="0" w:after="0"/>
        <w:jc w:val="both"/>
        <w:rPr/>
      </w:pPr>
      <w:r>
        <w:rPr/>
        <w:t> </w:t>
      </w:r>
    </w:p>
    <w:p>
      <w:pPr>
        <w:pStyle w:val="TextBody"/>
        <w:bidi w:val="0"/>
        <w:spacing w:lineRule="atLeast" w:line="240" w:before="0" w:after="0"/>
        <w:ind w:left="0" w:right="0" w:firstLine="300"/>
        <w:jc w:val="both"/>
        <w:rPr/>
      </w:pPr>
      <w:r>
        <w:rPr>
          <w:rFonts w:ascii="Times New Roman" w:hAnsi="Times New Roman"/>
          <w:sz w:val="20"/>
        </w:rPr>
        <w:t>1) Through the EFT Processing Segment, the Company processes transactions for a network of</w:t>
      </w:r>
      <w:r>
        <w:rPr/>
        <w:t> </w:t>
      </w:r>
      <w:r>
        <w:rPr>
          <w:rFonts w:ascii="Times New Roman" w:hAnsi="Times New Roman"/>
          <w:sz w:val="20"/>
        </w:rPr>
        <w:t>ATMs</w:t>
      </w:r>
      <w:r>
        <w:rPr/>
        <w:t> </w:t>
      </w:r>
      <w:r>
        <w:rPr>
          <w:rFonts w:ascii="Times New Roman" w:hAnsi="Times New Roman"/>
          <w:sz w:val="20"/>
        </w:rPr>
        <w:t>and POS terminals across Europe, the Middle East, Africa, Asia Pacific and North America. The Company provides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value-added services. Through this segment, the Company also offers a suite of integrated electronic financial transaction software solutions for electronic payment and transaction delivery systems.</w:t>
      </w:r>
      <w:r>
        <w:rPr/>
        <w:t> </w:t>
      </w:r>
    </w:p>
    <w:p>
      <w:pPr>
        <w:pStyle w:val="TextBody"/>
        <w:bidi w:val="0"/>
        <w:spacing w:lineRule="atLeast" w:line="240" w:before="0" w:after="0"/>
        <w:ind w:left="0" w:right="0" w:firstLine="300"/>
        <w:jc w:val="both"/>
        <w:rPr/>
      </w:pPr>
      <w:r>
        <w:rPr/>
        <w:t> </w:t>
      </w:r>
    </w:p>
    <w:p>
      <w:pPr>
        <w:pStyle w:val="TextBody"/>
        <w:bidi w:val="0"/>
        <w:spacing w:lineRule="atLeast" w:line="240" w:before="0" w:after="0"/>
        <w:ind w:left="0" w:right="0" w:firstLine="300"/>
        <w:jc w:val="both"/>
        <w:rPr/>
      </w:pPr>
      <w:r>
        <w:rPr>
          <w:rFonts w:ascii="Times New Roman" w:hAnsi="Times New Roman"/>
          <w:sz w:val="20"/>
        </w:rPr>
        <w:t>2) Through the</w:t>
      </w:r>
      <w:r>
        <w:rPr/>
        <w:t> </w:t>
      </w:r>
      <w:r>
        <w:rPr>
          <w:rFonts w:ascii="Times New Roman" w:hAnsi="Times New Roman"/>
          <w:sz w:val="20"/>
        </w:rPr>
        <w:t>epay</w:t>
      </w:r>
      <w:r>
        <w:rPr/>
        <w:t> </w:t>
      </w:r>
      <w:r>
        <w:rPr>
          <w:rFonts w:ascii="Times New Roman" w:hAnsi="Times New Roman"/>
          <w:sz w:val="20"/>
        </w:rPr>
        <w:t>Segment, the Company provides distribution, processing and collection services for prepaid mobile airtime and other electronic payment products in Europe, the Middle East, Asia Pacific, the United States, and South America.</w:t>
      </w:r>
    </w:p>
    <w:p>
      <w:pPr>
        <w:pStyle w:val="TextBody"/>
        <w:bidi w:val="0"/>
        <w:spacing w:lineRule="atLeast" w:line="240" w:before="0" w:after="0"/>
        <w:ind w:left="0" w:right="0" w:firstLine="300"/>
        <w:jc w:val="both"/>
        <w:rPr/>
      </w:pPr>
      <w:r>
        <w:rPr/>
        <w:t> </w:t>
      </w:r>
    </w:p>
    <w:p>
      <w:pPr>
        <w:pStyle w:val="TextBody"/>
        <w:bidi w:val="0"/>
        <w:spacing w:lineRule="atLeast" w:line="240" w:before="0" w:after="0"/>
        <w:ind w:left="0" w:right="0" w:firstLine="300"/>
        <w:jc w:val="both"/>
        <w:rPr>
          <w:rFonts w:ascii="Times New Roman" w:hAnsi="Times New Roman"/>
          <w:sz w:val="20"/>
        </w:rPr>
      </w:pPr>
      <w:r>
        <w:rPr>
          <w:rFonts w:ascii="Times New Roman" w:hAnsi="Times New Roman"/>
          <w:sz w:val="20"/>
        </w:rPr>
        <w:t>3) Through the Money Transfer Segment, the Company provides global money transfer services under the brand names Ria and Xe. Ria provides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pPr>
      <w:r>
        <w:rPr>
          <w:rFonts w:ascii="Times New Roman" w:hAnsi="Times New Roman"/>
          <w:sz w:val="20"/>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r>
        <w:rPr/>
        <w:t> </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following tables present the Company's results for the years ended December 31, 2025, 2024</w:t>
      </w:r>
      <w:r>
        <w:rPr/>
        <w:t> </w:t>
      </w:r>
      <w:r>
        <w:rPr>
          <w:rFonts w:ascii="Times New Roman" w:hAnsi="Times New Roman"/>
          <w:sz w:val="20"/>
        </w:rPr>
        <w:t>and 2023:</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2"/>
        <w:gridCol w:w="60"/>
        <w:gridCol w:w="125"/>
        <w:gridCol w:w="1067"/>
        <w:gridCol w:w="60"/>
        <w:gridCol w:w="125"/>
        <w:gridCol w:w="635"/>
        <w:gridCol w:w="60"/>
        <w:gridCol w:w="125"/>
        <w:gridCol w:w="1074"/>
        <w:gridCol w:w="60"/>
        <w:gridCol w:w="125"/>
        <w:gridCol w:w="2681"/>
        <w:gridCol w:w="60"/>
        <w:gridCol w:w="125"/>
        <w:gridCol w:w="981"/>
      </w:tblGrid>
      <w:tr>
        <w:trPr/>
        <w:tc>
          <w:tcPr>
            <w:tcW w:w="284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303" w:type="dxa"/>
            <w:gridSpan w:val="1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For the Year Ended December 31, 2025</w:t>
            </w:r>
          </w:p>
        </w:tc>
      </w:tr>
      <w:tr>
        <w:trPr/>
        <w:tc>
          <w:tcPr>
            <w:tcW w:w="2842"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7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6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84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1,283.7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1,187.6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4,244.2</w:t>
            </w:r>
          </w:p>
        </w:tc>
      </w:tr>
      <w:tr>
        <w:trPr/>
        <w:tc>
          <w:tcPr>
            <w:tcW w:w="284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6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74"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6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673.4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891.8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934.9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2,490.6</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Contract asset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165.6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361.1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712.9</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254.3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372.2</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138.5</w:t>
            </w:r>
          </w:p>
        </w:tc>
      </w:tr>
      <w:tr>
        <w:trPr/>
        <w:tc>
          <w:tcPr>
            <w:tcW w:w="2842"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1,004.9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1,051.4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7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1,575.2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26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3,714.4</w:t>
            </w:r>
          </w:p>
        </w:tc>
      </w:tr>
      <w:tr>
        <w:trPr/>
        <w:tc>
          <w:tcPr>
            <w:tcW w:w="2842"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529.8</w:t>
            </w:r>
          </w:p>
        </w:tc>
      </w:tr>
      <w:tr>
        <w:trPr/>
        <w:tc>
          <w:tcPr>
            <w:tcW w:w="284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6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74"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6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(84.5)</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Foreign currency exchange loss, net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(25.2)</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gains , net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r>
      <w:tr>
        <w:trPr/>
        <w:tc>
          <w:tcPr>
            <w:tcW w:w="2842"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other expense, net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(81.6)</w:t>
            </w:r>
          </w:p>
        </w:tc>
      </w:tr>
      <w:tr>
        <w:trPr/>
        <w:tc>
          <w:tcPr>
            <w:tcW w:w="2842"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Income before income taxes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448.2</w:t>
            </w:r>
          </w:p>
        </w:tc>
      </w:tr>
      <w:tr>
        <w:trPr/>
        <w:tc>
          <w:tcPr>
            <w:tcW w:w="284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Segment assets as of December 31, 2025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3,013.9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1,251.5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1,885.1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338.2</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r>
    </w:tbl>
    <w:p>
      <w:pPr>
        <w:pStyle w:val="TextBody"/>
        <w:bidi w:val="0"/>
        <w:spacing w:before="0" w:after="120"/>
        <w:jc w:val="left"/>
        <w:rPr/>
      </w:pPr>
      <w:r>
        <w:rPr/>
        <w:t> </w:t>
      </w:r>
    </w:p>
    <w:tbl>
      <w:tblPr>
        <w:tblW w:w="10205" w:type="dxa"/>
        <w:jc w:val="left"/>
        <w:tblInd w:w="0" w:type="dxa"/>
        <w:tblLayout w:type="fixed"/>
        <w:tblCellMar>
          <w:top w:w="0" w:type="dxa"/>
          <w:left w:w="0" w:type="dxa"/>
          <w:bottom w:w="0" w:type="dxa"/>
          <w:right w:w="0" w:type="dxa"/>
        </w:tblCellMar>
      </w:tblPr>
      <w:tblGrid>
        <w:gridCol w:w="2890"/>
        <w:gridCol w:w="60"/>
        <w:gridCol w:w="125"/>
        <w:gridCol w:w="1076"/>
        <w:gridCol w:w="60"/>
        <w:gridCol w:w="125"/>
        <w:gridCol w:w="635"/>
        <w:gridCol w:w="60"/>
        <w:gridCol w:w="125"/>
        <w:gridCol w:w="1086"/>
        <w:gridCol w:w="60"/>
        <w:gridCol w:w="125"/>
        <w:gridCol w:w="2737"/>
        <w:gridCol w:w="60"/>
        <w:gridCol w:w="158"/>
        <w:gridCol w:w="823"/>
      </w:tblGrid>
      <w:tr>
        <w:trPr/>
        <w:tc>
          <w:tcPr>
            <w:tcW w:w="2890" w:type="dxa"/>
            <w:tcBorders/>
            <w:vAlign w:val="center"/>
          </w:tcPr>
          <w:p>
            <w:pPr>
              <w:pStyle w:val="TableContents"/>
              <w:widowControl w:val="false"/>
              <w:bidi w:val="0"/>
              <w:spacing w:before="0" w:after="0"/>
              <w:jc w:val="left"/>
              <w:rPr/>
            </w:pPr>
            <w:r>
              <w:rPr/>
              <w:t> </w:t>
            </w:r>
          </w:p>
        </w:tc>
        <w:tc>
          <w:tcPr>
            <w:tcW w:w="60" w:type="dxa"/>
            <w:tcBorders/>
            <w:vAlign w:val="center"/>
          </w:tcPr>
          <w:p>
            <w:pPr>
              <w:pStyle w:val="TableContents"/>
              <w:widowControl w:val="false"/>
              <w:bidi w:val="0"/>
              <w:spacing w:before="0" w:after="0"/>
              <w:jc w:val="left"/>
              <w:rPr/>
            </w:pPr>
            <w:r>
              <w:rPr/>
              <w:t> </w:t>
            </w:r>
          </w:p>
        </w:tc>
        <w:tc>
          <w:tcPr>
            <w:tcW w:w="7255" w:type="dxa"/>
            <w:gridSpan w:val="14"/>
            <w:tcBorders>
              <w:bottom w:val="single" w:sz="8" w:space="0" w:color="000000"/>
            </w:tcBorders>
            <w:tcMar>
              <w:bottom w:w="28" w:type="dxa"/>
            </w:tcMar>
            <w:vAlign w:val="center"/>
          </w:tcPr>
          <w:p>
            <w:pPr>
              <w:pStyle w:val="TableContents"/>
              <w:widowControl w:val="false"/>
              <w:bidi w:val="0"/>
              <w:spacing w:before="0" w:after="0"/>
              <w:jc w:val="center"/>
              <w:rPr>
                <w:rFonts w:ascii="Times New Roman" w:hAnsi="Times New Roman"/>
                <w:b/>
                <w:sz w:val="16"/>
              </w:rPr>
            </w:pPr>
            <w:r>
              <w:rPr>
                <w:rFonts w:ascii="Times New Roman" w:hAnsi="Times New Roman"/>
                <w:b/>
                <w:sz w:val="16"/>
              </w:rPr>
              <w:t>For the Year Ended December 31, 2024</w:t>
            </w:r>
          </w:p>
        </w:tc>
      </w:tr>
      <w:tr>
        <w:trPr/>
        <w:tc>
          <w:tcPr>
            <w:tcW w:w="2890" w:type="dxa"/>
            <w:tcBorders>
              <w:bottom w:val="single" w:sz="8" w:space="0" w:color="000000"/>
            </w:tcBorders>
            <w:tcMar>
              <w:bottom w:w="28" w:type="dxa"/>
            </w:tcMar>
            <w:vAlign w:val="center"/>
          </w:tcPr>
          <w:p>
            <w:pPr>
              <w:pStyle w:val="TableContents"/>
              <w:widowControl w:val="false"/>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left"/>
              <w:rPr/>
            </w:pPr>
            <w:r>
              <w:rPr/>
              <w:t> </w:t>
            </w:r>
          </w:p>
        </w:tc>
        <w:tc>
          <w:tcPr>
            <w:tcW w:w="1076"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left"/>
              <w:rPr/>
            </w:pPr>
            <w:r>
              <w:rPr/>
              <w:t> </w:t>
            </w:r>
          </w:p>
        </w:tc>
        <w:tc>
          <w:tcPr>
            <w:tcW w:w="1086"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left"/>
              <w:rPr/>
            </w:pPr>
            <w:r>
              <w:rPr/>
              <w:t> </w:t>
            </w:r>
          </w:p>
        </w:tc>
        <w:tc>
          <w:tcPr>
            <w:tcW w:w="2737" w:type="dxa"/>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widowControl w:val="false"/>
              <w:bidi w:val="0"/>
              <w:spacing w:before="0" w:after="0"/>
              <w:jc w:val="left"/>
              <w:rPr/>
            </w:pPr>
            <w:r>
              <w:rPr/>
              <w:t> </w:t>
            </w:r>
          </w:p>
        </w:tc>
        <w:tc>
          <w:tcPr>
            <w:tcW w:w="981" w:type="dxa"/>
            <w:gridSpan w:val="2"/>
            <w:tcBorders>
              <w:top w:val="single" w:sz="8" w:space="0" w:color="000000"/>
              <w:bottom w:val="single" w:sz="8" w:space="0" w:color="000000"/>
            </w:tcBorders>
            <w:tcMar>
              <w:top w:w="28" w:type="dxa"/>
              <w:bottom w:w="28" w:type="dxa"/>
            </w:tcMar>
            <w:vAlign w:val="center"/>
          </w:tcPr>
          <w:p>
            <w:pPr>
              <w:pStyle w:val="TableContents"/>
              <w:widowControl w:val="false"/>
              <w:bidi w:val="0"/>
              <w:spacing w:before="0" w:after="0"/>
              <w:jc w:val="center"/>
              <w:rPr>
                <w:rFonts w:ascii="Times New Roman" w:hAnsi="Times New Roman"/>
                <w:b/>
                <w:sz w:val="16"/>
              </w:rPr>
            </w:pPr>
            <w:r>
              <w:rPr>
                <w:rFonts w:ascii="Times New Roman" w:hAnsi="Times New Roman"/>
                <w:b/>
                <w:sz w:val="16"/>
              </w:rPr>
              <w:t>Consolidated</w:t>
            </w:r>
          </w:p>
        </w:tc>
      </w:tr>
      <w:tr>
        <w:trPr/>
        <w:tc>
          <w:tcPr>
            <w:tcW w:w="2890" w:type="dxa"/>
            <w:tcBorders>
              <w:top w:val="single" w:sz="8" w:space="0" w:color="000000"/>
            </w:tcBorders>
            <w:shd w:fill="CCEEFF" w:val="clear"/>
            <w:tcMar>
              <w:top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1076"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1,161.2</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1,150.5</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1086"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1,686.5</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2737"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(8.4)</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3,989.8</w:t>
            </w:r>
          </w:p>
        </w:tc>
      </w:tr>
      <w:tr>
        <w:trPr/>
        <w:tc>
          <w:tcPr>
            <w:tcW w:w="2890" w:type="dxa"/>
            <w:tcBorders/>
            <w:shd w:fill="FFFF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widowControl w:val="false"/>
              <w:bidi w:val="0"/>
              <w:spacing w:before="0" w:after="0"/>
              <w:jc w:val="left"/>
              <w:rPr/>
            </w:pPr>
            <w:r>
              <w:rPr/>
              <w:t> </w:t>
            </w:r>
          </w:p>
        </w:tc>
        <w:tc>
          <w:tcPr>
            <w:tcW w:w="1076" w:type="dxa"/>
            <w:tcBorders>
              <w:top w:val="single" w:sz="8" w:space="0" w:color="000000"/>
            </w:tcBorders>
            <w:shd w:fill="FFFFFF" w:val="clear"/>
            <w:tcMar>
              <w:top w:w="28" w:type="dxa"/>
            </w:tcM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widowControl w:val="false"/>
              <w:bidi w:val="0"/>
              <w:spacing w:before="0" w:after="0"/>
              <w:jc w:val="left"/>
              <w:rPr/>
            </w:pPr>
            <w:r>
              <w:rPr/>
              <w:t> </w:t>
            </w:r>
          </w:p>
        </w:tc>
        <w:tc>
          <w:tcPr>
            <w:tcW w:w="635" w:type="dxa"/>
            <w:tcBorders>
              <w:top w:val="single" w:sz="8" w:space="0" w:color="000000"/>
            </w:tcBorders>
            <w:shd w:fill="FFFFFF" w:val="clear"/>
            <w:tcMar>
              <w:top w:w="28" w:type="dxa"/>
            </w:tcM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widowControl w:val="false"/>
              <w:bidi w:val="0"/>
              <w:spacing w:before="0" w:after="0"/>
              <w:jc w:val="left"/>
              <w:rPr/>
            </w:pPr>
            <w:r>
              <w:rPr/>
              <w:t> </w:t>
            </w:r>
          </w:p>
        </w:tc>
        <w:tc>
          <w:tcPr>
            <w:tcW w:w="1086" w:type="dxa"/>
            <w:tcBorders>
              <w:top w:val="single" w:sz="8" w:space="0" w:color="000000"/>
            </w:tcBorders>
            <w:shd w:fill="FFFFFF" w:val="clear"/>
            <w:tcMar>
              <w:top w:w="28" w:type="dxa"/>
            </w:tcM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widowControl w:val="false"/>
              <w:bidi w:val="0"/>
              <w:spacing w:before="0" w:after="0"/>
              <w:jc w:val="left"/>
              <w:rPr/>
            </w:pPr>
            <w:r>
              <w:rPr/>
              <w:t> </w:t>
            </w:r>
          </w:p>
        </w:tc>
        <w:tc>
          <w:tcPr>
            <w:tcW w:w="2737" w:type="dxa"/>
            <w:tcBorders>
              <w:top w:val="single" w:sz="8" w:space="0" w:color="000000"/>
            </w:tcBorders>
            <w:shd w:fill="FFFFFF" w:val="clear"/>
            <w:tcMar>
              <w:top w:w="28" w:type="dxa"/>
            </w:tcM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top w:val="single" w:sz="8" w:space="0" w:color="000000"/>
            </w:tcBorders>
            <w:shd w:fill="FFFFFF" w:val="clear"/>
            <w:tcMar>
              <w:top w:w="28" w:type="dxa"/>
            </w:tcMar>
            <w:vAlign w:val="center"/>
          </w:tcPr>
          <w:p>
            <w:pPr>
              <w:pStyle w:val="TableContents"/>
              <w:widowControl w:val="false"/>
              <w:bidi w:val="0"/>
              <w:spacing w:before="0" w:after="0"/>
              <w:jc w:val="left"/>
              <w:rPr/>
            </w:pPr>
            <w:r>
              <w:rPr/>
              <w:t> </w:t>
            </w:r>
          </w:p>
        </w:tc>
        <w:tc>
          <w:tcPr>
            <w:tcW w:w="823" w:type="dxa"/>
            <w:tcBorders>
              <w:top w:val="single" w:sz="8" w:space="0" w:color="000000"/>
            </w:tcBorders>
            <w:shd w:fill="FFFFFF" w:val="clear"/>
            <w:tcMar>
              <w:top w:w="28" w:type="dxa"/>
            </w:tcMar>
            <w:vAlign w:val="center"/>
          </w:tcPr>
          <w:p>
            <w:pPr>
              <w:pStyle w:val="TableContents"/>
              <w:widowControl w:val="false"/>
              <w:bidi w:val="0"/>
              <w:spacing w:before="0" w:after="0"/>
              <w:jc w:val="right"/>
              <w:rPr/>
            </w:pPr>
            <w:r>
              <w:rPr/>
              <w:t> </w:t>
            </w:r>
          </w:p>
        </w:tc>
      </w:tr>
      <w:tr>
        <w:trPr/>
        <w:tc>
          <w:tcPr>
            <w:tcW w:w="2890" w:type="dxa"/>
            <w:tcBorders/>
            <w:shd w:fill="CCEE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76"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605.4</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635"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872.7</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86"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919.7</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2737"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(8.5)</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shd w:fill="CCEEFF" w:val="clear"/>
            <w:vAlign w:val="center"/>
          </w:tcPr>
          <w:p>
            <w:pPr>
              <w:pStyle w:val="TableContents"/>
              <w:widowControl w:val="false"/>
              <w:bidi w:val="0"/>
              <w:spacing w:before="0" w:after="0"/>
              <w:jc w:val="left"/>
              <w:rPr/>
            </w:pPr>
            <w:r>
              <w:rPr/>
              <w:t> </w:t>
            </w:r>
          </w:p>
        </w:tc>
        <w:tc>
          <w:tcPr>
            <w:tcW w:w="823"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2,389.3</w:t>
            </w:r>
          </w:p>
        </w:tc>
      </w:tr>
      <w:tr>
        <w:trPr/>
        <w:tc>
          <w:tcPr>
            <w:tcW w:w="2890" w:type="dxa"/>
            <w:tcBorders/>
            <w:shd w:fill="FFFF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76"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146.8</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635"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102.0</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86"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333.4</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2737"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68.0</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shd w:fill="FFFFFF" w:val="clear"/>
            <w:vAlign w:val="center"/>
          </w:tcPr>
          <w:p>
            <w:pPr>
              <w:pStyle w:val="TableContents"/>
              <w:widowControl w:val="false"/>
              <w:bidi w:val="0"/>
              <w:spacing w:before="0" w:after="0"/>
              <w:jc w:val="left"/>
              <w:rPr/>
            </w:pPr>
            <w:r>
              <w:rPr/>
              <w:t> </w:t>
            </w:r>
          </w:p>
        </w:tc>
        <w:tc>
          <w:tcPr>
            <w:tcW w:w="823"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650.2</w:t>
            </w:r>
          </w:p>
        </w:tc>
      </w:tr>
      <w:tr>
        <w:trPr/>
        <w:tc>
          <w:tcPr>
            <w:tcW w:w="2890" w:type="dxa"/>
            <w:tcBorders/>
            <w:shd w:fill="CCEE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76"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55.1</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635"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38.6</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86"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206.4</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2737"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15.2</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shd w:fill="CCEEFF" w:val="clear"/>
            <w:vAlign w:val="center"/>
          </w:tcPr>
          <w:p>
            <w:pPr>
              <w:pStyle w:val="TableContents"/>
              <w:widowControl w:val="false"/>
              <w:bidi w:val="0"/>
              <w:spacing w:before="0" w:after="0"/>
              <w:jc w:val="left"/>
              <w:rPr/>
            </w:pPr>
            <w:r>
              <w:rPr/>
              <w:t> </w:t>
            </w:r>
          </w:p>
        </w:tc>
        <w:tc>
          <w:tcPr>
            <w:tcW w:w="823"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315.3</w:t>
            </w:r>
          </w:p>
        </w:tc>
      </w:tr>
      <w:tr>
        <w:trPr/>
        <w:tc>
          <w:tcPr>
            <w:tcW w:w="2890" w:type="dxa"/>
            <w:tcBorders/>
            <w:shd w:fill="FFFF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widowControl w:val="false"/>
              <w:bidi w:val="0"/>
              <w:spacing w:before="0" w:after="0"/>
              <w:jc w:val="left"/>
              <w:rPr/>
            </w:pPr>
            <w:r>
              <w:rPr/>
              <w:t> </w:t>
            </w:r>
          </w:p>
        </w:tc>
        <w:tc>
          <w:tcPr>
            <w:tcW w:w="1076" w:type="dxa"/>
            <w:tcBorders>
              <w:bottom w:val="single" w:sz="8" w:space="0" w:color="000000"/>
            </w:tcBorders>
            <w:shd w:fill="FFFFFF" w:val="clear"/>
            <w:tcMar>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97.9</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widowControl w:val="false"/>
              <w:bidi w:val="0"/>
              <w:spacing w:before="0" w:after="0"/>
              <w:jc w:val="left"/>
              <w:rPr/>
            </w:pPr>
            <w:r>
              <w:rPr/>
              <w:t> </w:t>
            </w:r>
          </w:p>
        </w:tc>
        <w:tc>
          <w:tcPr>
            <w:tcW w:w="635" w:type="dxa"/>
            <w:tcBorders>
              <w:bottom w:val="single" w:sz="8" w:space="0" w:color="000000"/>
            </w:tcBorders>
            <w:shd w:fill="FFFFFF" w:val="clear"/>
            <w:tcMar>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widowControl w:val="false"/>
              <w:bidi w:val="0"/>
              <w:spacing w:before="0" w:after="0"/>
              <w:jc w:val="left"/>
              <w:rPr/>
            </w:pPr>
            <w:r>
              <w:rPr/>
              <w:t> </w:t>
            </w:r>
          </w:p>
        </w:tc>
        <w:tc>
          <w:tcPr>
            <w:tcW w:w="1086" w:type="dxa"/>
            <w:tcBorders>
              <w:bottom w:val="single" w:sz="8" w:space="0" w:color="000000"/>
            </w:tcBorders>
            <w:shd w:fill="FFFFFF" w:val="clear"/>
            <w:tcMar>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26.0</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widowControl w:val="false"/>
              <w:bidi w:val="0"/>
              <w:spacing w:before="0" w:after="0"/>
              <w:jc w:val="left"/>
              <w:rPr/>
            </w:pPr>
            <w:r>
              <w:rPr/>
              <w:t> </w:t>
            </w:r>
          </w:p>
        </w:tc>
        <w:tc>
          <w:tcPr>
            <w:tcW w:w="2737" w:type="dxa"/>
            <w:tcBorders>
              <w:bottom w:val="single" w:sz="8" w:space="0" w:color="000000"/>
            </w:tcBorders>
            <w:shd w:fill="FFFFFF" w:val="clear"/>
            <w:tcMar>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0.6</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bottom w:val="single" w:sz="8" w:space="0" w:color="000000"/>
            </w:tcBorders>
            <w:shd w:fill="FFFFFF" w:val="clear"/>
            <w:tcMar>
              <w:bottom w:w="28" w:type="dxa"/>
            </w:tcMar>
            <w:vAlign w:val="center"/>
          </w:tcPr>
          <w:p>
            <w:pPr>
              <w:pStyle w:val="TableContents"/>
              <w:widowControl w:val="false"/>
              <w:bidi w:val="0"/>
              <w:spacing w:before="0" w:after="0"/>
              <w:jc w:val="left"/>
              <w:rPr/>
            </w:pPr>
            <w:r>
              <w:rPr/>
              <w:t> </w:t>
            </w:r>
          </w:p>
        </w:tc>
        <w:tc>
          <w:tcPr>
            <w:tcW w:w="823" w:type="dxa"/>
            <w:tcBorders>
              <w:bottom w:val="single" w:sz="8" w:space="0" w:color="000000"/>
            </w:tcBorders>
            <w:shd w:fill="FFFFFF" w:val="clear"/>
            <w:tcMar>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131.8</w:t>
            </w:r>
          </w:p>
        </w:tc>
      </w:tr>
      <w:tr>
        <w:trPr/>
        <w:tc>
          <w:tcPr>
            <w:tcW w:w="2890" w:type="dxa"/>
            <w:tcBorders/>
            <w:shd w:fill="CCEEFF" w:val="clear"/>
            <w:vAlign w:val="center"/>
          </w:tcPr>
          <w:p>
            <w:pPr>
              <w:pStyle w:val="TableContents"/>
              <w:widowControl w:val="false"/>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pPr>
            <w:r>
              <w:rPr/>
              <w:t> </w:t>
            </w:r>
          </w:p>
        </w:tc>
        <w:tc>
          <w:tcPr>
            <w:tcW w:w="1076"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905.2</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pPr>
            <w:r>
              <w:rPr/>
              <w:t> </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1,020.6</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pPr>
            <w:r>
              <w:rPr/>
              <w:t> </w:t>
            </w:r>
          </w:p>
        </w:tc>
        <w:tc>
          <w:tcPr>
            <w:tcW w:w="1086"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1,485.5</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pPr>
            <w:r>
              <w:rPr/>
              <w:t> </w:t>
            </w:r>
          </w:p>
        </w:tc>
        <w:tc>
          <w:tcPr>
            <w:tcW w:w="2737"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75.3</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left"/>
              <w:rPr/>
            </w:pPr>
            <w:r>
              <w:rPr/>
              <w:t> </w:t>
            </w:r>
          </w:p>
        </w:tc>
        <w:tc>
          <w:tcPr>
            <w:tcW w:w="823" w:type="dxa"/>
            <w:tcBorders>
              <w:top w:val="single" w:sz="8" w:space="0" w:color="000000"/>
              <w:bottom w:val="single" w:sz="8"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3,486.6</w:t>
            </w:r>
          </w:p>
        </w:tc>
      </w:tr>
      <w:tr>
        <w:trPr/>
        <w:tc>
          <w:tcPr>
            <w:tcW w:w="2890" w:type="dxa"/>
            <w:tcBorders/>
            <w:shd w:fill="FFFFFF" w:val="clear"/>
            <w:vAlign w:val="center"/>
          </w:tcPr>
          <w:p>
            <w:pPr>
              <w:pStyle w:val="TableContents"/>
              <w:widowControl w:val="false"/>
              <w:bidi w:val="0"/>
              <w:spacing w:before="0" w:after="0"/>
              <w:ind w:left="576" w:right="0" w:hanging="0"/>
              <w:jc w:val="left"/>
              <w:rPr>
                <w:rFonts w:ascii="Times New Roman" w:hAnsi="Times New Roman"/>
                <w:sz w:val="20"/>
              </w:rPr>
            </w:pPr>
            <w:r>
              <w:rPr>
                <w:rFonts w:ascii="Times New Roman" w:hAnsi="Times New Roman"/>
                <w:sz w:val="20"/>
              </w:rPr>
              <w:t>Operating income (expense)</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1076"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256.0</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129.9</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1086"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201.0</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2737"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(83.7)</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503.2</w:t>
            </w:r>
          </w:p>
        </w:tc>
      </w:tr>
      <w:tr>
        <w:trPr/>
        <w:tc>
          <w:tcPr>
            <w:tcW w:w="2890" w:type="dxa"/>
            <w:tcBorders/>
            <w:shd w:fill="CCEE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widowControl w:val="false"/>
              <w:bidi w:val="0"/>
              <w:spacing w:before="0" w:after="0"/>
              <w:jc w:val="left"/>
              <w:rPr/>
            </w:pPr>
            <w:r>
              <w:rPr/>
              <w:t> </w:t>
            </w:r>
          </w:p>
        </w:tc>
        <w:tc>
          <w:tcPr>
            <w:tcW w:w="1076" w:type="dxa"/>
            <w:tcBorders>
              <w:top w:val="single" w:sz="8" w:space="0" w:color="000000"/>
            </w:tcBorders>
            <w:shd w:fill="CCEEFF" w:val="clear"/>
            <w:tcMar>
              <w:top w:w="28" w:type="dxa"/>
            </w:tcM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widowControl w:val="false"/>
              <w:bidi w:val="0"/>
              <w:spacing w:before="0" w:after="0"/>
              <w:jc w:val="left"/>
              <w:rPr/>
            </w:pPr>
            <w:r>
              <w:rPr/>
              <w:t> </w:t>
            </w:r>
          </w:p>
        </w:tc>
        <w:tc>
          <w:tcPr>
            <w:tcW w:w="635" w:type="dxa"/>
            <w:tcBorders>
              <w:top w:val="single" w:sz="8" w:space="0" w:color="000000"/>
            </w:tcBorders>
            <w:shd w:fill="CCEEFF" w:val="clear"/>
            <w:tcMar>
              <w:top w:w="28" w:type="dxa"/>
            </w:tcM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widowControl w:val="false"/>
              <w:bidi w:val="0"/>
              <w:spacing w:before="0" w:after="0"/>
              <w:jc w:val="left"/>
              <w:rPr/>
            </w:pPr>
            <w:r>
              <w:rPr/>
              <w:t> </w:t>
            </w:r>
          </w:p>
        </w:tc>
        <w:tc>
          <w:tcPr>
            <w:tcW w:w="1086" w:type="dxa"/>
            <w:tcBorders>
              <w:top w:val="single" w:sz="8" w:space="0" w:color="000000"/>
            </w:tcBorders>
            <w:shd w:fill="CCEEFF" w:val="clear"/>
            <w:tcMar>
              <w:top w:w="28" w:type="dxa"/>
            </w:tcM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widowControl w:val="false"/>
              <w:bidi w:val="0"/>
              <w:spacing w:before="0" w:after="0"/>
              <w:jc w:val="left"/>
              <w:rPr/>
            </w:pPr>
            <w:r>
              <w:rPr/>
              <w:t> </w:t>
            </w:r>
          </w:p>
        </w:tc>
        <w:tc>
          <w:tcPr>
            <w:tcW w:w="2737" w:type="dxa"/>
            <w:tcBorders>
              <w:top w:val="single" w:sz="8" w:space="0" w:color="000000"/>
            </w:tcBorders>
            <w:shd w:fill="CCEEFF" w:val="clear"/>
            <w:tcMar>
              <w:top w:w="28" w:type="dxa"/>
            </w:tcM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top w:val="single" w:sz="8" w:space="0" w:color="000000"/>
            </w:tcBorders>
            <w:shd w:fill="CCEEFF" w:val="clear"/>
            <w:tcMar>
              <w:top w:w="28" w:type="dxa"/>
            </w:tcMar>
            <w:vAlign w:val="center"/>
          </w:tcPr>
          <w:p>
            <w:pPr>
              <w:pStyle w:val="TableContents"/>
              <w:widowControl w:val="false"/>
              <w:bidi w:val="0"/>
              <w:spacing w:before="0" w:after="0"/>
              <w:jc w:val="left"/>
              <w:rPr/>
            </w:pPr>
            <w:r>
              <w:rPr/>
              <w:t> </w:t>
            </w:r>
          </w:p>
        </w:tc>
        <w:tc>
          <w:tcPr>
            <w:tcW w:w="823" w:type="dxa"/>
            <w:tcBorders>
              <w:top w:val="single" w:sz="8" w:space="0" w:color="000000"/>
            </w:tcBorders>
            <w:shd w:fill="CCEEFF" w:val="clear"/>
            <w:tcMar>
              <w:top w:w="28" w:type="dxa"/>
            </w:tcMar>
            <w:vAlign w:val="center"/>
          </w:tcPr>
          <w:p>
            <w:pPr>
              <w:pStyle w:val="TableContents"/>
              <w:widowControl w:val="false"/>
              <w:bidi w:val="0"/>
              <w:spacing w:before="0" w:after="0"/>
              <w:jc w:val="right"/>
              <w:rPr/>
            </w:pPr>
            <w:r>
              <w:rPr/>
              <w:t> </w:t>
            </w:r>
          </w:p>
        </w:tc>
      </w:tr>
      <w:tr>
        <w:trPr/>
        <w:tc>
          <w:tcPr>
            <w:tcW w:w="2890" w:type="dxa"/>
            <w:tcBorders/>
            <w:shd w:fill="FFFF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Interest income</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76"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635"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86"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2737"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shd w:fill="FFFFFF" w:val="clear"/>
            <w:vAlign w:val="center"/>
          </w:tcPr>
          <w:p>
            <w:pPr>
              <w:pStyle w:val="TableContents"/>
              <w:widowControl w:val="false"/>
              <w:bidi w:val="0"/>
              <w:spacing w:before="0" w:after="0"/>
              <w:jc w:val="left"/>
              <w:rPr/>
            </w:pPr>
            <w:r>
              <w:rPr/>
              <w:t> </w:t>
            </w:r>
          </w:p>
        </w:tc>
        <w:tc>
          <w:tcPr>
            <w:tcW w:w="823"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23.8</w:t>
            </w:r>
          </w:p>
        </w:tc>
      </w:tr>
      <w:tr>
        <w:trPr/>
        <w:tc>
          <w:tcPr>
            <w:tcW w:w="2890" w:type="dxa"/>
            <w:tcBorders/>
            <w:shd w:fill="CCEE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76"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635"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86"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2737"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shd w:fill="CCEEFF" w:val="clear"/>
            <w:vAlign w:val="center"/>
          </w:tcPr>
          <w:p>
            <w:pPr>
              <w:pStyle w:val="TableContents"/>
              <w:widowControl w:val="false"/>
              <w:bidi w:val="0"/>
              <w:spacing w:before="0" w:after="0"/>
              <w:jc w:val="left"/>
              <w:rPr/>
            </w:pPr>
            <w:r>
              <w:rPr/>
              <w:t> </w:t>
            </w:r>
          </w:p>
        </w:tc>
        <w:tc>
          <w:tcPr>
            <w:tcW w:w="823" w:type="dxa"/>
            <w:tcBorders/>
            <w:shd w:fill="CCEE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(80.5)</w:t>
            </w:r>
          </w:p>
        </w:tc>
      </w:tr>
      <w:tr>
        <w:trPr/>
        <w:tc>
          <w:tcPr>
            <w:tcW w:w="2890" w:type="dxa"/>
            <w:tcBorders/>
            <w:shd w:fill="FFFF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Foreign currency exchange loss, net</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76"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635"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86"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2737"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shd w:fill="FFFFFF" w:val="clear"/>
            <w:vAlign w:val="center"/>
          </w:tcPr>
          <w:p>
            <w:pPr>
              <w:pStyle w:val="TableContents"/>
              <w:widowControl w:val="false"/>
              <w:bidi w:val="0"/>
              <w:spacing w:before="0" w:after="0"/>
              <w:jc w:val="left"/>
              <w:rPr/>
            </w:pPr>
            <w:r>
              <w:rPr/>
              <w:t> </w:t>
            </w:r>
          </w:p>
        </w:tc>
        <w:tc>
          <w:tcPr>
            <w:tcW w:w="823"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(19.1)</w:t>
            </w:r>
          </w:p>
        </w:tc>
      </w:tr>
      <w:tr>
        <w:trPr/>
        <w:tc>
          <w:tcPr>
            <w:tcW w:w="2890" w:type="dxa"/>
            <w:tcBorders/>
            <w:shd w:fill="CCEEFF" w:val="clear"/>
            <w:vAlign w:val="center"/>
          </w:tcPr>
          <w:p>
            <w:pPr>
              <w:pStyle w:val="TableContents"/>
              <w:widowControl w:val="false"/>
              <w:bidi w:val="0"/>
              <w:spacing w:before="0" w:after="0"/>
              <w:ind w:left="144" w:right="0" w:hanging="0"/>
              <w:jc w:val="left"/>
              <w:rPr>
                <w:rFonts w:ascii="Times New Roman" w:hAnsi="Times New Roman"/>
                <w:sz w:val="20"/>
              </w:rPr>
            </w:pPr>
            <w:r>
              <w:rPr>
                <w:rFonts w:ascii="Times New Roman" w:hAnsi="Times New Roman"/>
                <w:sz w:val="20"/>
              </w:rPr>
              <w:t>Other gains, net</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76"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635"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86"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2737"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bottom w:val="single" w:sz="8" w:space="0" w:color="000000"/>
            </w:tcBorders>
            <w:shd w:fill="CCEEFF" w:val="clear"/>
            <w:tcMar>
              <w:bottom w:w="28" w:type="dxa"/>
            </w:tcMar>
            <w:vAlign w:val="center"/>
          </w:tcPr>
          <w:p>
            <w:pPr>
              <w:pStyle w:val="TableContents"/>
              <w:widowControl w:val="false"/>
              <w:bidi w:val="0"/>
              <w:spacing w:before="0" w:after="0"/>
              <w:jc w:val="left"/>
              <w:rPr/>
            </w:pPr>
            <w:r>
              <w:rPr/>
              <w:t> </w:t>
            </w:r>
          </w:p>
        </w:tc>
        <w:tc>
          <w:tcPr>
            <w:tcW w:w="823" w:type="dxa"/>
            <w:tcBorders>
              <w:bottom w:val="single" w:sz="8" w:space="0" w:color="000000"/>
            </w:tcBorders>
            <w:shd w:fill="CCEEFF" w:val="clear"/>
            <w:tcMar>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21.5</w:t>
            </w:r>
          </w:p>
        </w:tc>
      </w:tr>
      <w:tr>
        <w:trPr/>
        <w:tc>
          <w:tcPr>
            <w:tcW w:w="2890" w:type="dxa"/>
            <w:tcBorders/>
            <w:shd w:fill="FFFFFF" w:val="clear"/>
            <w:vAlign w:val="center"/>
          </w:tcPr>
          <w:p>
            <w:pPr>
              <w:pStyle w:val="TableContents"/>
              <w:widowControl w:val="false"/>
              <w:bidi w:val="0"/>
              <w:spacing w:before="0" w:after="0"/>
              <w:ind w:left="288" w:right="0" w:hanging="0"/>
              <w:jc w:val="left"/>
              <w:rPr>
                <w:rFonts w:ascii="Times New Roman" w:hAnsi="Times New Roman"/>
                <w:sz w:val="20"/>
              </w:rPr>
            </w:pPr>
            <w:r>
              <w:rPr>
                <w:rFonts w:ascii="Times New Roman" w:hAnsi="Times New Roman"/>
                <w:sz w:val="20"/>
              </w:rPr>
              <w:t>Total other expense, net</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76"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635"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1086"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pPr>
            <w:r>
              <w:rPr/>
              <w:t> </w:t>
            </w:r>
          </w:p>
        </w:tc>
        <w:tc>
          <w:tcPr>
            <w:tcW w:w="2737" w:type="dxa"/>
            <w:tcBorders/>
            <w:shd w:fill="FFFFFF" w:val="clear"/>
            <w:vAlign w:val="center"/>
          </w:tcPr>
          <w:p>
            <w:pPr>
              <w:pStyle w:val="TableContents"/>
              <w:widowControl w:val="false"/>
              <w:bidi w:val="0"/>
              <w:spacing w:before="0" w:after="0"/>
              <w:jc w:val="right"/>
              <w:rPr/>
            </w:pPr>
            <w:r>
              <w:rPr/>
              <w:t> </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left"/>
              <w:rPr/>
            </w:pPr>
            <w:r>
              <w:rPr/>
              <w:t> </w:t>
            </w:r>
          </w:p>
        </w:tc>
        <w:tc>
          <w:tcPr>
            <w:tcW w:w="823" w:type="dxa"/>
            <w:tcBorders>
              <w:top w:val="single" w:sz="8" w:space="0" w:color="000000"/>
              <w:bottom w:val="single" w:sz="8" w:space="0" w:color="000000"/>
            </w:tcBorders>
            <w:shd w:fill="FFFF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(54.3)</w:t>
            </w:r>
          </w:p>
        </w:tc>
      </w:tr>
      <w:tr>
        <w:trPr/>
        <w:tc>
          <w:tcPr>
            <w:tcW w:w="2890" w:type="dxa"/>
            <w:tcBorders/>
            <w:shd w:fill="CCEEFF" w:val="clear"/>
            <w:vAlign w:val="center"/>
          </w:tcPr>
          <w:p>
            <w:pPr>
              <w:pStyle w:val="TableContents"/>
              <w:widowControl w:val="false"/>
              <w:bidi w:val="0"/>
              <w:spacing w:before="0" w:after="0"/>
              <w:ind w:left="576" w:right="0" w:hanging="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76"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635"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1086"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25" w:type="dxa"/>
            <w:tcBorders/>
            <w:shd w:fill="CCEEFF" w:val="clear"/>
            <w:vAlign w:val="center"/>
          </w:tcPr>
          <w:p>
            <w:pPr>
              <w:pStyle w:val="TableContents"/>
              <w:widowControl w:val="false"/>
              <w:bidi w:val="0"/>
              <w:spacing w:before="0" w:after="0"/>
              <w:jc w:val="left"/>
              <w:rPr/>
            </w:pPr>
            <w:r>
              <w:rPr/>
              <w:t> </w:t>
            </w:r>
          </w:p>
        </w:tc>
        <w:tc>
          <w:tcPr>
            <w:tcW w:w="2737" w:type="dxa"/>
            <w:tcBorders/>
            <w:shd w:fill="CCEEFF" w:val="clear"/>
            <w:vAlign w:val="center"/>
          </w:tcPr>
          <w:p>
            <w:pPr>
              <w:pStyle w:val="TableContents"/>
              <w:widowControl w:val="false"/>
              <w:bidi w:val="0"/>
              <w:spacing w:before="0" w:after="0"/>
              <w:jc w:val="right"/>
              <w:rPr/>
            </w:pPr>
            <w:r>
              <w:rPr/>
              <w:t> </w:t>
            </w:r>
          </w:p>
        </w:tc>
        <w:tc>
          <w:tcPr>
            <w:tcW w:w="60" w:type="dxa"/>
            <w:tcBorders/>
            <w:shd w:fill="CCEEFF" w:val="clear"/>
            <w:vAlign w:val="center"/>
          </w:tcPr>
          <w:p>
            <w:pPr>
              <w:pStyle w:val="TableContents"/>
              <w:widowControl w:val="false"/>
              <w:bidi w:val="0"/>
              <w:spacing w:before="0" w:after="0"/>
              <w:jc w:val="left"/>
              <w:rPr/>
            </w:pPr>
            <w:r>
              <w:rPr/>
              <w:t> </w:t>
            </w:r>
          </w:p>
        </w:tc>
        <w:tc>
          <w:tcPr>
            <w:tcW w:w="158" w:type="dxa"/>
            <w:tcBorders>
              <w:top w:val="single" w:sz="8" w:space="0" w:color="000000"/>
              <w:bottom w:val="double" w:sz="6" w:space="0" w:color="000000"/>
            </w:tcBorders>
            <w:shd w:fill="CCEEFF" w:val="clear"/>
            <w:tcMar>
              <w:top w:w="28" w:type="dxa"/>
              <w:bottom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bottom w:val="double" w:sz="6" w:space="0" w:color="000000"/>
            </w:tcBorders>
            <w:shd w:fill="CCEEFF" w:val="clear"/>
            <w:tcMar>
              <w:top w:w="28" w:type="dxa"/>
              <w:bottom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448.9</w:t>
            </w:r>
          </w:p>
        </w:tc>
      </w:tr>
      <w:tr>
        <w:trPr/>
        <w:tc>
          <w:tcPr>
            <w:tcW w:w="2890" w:type="dxa"/>
            <w:tcBorders/>
            <w:shd w:fill="FFFF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Segment assets as of December 31, 2024</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1076"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2,762.2</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1,073.7</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1086"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1,745.5</w:t>
            </w:r>
          </w:p>
        </w:tc>
        <w:tc>
          <w:tcPr>
            <w:tcW w:w="60" w:type="dxa"/>
            <w:tcBorders/>
            <w:shd w:fill="FFFFFF" w:val="clear"/>
            <w:vAlign w:val="center"/>
          </w:tcPr>
          <w:p>
            <w:pPr>
              <w:pStyle w:val="TableContents"/>
              <w:widowControl w:val="false"/>
              <w:bidi w:val="0"/>
              <w:spacing w:before="0" w:after="0"/>
              <w:jc w:val="left"/>
              <w:rPr/>
            </w:pPr>
            <w:r>
              <w:rPr/>
              <w:t> </w:t>
            </w:r>
          </w:p>
        </w:tc>
        <w:tc>
          <w:tcPr>
            <w:tcW w:w="125" w:type="dxa"/>
            <w:tcBorders/>
            <w:shd w:fill="FFFFFF" w:val="cle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2737" w:type="dxa"/>
            <w:tcBorders/>
            <w:shd w:fill="FFFFFF" w:val="cle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253.1</w:t>
            </w:r>
          </w:p>
        </w:tc>
        <w:tc>
          <w:tcPr>
            <w:tcW w:w="60" w:type="dxa"/>
            <w:tcBorders/>
            <w:shd w:fill="FFFFFF" w:val="clear"/>
            <w:vAlign w:val="center"/>
          </w:tcPr>
          <w:p>
            <w:pPr>
              <w:pStyle w:val="TableContents"/>
              <w:widowControl w:val="false"/>
              <w:bidi w:val="0"/>
              <w:spacing w:before="0" w:after="0"/>
              <w:jc w:val="left"/>
              <w:rPr/>
            </w:pPr>
            <w:r>
              <w:rPr/>
              <w:t> </w:t>
            </w:r>
          </w:p>
        </w:tc>
        <w:tc>
          <w:tcPr>
            <w:tcW w:w="158" w:type="dxa"/>
            <w:tcBorders>
              <w:top w:val="double" w:sz="6" w:space="0" w:color="000000"/>
            </w:tcBorders>
            <w:shd w:fill="FFFFFF" w:val="clear"/>
            <w:tcMar>
              <w:top w:w="28" w:type="dxa"/>
            </w:tcMar>
            <w:vAlign w:val="center"/>
          </w:tcPr>
          <w:p>
            <w:pPr>
              <w:pStyle w:val="TableContents"/>
              <w:widowControl w:val="false"/>
              <w:bidi w:val="0"/>
              <w:spacing w:before="0" w:after="0"/>
              <w:jc w:val="left"/>
              <w:rPr>
                <w:rFonts w:ascii="Times New Roman" w:hAnsi="Times New Roman"/>
                <w:sz w:val="20"/>
              </w:rPr>
            </w:pPr>
            <w:r>
              <w:rPr>
                <w:rFonts w:ascii="Times New Roman" w:hAnsi="Times New Roman"/>
                <w:sz w:val="20"/>
              </w:rPr>
              <w:t>$</w:t>
            </w:r>
          </w:p>
        </w:tc>
        <w:tc>
          <w:tcPr>
            <w:tcW w:w="823" w:type="dxa"/>
            <w:tcBorders>
              <w:top w:val="double" w:sz="6" w:space="0" w:color="000000"/>
            </w:tcBorders>
            <w:shd w:fill="FFFFFF" w:val="clear"/>
            <w:tcMar>
              <w:top w:w="28" w:type="dxa"/>
            </w:tcMar>
            <w:vAlign w:val="center"/>
          </w:tcPr>
          <w:p>
            <w:pPr>
              <w:pStyle w:val="TableContents"/>
              <w:widowControl w:val="false"/>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842"/>
        <w:gridCol w:w="60"/>
        <w:gridCol w:w="125"/>
        <w:gridCol w:w="1067"/>
        <w:gridCol w:w="60"/>
        <w:gridCol w:w="125"/>
        <w:gridCol w:w="635"/>
        <w:gridCol w:w="60"/>
        <w:gridCol w:w="125"/>
        <w:gridCol w:w="1074"/>
        <w:gridCol w:w="60"/>
        <w:gridCol w:w="125"/>
        <w:gridCol w:w="2681"/>
        <w:gridCol w:w="60"/>
        <w:gridCol w:w="125"/>
        <w:gridCol w:w="981"/>
      </w:tblGrid>
      <w:tr>
        <w:trPr/>
        <w:tc>
          <w:tcPr>
            <w:tcW w:w="284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303" w:type="dxa"/>
            <w:gridSpan w:val="1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For the Year Ended December 31, 2023</w:t>
            </w:r>
          </w:p>
        </w:tc>
      </w:tr>
      <w:tr>
        <w:trPr/>
        <w:tc>
          <w:tcPr>
            <w:tcW w:w="284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7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6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284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1,058.3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1,555.2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3,688.0</w:t>
            </w:r>
          </w:p>
        </w:tc>
      </w:tr>
      <w:tr>
        <w:trPr/>
        <w:tc>
          <w:tcPr>
            <w:tcW w:w="284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6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74"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6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572.1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819.1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2,222.8</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126.5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91.1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602.9</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296.8</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94.6</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68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132.9</w:t>
            </w:r>
          </w:p>
        </w:tc>
      </w:tr>
      <w:tr>
        <w:trPr/>
        <w:tc>
          <w:tcPr>
            <w:tcW w:w="2842"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852.0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956.2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7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1,369.8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26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3,255.4</w:t>
            </w:r>
          </w:p>
        </w:tc>
      </w:tr>
      <w:tr>
        <w:trPr/>
        <w:tc>
          <w:tcPr>
            <w:tcW w:w="2842" w:type="dxa"/>
            <w:tcBorders/>
            <w:shd w:fill="FFFF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Operating income (expense)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432.6</w:t>
            </w:r>
          </w:p>
        </w:tc>
      </w:tr>
      <w:tr>
        <w:trPr/>
        <w:tc>
          <w:tcPr>
            <w:tcW w:w="284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67"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74"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68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income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(55.6)</w:t>
            </w:r>
          </w:p>
        </w:tc>
      </w:tr>
      <w:tr>
        <w:trPr/>
        <w:tc>
          <w:tcPr>
            <w:tcW w:w="284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Foreign currency exchange gain, net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r>
      <w:tr>
        <w:trPr/>
        <w:tc>
          <w:tcPr>
            <w:tcW w:w="284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gains, net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r>
      <w:tr>
        <w:trPr/>
        <w:tc>
          <w:tcPr>
            <w:tcW w:w="2842"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other income (expense)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74"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681"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w:t>
            </w:r>
          </w:p>
        </w:tc>
      </w:tr>
      <w:tr>
        <w:trPr/>
        <w:tc>
          <w:tcPr>
            <w:tcW w:w="2842"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681"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400.4</w:t>
            </w:r>
          </w:p>
        </w:tc>
      </w:tr>
      <w:tr>
        <w:trPr/>
        <w:tc>
          <w:tcPr>
            <w:tcW w:w="284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Segment assets as of December 31, 2023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2,442.0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1,921.2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6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326.3</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double" w:sz="6"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5,894.4</w:t>
            </w:r>
          </w:p>
        </w:tc>
      </w:tr>
    </w:tbl>
    <w:p>
      <w:pPr>
        <w:pStyle w:val="TextBody"/>
        <w:bidi w:val="0"/>
        <w:spacing w:lineRule="atLeast" w:line="240" w:before="200" w:after="0"/>
        <w:jc w:val="both"/>
        <w:rPr/>
      </w:pPr>
      <w:r>
        <w:rPr>
          <w:rFonts w:ascii="Times New Roman" w:hAnsi="Times New Roman"/>
          <w:sz w:val="20"/>
        </w:rPr>
        <w:t>Total revenues for the years ended December 31, 2025, 2024</w:t>
      </w:r>
      <w:r>
        <w:rPr/>
        <w:t xml:space="preserve"> </w:t>
      </w:r>
      <w:r>
        <w:rPr>
          <w:rFonts w:ascii="Times New Roman" w:hAnsi="Times New Roman"/>
          <w:sz w:val="20"/>
        </w:rPr>
        <w:t>and 2023, and property and equipment and total assets as of December 31, 2025</w:t>
      </w:r>
      <w:r>
        <w:rPr/>
        <w:t xml:space="preserve"> </w:t>
      </w:r>
      <w:r>
        <w:rPr>
          <w:rFonts w:ascii="Times New Roman" w:hAnsi="Times New Roman"/>
          <w:sz w:val="20"/>
        </w:rPr>
        <w:t>and 2024, summarized by geographic location, were as follows:</w:t>
      </w:r>
    </w:p>
    <w:p>
      <w:pPr>
        <w:pStyle w:val="TextBody"/>
        <w:bidi w:val="0"/>
        <w:spacing w:lineRule="atLeast" w:line="240" w:before="0" w:after="0"/>
        <w:jc w:val="both"/>
        <w:rPr/>
      </w:pPr>
      <w:r>
        <w:rPr/>
        <w:t> </w:t>
      </w:r>
    </w:p>
    <w:tbl>
      <w:tblPr>
        <w:tblW w:w="7737" w:type="dxa"/>
        <w:jc w:val="left"/>
        <w:tblInd w:w="0" w:type="dxa"/>
        <w:tblLayout w:type="fixed"/>
        <w:tblCellMar>
          <w:top w:w="0" w:type="dxa"/>
          <w:left w:w="0" w:type="dxa"/>
          <w:bottom w:w="0" w:type="dxa"/>
          <w:right w:w="0" w:type="dxa"/>
        </w:tblCellMar>
      </w:tblPr>
      <w:tblGrid>
        <w:gridCol w:w="1400"/>
        <w:gridCol w:w="60"/>
        <w:gridCol w:w="126"/>
        <w:gridCol w:w="644"/>
        <w:gridCol w:w="60"/>
        <w:gridCol w:w="126"/>
        <w:gridCol w:w="644"/>
        <w:gridCol w:w="60"/>
        <w:gridCol w:w="126"/>
        <w:gridCol w:w="644"/>
        <w:gridCol w:w="60"/>
        <w:gridCol w:w="208"/>
        <w:gridCol w:w="808"/>
        <w:gridCol w:w="100"/>
        <w:gridCol w:w="208"/>
        <w:gridCol w:w="808"/>
        <w:gridCol w:w="60"/>
        <w:gridCol w:w="125"/>
        <w:gridCol w:w="635"/>
        <w:gridCol w:w="60"/>
        <w:gridCol w:w="125"/>
        <w:gridCol w:w="650"/>
      </w:tblGrid>
      <w:tr>
        <w:trPr/>
        <w:tc>
          <w:tcPr>
            <w:tcW w:w="14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30" w:type="dxa"/>
            <w:gridSpan w:val="8"/>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Revenues</w:t>
            </w:r>
          </w:p>
        </w:tc>
        <w:tc>
          <w:tcPr>
            <w:tcW w:w="60" w:type="dxa"/>
            <w:tcBorders/>
            <w:vAlign w:val="center"/>
          </w:tcPr>
          <w:p>
            <w:pPr>
              <w:pStyle w:val="TableContents"/>
              <w:bidi w:val="0"/>
              <w:spacing w:before="0" w:after="0"/>
              <w:jc w:val="left"/>
              <w:rPr/>
            </w:pPr>
            <w:r>
              <w:rPr/>
              <w:t> </w:t>
            </w:r>
          </w:p>
        </w:tc>
        <w:tc>
          <w:tcPr>
            <w:tcW w:w="2132" w:type="dxa"/>
            <w:gridSpan w:val="5"/>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Property and Equipment, net</w:t>
            </w:r>
          </w:p>
        </w:tc>
        <w:tc>
          <w:tcPr>
            <w:tcW w:w="60" w:type="dxa"/>
            <w:tcBorders/>
            <w:vAlign w:val="center"/>
          </w:tcPr>
          <w:p>
            <w:pPr>
              <w:pStyle w:val="TableContents"/>
              <w:bidi w:val="0"/>
              <w:spacing w:before="0" w:after="0"/>
              <w:jc w:val="left"/>
              <w:rPr/>
            </w:pPr>
            <w:r>
              <w:rPr/>
              <w:t> </w:t>
            </w:r>
          </w:p>
        </w:tc>
        <w:tc>
          <w:tcPr>
            <w:tcW w:w="1595" w:type="dxa"/>
            <w:gridSpan w:val="5"/>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Assets</w:t>
            </w:r>
          </w:p>
        </w:tc>
      </w:tr>
      <w:tr>
        <w:trPr/>
        <w:tc>
          <w:tcPr>
            <w:tcW w:w="14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430" w:type="dxa"/>
            <w:gridSpan w:val="8"/>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For the year ended December 31,</w:t>
            </w:r>
          </w:p>
        </w:tc>
        <w:tc>
          <w:tcPr>
            <w:tcW w:w="60" w:type="dxa"/>
            <w:tcBorders/>
            <w:vAlign w:val="center"/>
          </w:tcPr>
          <w:p>
            <w:pPr>
              <w:pStyle w:val="TableContents"/>
              <w:bidi w:val="0"/>
              <w:spacing w:before="0" w:after="0"/>
              <w:jc w:val="left"/>
              <w:rPr/>
            </w:pPr>
            <w:r>
              <w:rPr/>
              <w:t> </w:t>
            </w:r>
          </w:p>
        </w:tc>
        <w:tc>
          <w:tcPr>
            <w:tcW w:w="2132"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w:t>
            </w:r>
          </w:p>
        </w:tc>
        <w:tc>
          <w:tcPr>
            <w:tcW w:w="60" w:type="dxa"/>
            <w:tcBorders/>
            <w:vAlign w:val="center"/>
          </w:tcPr>
          <w:p>
            <w:pPr>
              <w:pStyle w:val="TableContents"/>
              <w:bidi w:val="0"/>
              <w:spacing w:before="0" w:after="0"/>
              <w:jc w:val="left"/>
              <w:rPr/>
            </w:pPr>
            <w:r>
              <w:rPr/>
              <w:t> </w:t>
            </w:r>
          </w:p>
        </w:tc>
        <w:tc>
          <w:tcPr>
            <w:tcW w:w="1595"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w:t>
            </w:r>
          </w:p>
        </w:tc>
      </w:tr>
      <w:tr>
        <w:trPr/>
        <w:tc>
          <w:tcPr>
            <w:tcW w:w="140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4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4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4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2023</w:t>
            </w:r>
          </w:p>
        </w:tc>
        <w:tc>
          <w:tcPr>
            <w:tcW w:w="60" w:type="dxa"/>
            <w:tcBorders/>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0" w:type="dxa"/>
            <w:tcBorders>
              <w:top w:val="single" w:sz="8" w:space="0" w:color="000000"/>
            </w:tcBorders>
            <w:tcMar>
              <w:top w:w="28" w:type="dxa"/>
            </w:tcMar>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140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993.5</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977.4</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898.5</w:t>
            </w:r>
          </w:p>
        </w:tc>
        <w:tc>
          <w:tcPr>
            <w:tcW w:w="60" w:type="dxa"/>
            <w:tcBorders/>
            <w:shd w:fill="CCEEFF" w:val="clear"/>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69.6</w:t>
            </w:r>
          </w:p>
        </w:tc>
        <w:tc>
          <w:tcPr>
            <w:tcW w:w="100" w:type="dxa"/>
            <w:tcBorders/>
            <w:shd w:fill="CCEEFF" w:val="clear"/>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1,060.1</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60" w:type="dxa"/>
            <w:tcBorders/>
            <w:shd w:fill="FFFFFF" w:val="clear"/>
            <w:vAlign w:val="center"/>
          </w:tcPr>
          <w:p>
            <w:pPr>
              <w:pStyle w:val="TableContents"/>
              <w:bidi w:val="0"/>
              <w:spacing w:before="0" w:after="0"/>
              <w:jc w:val="left"/>
              <w:rPr/>
            </w:pPr>
            <w:r>
              <w:rPr/>
              <w:t> </w:t>
            </w:r>
          </w:p>
        </w:tc>
        <w:tc>
          <w:tcPr>
            <w:tcW w:w="12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4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756.3</w:t>
            </w:r>
          </w:p>
        </w:tc>
        <w:tc>
          <w:tcPr>
            <w:tcW w:w="60" w:type="dxa"/>
            <w:tcBorders/>
            <w:shd w:fill="FFFFFF" w:val="clear"/>
            <w:vAlign w:val="center"/>
          </w:tcPr>
          <w:p>
            <w:pPr>
              <w:pStyle w:val="TableContents"/>
              <w:bidi w:val="0"/>
              <w:spacing w:before="0" w:after="0"/>
              <w:jc w:val="left"/>
              <w:rPr/>
            </w:pPr>
            <w:r>
              <w:rPr/>
              <w:t> </w:t>
            </w:r>
          </w:p>
        </w:tc>
        <w:tc>
          <w:tcPr>
            <w:tcW w:w="12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4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706.3</w:t>
            </w:r>
          </w:p>
        </w:tc>
        <w:tc>
          <w:tcPr>
            <w:tcW w:w="60" w:type="dxa"/>
            <w:tcBorders/>
            <w:shd w:fill="FFFFFF" w:val="clear"/>
            <w:vAlign w:val="center"/>
          </w:tcPr>
          <w:p>
            <w:pPr>
              <w:pStyle w:val="TableContents"/>
              <w:bidi w:val="0"/>
              <w:spacing w:before="0" w:after="0"/>
              <w:jc w:val="left"/>
              <w:rPr/>
            </w:pPr>
            <w:r>
              <w:rPr/>
              <w:t> </w:t>
            </w:r>
          </w:p>
        </w:tc>
        <w:tc>
          <w:tcPr>
            <w:tcW w:w="126"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4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691.5</w:t>
            </w:r>
          </w:p>
        </w:tc>
        <w:tc>
          <w:tcPr>
            <w:tcW w:w="60" w:type="dxa"/>
            <w:tcBorders/>
            <w:shd w:fill="FFFFFF" w:val="clear"/>
            <w:vAlign w:val="center"/>
          </w:tcPr>
          <w:p>
            <w:pPr>
              <w:pStyle w:val="TableContents"/>
              <w:bidi w:val="0"/>
              <w:spacing w:before="0" w:after="0"/>
              <w:jc w:val="left"/>
              <w:rPr/>
            </w:pPr>
            <w:r>
              <w:rPr/>
              <w:t> </w:t>
            </w:r>
          </w:p>
        </w:tc>
        <w:tc>
          <w:tcPr>
            <w:tcW w:w="20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0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100" w:type="dxa"/>
            <w:tcBorders/>
            <w:shd w:fill="FFFFFF" w:val="clear"/>
            <w:vAlign w:val="center"/>
          </w:tcPr>
          <w:p>
            <w:pPr>
              <w:pStyle w:val="TableContents"/>
              <w:bidi w:val="0"/>
              <w:spacing w:before="0" w:after="0"/>
              <w:jc w:val="left"/>
              <w:rPr/>
            </w:pPr>
            <w:r>
              <w:rPr/>
              <w:t> </w:t>
            </w:r>
          </w:p>
        </w:tc>
        <w:tc>
          <w:tcPr>
            <w:tcW w:w="20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0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3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840.2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5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768.7</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Spain</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290.6</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259.2</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243.4</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30.7</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365.4</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173.3</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164.7</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152.5</w:t>
            </w:r>
          </w:p>
        </w:tc>
        <w:tc>
          <w:tcPr>
            <w:tcW w:w="6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385.9</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214.6</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185.8</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240.1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225.7</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Poland</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139.3</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124.4</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6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45.2</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417.1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381.1</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203.3</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206.4</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170.3</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248.9</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228.8</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209.9</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198.6</w:t>
            </w:r>
          </w:p>
        </w:tc>
        <w:tc>
          <w:tcPr>
            <w:tcW w:w="6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165.7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151.8</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Greece</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261.8</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237.0</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205.8</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45.1</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616.1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563.4</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Malaysia</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86.2</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83.9</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51.9</w:t>
            </w:r>
          </w:p>
        </w:tc>
        <w:tc>
          <w:tcPr>
            <w:tcW w:w="6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294.6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279.9</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Australia</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59.4</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53.5</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93.0</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Zealand</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46.1</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48.7</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51.6</w:t>
            </w:r>
          </w:p>
        </w:tc>
        <w:tc>
          <w:tcPr>
            <w:tcW w:w="6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166.4</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69.7</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73.6</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62.8</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167.7</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65.8</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68.9</w:t>
            </w:r>
          </w:p>
        </w:tc>
        <w:tc>
          <w:tcPr>
            <w:tcW w:w="60" w:type="dxa"/>
            <w:tcBorders/>
            <w:shd w:fill="FFFFFF" w:val="clear"/>
            <w:vAlign w:val="center"/>
          </w:tcPr>
          <w:p>
            <w:pPr>
              <w:pStyle w:val="TableContents"/>
              <w:bidi w:val="0"/>
              <w:spacing w:before="0" w:after="0"/>
              <w:jc w:val="left"/>
              <w:rPr/>
            </w:pPr>
            <w:r>
              <w:rPr/>
              <w:t> </w:t>
            </w:r>
          </w:p>
        </w:tc>
        <w:tc>
          <w:tcPr>
            <w:tcW w:w="126" w:type="dxa"/>
            <w:tcBorders/>
            <w:shd w:fill="FFFFFF" w:val="clear"/>
            <w:vAlign w:val="center"/>
          </w:tcPr>
          <w:p>
            <w:pPr>
              <w:pStyle w:val="TableContents"/>
              <w:bidi w:val="0"/>
              <w:spacing w:before="0" w:after="0"/>
              <w:jc w:val="left"/>
              <w:rPr/>
            </w:pPr>
            <w:r>
              <w:rPr/>
              <w:t> </w:t>
            </w:r>
          </w:p>
        </w:tc>
        <w:tc>
          <w:tcPr>
            <w:tcW w:w="6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70.1</w:t>
            </w:r>
          </w:p>
        </w:tc>
        <w:tc>
          <w:tcPr>
            <w:tcW w:w="6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49.3</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50.6</w:t>
            </w:r>
          </w:p>
        </w:tc>
        <w:tc>
          <w:tcPr>
            <w:tcW w:w="60" w:type="dxa"/>
            <w:tcBorders/>
            <w:shd w:fill="CCEEFF" w:val="clear"/>
            <w:vAlign w:val="center"/>
          </w:tcPr>
          <w:p>
            <w:pPr>
              <w:pStyle w:val="TableContents"/>
              <w:bidi w:val="0"/>
              <w:spacing w:before="0" w:after="0"/>
              <w:jc w:val="left"/>
              <w:rPr/>
            </w:pPr>
            <w:r>
              <w:rPr/>
              <w:t> </w:t>
            </w:r>
          </w:p>
        </w:tc>
        <w:tc>
          <w:tcPr>
            <w:tcW w:w="126"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55.2</w:t>
            </w:r>
          </w:p>
        </w:tc>
        <w:tc>
          <w:tcPr>
            <w:tcW w:w="6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100" w:type="dxa"/>
            <w:tcBorders/>
            <w:shd w:fill="CCEEFF" w:val="clear"/>
            <w:vAlign w:val="center"/>
          </w:tcPr>
          <w:p>
            <w:pPr>
              <w:pStyle w:val="TableContents"/>
              <w:bidi w:val="0"/>
              <w:spacing w:before="0" w:after="0"/>
              <w:jc w:val="left"/>
              <w:rPr/>
            </w:pPr>
            <w:r>
              <w:rPr/>
              <w:t> </w:t>
            </w:r>
          </w:p>
        </w:tc>
        <w:tc>
          <w:tcPr>
            <w:tcW w:w="208"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26.9</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606.2</w:t>
            </w:r>
          </w:p>
        </w:tc>
        <w:tc>
          <w:tcPr>
            <w:tcW w:w="60" w:type="dxa"/>
            <w:tcBorders/>
            <w:shd w:fill="FFFFFF" w:val="clear"/>
            <w:vAlign w:val="center"/>
          </w:tcPr>
          <w:p>
            <w:pPr>
              <w:pStyle w:val="TableContents"/>
              <w:bidi w:val="0"/>
              <w:spacing w:before="0" w:after="0"/>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523.0</w:t>
            </w:r>
          </w:p>
        </w:tc>
        <w:tc>
          <w:tcPr>
            <w:tcW w:w="60" w:type="dxa"/>
            <w:tcBorders/>
            <w:shd w:fill="FFFFFF" w:val="clear"/>
            <w:vAlign w:val="center"/>
          </w:tcPr>
          <w:p>
            <w:pPr>
              <w:pStyle w:val="TableContents"/>
              <w:bidi w:val="0"/>
              <w:spacing w:before="0" w:after="0"/>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481.6</w:t>
            </w:r>
          </w:p>
        </w:tc>
        <w:tc>
          <w:tcPr>
            <w:tcW w:w="60" w:type="dxa"/>
            <w:tcBorders/>
            <w:shd w:fill="FFFFFF" w:val="clear"/>
            <w:vAlign w:val="center"/>
          </w:tcPr>
          <w:p>
            <w:pPr>
              <w:pStyle w:val="TableContents"/>
              <w:bidi w:val="0"/>
              <w:spacing w:before="0" w:after="0"/>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89.5</w:t>
            </w:r>
          </w:p>
        </w:tc>
        <w:tc>
          <w:tcPr>
            <w:tcW w:w="100" w:type="dxa"/>
            <w:tcBorders/>
            <w:shd w:fill="FFFFFF" w:val="clear"/>
            <w:vAlign w:val="center"/>
          </w:tcPr>
          <w:p>
            <w:pPr>
              <w:pStyle w:val="TableContents"/>
              <w:bidi w:val="0"/>
              <w:spacing w:before="0" w:after="0"/>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0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1,014.5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852.0</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foreign</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3,250.7</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3,012.4</w:t>
            </w:r>
          </w:p>
        </w:tc>
        <w:tc>
          <w:tcPr>
            <w:tcW w:w="60" w:type="dxa"/>
            <w:tcBorders/>
            <w:shd w:fill="CCEEFF" w:val="clear"/>
            <w:vAlign w:val="center"/>
          </w:tcPr>
          <w:p>
            <w:pPr>
              <w:pStyle w:val="TableContents"/>
              <w:bidi w:val="0"/>
              <w:spacing w:before="0" w:after="0"/>
              <w:jc w:val="left"/>
              <w:rPr/>
            </w:pPr>
            <w:r>
              <w:rPr/>
              <w:t> </w:t>
            </w:r>
          </w:p>
        </w:tc>
        <w:tc>
          <w:tcPr>
            <w:tcW w:w="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2,789.5</w:t>
            </w:r>
          </w:p>
        </w:tc>
        <w:tc>
          <w:tcPr>
            <w:tcW w:w="60" w:type="dxa"/>
            <w:tcBorders/>
            <w:shd w:fill="CCEEFF" w:val="clear"/>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8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305.7</w:t>
            </w:r>
          </w:p>
        </w:tc>
        <w:tc>
          <w:tcPr>
            <w:tcW w:w="100" w:type="dxa"/>
            <w:tcBorders/>
            <w:shd w:fill="CCEEFF" w:val="clear"/>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8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5,016.3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4,774.4</w:t>
            </w:r>
          </w:p>
        </w:tc>
      </w:tr>
      <w:tr>
        <w:trPr/>
        <w:tc>
          <w:tcPr>
            <w:tcW w:w="14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4,244.2</w:t>
            </w:r>
          </w:p>
        </w:tc>
        <w:tc>
          <w:tcPr>
            <w:tcW w:w="60" w:type="dxa"/>
            <w:tcBorders/>
            <w:shd w:fill="FFFFFF" w:val="clear"/>
            <w:vAlign w:val="center"/>
          </w:tcPr>
          <w:p>
            <w:pPr>
              <w:pStyle w:val="TableContents"/>
              <w:bidi w:val="0"/>
              <w:spacing w:before="0" w:after="0"/>
              <w:jc w:val="left"/>
              <w:rPr/>
            </w:pPr>
            <w:r>
              <w:rPr/>
              <w:t> </w:t>
            </w:r>
          </w:p>
        </w:tc>
        <w:tc>
          <w:tcPr>
            <w:tcW w:w="12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3,989.8</w:t>
            </w:r>
          </w:p>
        </w:tc>
        <w:tc>
          <w:tcPr>
            <w:tcW w:w="60" w:type="dxa"/>
            <w:tcBorders/>
            <w:shd w:fill="FFFFFF" w:val="clear"/>
            <w:vAlign w:val="center"/>
          </w:tcPr>
          <w:p>
            <w:pPr>
              <w:pStyle w:val="TableContents"/>
              <w:bidi w:val="0"/>
              <w:spacing w:before="0" w:after="0"/>
              <w:jc w:val="left"/>
              <w:rPr/>
            </w:pPr>
            <w:r>
              <w:rPr/>
              <w:t> </w:t>
            </w:r>
          </w:p>
        </w:tc>
        <w:tc>
          <w:tcPr>
            <w:tcW w:w="12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3,688.0</w:t>
            </w:r>
          </w:p>
        </w:tc>
        <w:tc>
          <w:tcPr>
            <w:tcW w:w="60" w:type="dxa"/>
            <w:tcBorders/>
            <w:shd w:fill="FFFFFF" w:val="clear"/>
            <w:vAlign w:val="center"/>
          </w:tcPr>
          <w:p>
            <w:pPr>
              <w:pStyle w:val="TableContents"/>
              <w:bidi w:val="0"/>
              <w:spacing w:before="0" w:after="0"/>
              <w:jc w:val="left"/>
              <w:rPr/>
            </w:pPr>
            <w:r>
              <w:rPr/>
              <w:t> </w:t>
            </w:r>
          </w:p>
        </w:tc>
        <w:tc>
          <w:tcPr>
            <w:tcW w:w="2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375.3</w:t>
            </w:r>
          </w:p>
        </w:tc>
        <w:tc>
          <w:tcPr>
            <w:tcW w:w="100" w:type="dxa"/>
            <w:tcBorders/>
            <w:shd w:fill="FFFFFF" w:val="clear"/>
            <w:vAlign w:val="center"/>
          </w:tcPr>
          <w:p>
            <w:pPr>
              <w:pStyle w:val="TableContents"/>
              <w:bidi w:val="0"/>
              <w:spacing w:before="0" w:after="0"/>
              <w:jc w:val="left"/>
              <w:rPr/>
            </w:pPr>
            <w:r>
              <w:rPr/>
              <w:t> </w:t>
            </w:r>
          </w:p>
        </w:tc>
        <w:tc>
          <w:tcPr>
            <w:tcW w:w="2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329.7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6,488.7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lineRule="atLeast" w:line="240" w:before="0" w:after="0"/>
        <w:jc w:val="left"/>
        <w:rPr/>
      </w:pPr>
      <w:r>
        <w:rPr/>
        <w:t> </w:t>
      </w:r>
    </w:p>
    <w:p>
      <w:pPr>
        <w:pStyle w:val="TextBody"/>
        <w:bidi w:val="0"/>
        <w:spacing w:before="0" w:after="0"/>
        <w:jc w:val="left"/>
        <w:rPr/>
      </w:pPr>
      <w:r>
        <w:rPr/>
        <w:t> </w:t>
      </w:r>
    </w:p>
    <w:p>
      <w:pPr>
        <w:pStyle w:val="TextBody"/>
        <w:bidi w:val="0"/>
        <w:spacing w:lineRule="atLeast" w:line="240" w:before="0" w:after="0"/>
        <w:jc w:val="both"/>
        <w:rPr/>
      </w:pPr>
      <w:hyperlink w:anchor="TOC">
        <w:bookmarkStart w:id="57" w:name="bm_05ceff27a96c8f71"/>
        <w:bookmarkEnd w:id="57"/>
        <w:r>
          <w:rPr>
            <w:rStyle w:val="InternetLink"/>
            <w:rFonts w:ascii="Times New Roman" w:hAnsi="Times New Roman"/>
            <w:b/>
            <w:strike w:val="false"/>
            <w:dstrike w:val="false"/>
            <w:color w:val="000000"/>
            <w:sz w:val="20"/>
            <w:u w:val="none"/>
            <w:effect w:val="none"/>
          </w:rPr>
          <w:t>(19) Financial Instruments and Fair Value Measurements</w:t>
        </w:r>
      </w:hyperlink>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Concentrations of credit risk</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is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16,</w:t>
      </w:r>
      <w:r>
        <w:rPr/>
        <w:t> </w:t>
      </w:r>
      <w:r>
        <w:rPr>
          <w:rFonts w:ascii="Times New Roman" w:hAnsi="Times New Roman"/>
          <w:sz w:val="20"/>
        </w:rPr>
        <w:t>Valuation and Qualifying Accounts, to the Consolidated Financial Statements for further disclosure.</w:t>
      </w:r>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invests excess cash not required for use in operations primarily in high credit quality, short-term duration securities that the Company believes bear minimal risk.</w:t>
      </w:r>
      <w:r>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Fair value measurements</w:t>
      </w:r>
    </w:p>
    <w:p>
      <w:pPr>
        <w:pStyle w:val="TextBody"/>
        <w:bidi w:val="0"/>
        <w:spacing w:lineRule="atLeast" w:line="240" w:before="100" w:after="100"/>
        <w:jc w:val="both"/>
        <w:rPr>
          <w:rFonts w:ascii="Times New Roman" w:hAnsi="Times New Roman"/>
          <w:sz w:val="20"/>
        </w:rPr>
      </w:pPr>
      <w:r>
        <w:rPr>
          <w:rFonts w:ascii="Times New Roman" w:hAnsi="Times New Roman"/>
          <w:sz w:val="20"/>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lineRule="auto" w:line="288" w:before="200" w:after="0"/>
        <w:ind w:left="720" w:right="0" w:hanging="192"/>
        <w:jc w:val="both"/>
        <w:rPr/>
      </w:pPr>
      <w:r>
        <w:rPr/>
        <w:t></w:t>
      </w:r>
      <w:r>
        <w:rPr>
          <w:caps w:val="false"/>
          <w:smallCaps w:val="false"/>
        </w:rPr>
        <w:t xml:space="preserve">   </w:t>
      </w:r>
      <w:r>
        <w:rPr>
          <w:rFonts w:ascii="Times New Roman" w:hAnsi="Times New Roman"/>
          <w:sz w:val="20"/>
        </w:rPr>
        <w:t>Level</w:t>
      </w:r>
      <w:r>
        <w:rPr>
          <w:sz w:val="20"/>
        </w:rPr>
        <w:t> </w:t>
      </w:r>
      <w:r>
        <w:rPr>
          <w:rFonts w:ascii="Times New Roman" w:hAnsi="Times New Roman"/>
          <w:sz w:val="20"/>
        </w:rPr>
        <w:t>1</w:t>
      </w:r>
      <w:r>
        <w:rPr>
          <w:sz w:val="20"/>
        </w:rPr>
        <w:t xml:space="preserve"> – </w:t>
      </w:r>
      <w:r>
        <w:rPr>
          <w:rFonts w:ascii="Times New Roman" w:hAnsi="Times New Roman"/>
          <w:sz w:val="20"/>
        </w:rPr>
        <w:t>Unadjusted quoted prices in active markets for identical assets or liabilities.</w:t>
      </w:r>
    </w:p>
    <w:p>
      <w:pPr>
        <w:pStyle w:val="TextBody"/>
        <w:bidi w:val="0"/>
        <w:spacing w:lineRule="auto" w:line="288" w:before="0" w:after="0"/>
        <w:ind w:left="720" w:right="0" w:hanging="192"/>
        <w:jc w:val="both"/>
        <w:rPr/>
      </w:pPr>
      <w:r>
        <w:rPr/>
        <w:t></w:t>
      </w:r>
      <w:r>
        <w:rPr>
          <w:caps w:val="false"/>
          <w:smallCaps w:val="false"/>
        </w:rPr>
        <w:t xml:space="preserve">   </w:t>
      </w:r>
      <w:r>
        <w:rPr>
          <w:rFonts w:ascii="Times New Roman" w:hAnsi="Times New Roman"/>
          <w:sz w:val="20"/>
        </w:rPr>
        <w:t>Level</w:t>
      </w:r>
      <w:r>
        <w:rPr>
          <w:sz w:val="20"/>
        </w:rPr>
        <w:t> </w:t>
      </w:r>
      <w:r>
        <w:rPr>
          <w:rFonts w:ascii="Times New Roman" w:hAnsi="Times New Roman"/>
          <w:sz w:val="20"/>
        </w:rPr>
        <w:t>2</w:t>
      </w:r>
      <w:r>
        <w:rPr>
          <w:sz w:val="20"/>
        </w:rPr>
        <w:t xml:space="preserve"> – </w:t>
      </w:r>
      <w:r>
        <w:rPr>
          <w:rFonts w:ascii="Times New Roman" w:hAnsi="Times New Roman"/>
          <w:sz w:val="20"/>
        </w:rPr>
        <w:t>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extBody"/>
        <w:bidi w:val="0"/>
        <w:spacing w:lineRule="auto" w:line="288" w:before="0" w:after="200"/>
        <w:ind w:left="720" w:right="0" w:hanging="192"/>
        <w:jc w:val="both"/>
        <w:rPr/>
      </w:pPr>
      <w:r>
        <w:rPr/>
        <w:t></w:t>
      </w:r>
      <w:r>
        <w:rPr>
          <w:caps w:val="false"/>
          <w:smallCaps w:val="false"/>
        </w:rPr>
        <w:t xml:space="preserve">   </w:t>
      </w:r>
      <w:r>
        <w:rPr>
          <w:rFonts w:ascii="Times New Roman" w:hAnsi="Times New Roman"/>
          <w:sz w:val="20"/>
        </w:rPr>
        <w:t>Level</w:t>
      </w:r>
      <w:r>
        <w:rPr>
          <w:sz w:val="20"/>
        </w:rPr>
        <w:t> </w:t>
      </w:r>
      <w:r>
        <w:rPr>
          <w:rFonts w:ascii="Times New Roman" w:hAnsi="Times New Roman"/>
          <w:sz w:val="20"/>
        </w:rPr>
        <w:t>3</w:t>
      </w:r>
      <w:r>
        <w:rPr>
          <w:sz w:val="20"/>
        </w:rPr>
        <w:t xml:space="preserve"> – </w:t>
      </w:r>
      <w:r>
        <w:rPr>
          <w:rFonts w:ascii="Times New Roman" w:hAnsi="Times New Roman"/>
          <w:sz w:val="20"/>
        </w:rPr>
        <w:t>Unobservable inputs in which little or no market activity exists, therefore requiring an entity to develop its own assumptions about the inputs that market participants would use in pricing.</w:t>
      </w:r>
    </w:p>
    <w:p>
      <w:pPr>
        <w:pStyle w:val="TextBody"/>
        <w:bidi w:val="0"/>
        <w:spacing w:lineRule="atLeast" w:line="240" w:before="0" w:after="100"/>
        <w:jc w:val="both"/>
        <w:rPr/>
      </w:pPr>
      <w:r>
        <w:rPr>
          <w:rFonts w:ascii="Times New Roman" w:hAnsi="Times New Roman"/>
          <w:sz w:val="20"/>
        </w:rPr>
        <w:t>The following table details financial assets measured and recorded at fair value on a recurring basis:</w:t>
      </w:r>
      <w:r>
        <w:rPr/>
        <w:t> </w:t>
      </w:r>
    </w:p>
    <w:tbl>
      <w:tblPr>
        <w:tblW w:w="7973" w:type="dxa"/>
        <w:jc w:val="left"/>
        <w:tblInd w:w="0" w:type="dxa"/>
        <w:tblLayout w:type="fixed"/>
        <w:tblCellMar>
          <w:top w:w="0" w:type="dxa"/>
          <w:left w:w="0" w:type="dxa"/>
          <w:bottom w:w="0" w:type="dxa"/>
          <w:right w:w="0" w:type="dxa"/>
        </w:tblCellMar>
      </w:tblPr>
      <w:tblGrid>
        <w:gridCol w:w="3020"/>
        <w:gridCol w:w="2360"/>
        <w:gridCol w:w="60"/>
        <w:gridCol w:w="134"/>
        <w:gridCol w:w="410"/>
        <w:gridCol w:w="60"/>
        <w:gridCol w:w="125"/>
        <w:gridCol w:w="500"/>
        <w:gridCol w:w="60"/>
        <w:gridCol w:w="134"/>
        <w:gridCol w:w="410"/>
        <w:gridCol w:w="60"/>
        <w:gridCol w:w="125"/>
        <w:gridCol w:w="515"/>
      </w:tblGrid>
      <w:tr>
        <w:trPr/>
        <w:tc>
          <w:tcPr>
            <w:tcW w:w="302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533" w:type="dxa"/>
            <w:gridSpan w:val="11"/>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2025</w:t>
            </w:r>
          </w:p>
        </w:tc>
      </w:tr>
      <w:tr>
        <w:trPr/>
        <w:tc>
          <w:tcPr>
            <w:tcW w:w="30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23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54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62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544" w:type="dxa"/>
            <w:gridSpan w:val="2"/>
            <w:tcBorders>
              <w:top w:val="single" w:sz="8"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64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6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4" w:type="dxa"/>
            <w:tcBorders>
              <w:top w:val="single" w:sz="8" w:space="0" w:color="000000"/>
            </w:tcBorders>
            <w:tcMar>
              <w:top w:w="28" w:type="dxa"/>
            </w:tcMar>
            <w:vAlign w:val="center"/>
          </w:tcPr>
          <w:p>
            <w:pPr>
              <w:pStyle w:val="TableContents"/>
              <w:bidi w:val="0"/>
              <w:spacing w:before="0" w:after="0"/>
              <w:jc w:val="left"/>
              <w:rPr/>
            </w:pPr>
            <w:r>
              <w:rPr/>
              <w:t> </w:t>
            </w:r>
          </w:p>
        </w:tc>
        <w:tc>
          <w:tcPr>
            <w:tcW w:w="41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0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4" w:type="dxa"/>
            <w:tcBorders>
              <w:top w:val="single" w:sz="8" w:space="0" w:color="000000"/>
            </w:tcBorders>
            <w:tcMar>
              <w:top w:w="28" w:type="dxa"/>
            </w:tcMar>
            <w:vAlign w:val="center"/>
          </w:tcPr>
          <w:p>
            <w:pPr>
              <w:pStyle w:val="TableContents"/>
              <w:bidi w:val="0"/>
              <w:spacing w:before="0" w:after="0"/>
              <w:jc w:val="left"/>
              <w:rPr/>
            </w:pPr>
            <w:r>
              <w:rPr/>
              <w:t> </w:t>
            </w:r>
          </w:p>
        </w:tc>
        <w:tc>
          <w:tcPr>
            <w:tcW w:w="41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2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23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88.0</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3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0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2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w:t>
            </w:r>
          </w:p>
        </w:tc>
      </w:tr>
    </w:tbl>
    <w:p>
      <w:pPr>
        <w:pStyle w:val="TextBody"/>
        <w:bidi w:val="0"/>
        <w:spacing w:before="0" w:after="0"/>
        <w:jc w:val="left"/>
        <w:rPr/>
      </w:pPr>
      <w:r>
        <w:rPr/>
        <w:t> </w:t>
      </w:r>
    </w:p>
    <w:tbl>
      <w:tblPr>
        <w:tblW w:w="7973" w:type="dxa"/>
        <w:jc w:val="left"/>
        <w:tblInd w:w="0" w:type="dxa"/>
        <w:tblLayout w:type="fixed"/>
        <w:tblCellMar>
          <w:top w:w="0" w:type="dxa"/>
          <w:left w:w="0" w:type="dxa"/>
          <w:bottom w:w="0" w:type="dxa"/>
          <w:right w:w="0" w:type="dxa"/>
        </w:tblCellMar>
      </w:tblPr>
      <w:tblGrid>
        <w:gridCol w:w="3020"/>
        <w:gridCol w:w="2360"/>
        <w:gridCol w:w="60"/>
        <w:gridCol w:w="134"/>
        <w:gridCol w:w="410"/>
        <w:gridCol w:w="60"/>
        <w:gridCol w:w="125"/>
        <w:gridCol w:w="500"/>
        <w:gridCol w:w="60"/>
        <w:gridCol w:w="134"/>
        <w:gridCol w:w="410"/>
        <w:gridCol w:w="60"/>
        <w:gridCol w:w="125"/>
        <w:gridCol w:w="515"/>
      </w:tblGrid>
      <w:tr>
        <w:trPr/>
        <w:tc>
          <w:tcPr>
            <w:tcW w:w="302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533" w:type="dxa"/>
            <w:gridSpan w:val="11"/>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December 31, 2024</w:t>
            </w:r>
          </w:p>
        </w:tc>
      </w:tr>
      <w:tr>
        <w:trPr/>
        <w:tc>
          <w:tcPr>
            <w:tcW w:w="30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23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544" w:type="dxa"/>
            <w:gridSpan w:val="2"/>
            <w:tcBorders>
              <w:top w:val="single" w:sz="8"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625" w:type="dxa"/>
            <w:gridSpan w:val="2"/>
            <w:tcBorders>
              <w:top w:val="single" w:sz="8"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544" w:type="dxa"/>
            <w:gridSpan w:val="2"/>
            <w:tcBorders>
              <w:top w:val="single" w:sz="8"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640"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36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4" w:type="dxa"/>
            <w:tcBorders>
              <w:top w:val="single" w:sz="8" w:space="0" w:color="000000"/>
            </w:tcBorders>
            <w:tcMar>
              <w:top w:w="28" w:type="dxa"/>
            </w:tcMar>
            <w:vAlign w:val="center"/>
          </w:tcPr>
          <w:p>
            <w:pPr>
              <w:pStyle w:val="TableContents"/>
              <w:bidi w:val="0"/>
              <w:spacing w:before="0" w:after="0"/>
              <w:jc w:val="left"/>
              <w:rPr/>
            </w:pPr>
            <w:r>
              <w:rPr/>
              <w:t> </w:t>
            </w:r>
          </w:p>
        </w:tc>
        <w:tc>
          <w:tcPr>
            <w:tcW w:w="41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0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4" w:type="dxa"/>
            <w:tcBorders>
              <w:top w:val="single" w:sz="8" w:space="0" w:color="000000"/>
            </w:tcBorders>
            <w:tcMar>
              <w:top w:w="28" w:type="dxa"/>
            </w:tcMar>
            <w:vAlign w:val="center"/>
          </w:tcPr>
          <w:p>
            <w:pPr>
              <w:pStyle w:val="TableContents"/>
              <w:bidi w:val="0"/>
              <w:spacing w:before="0" w:after="0"/>
              <w:jc w:val="left"/>
              <w:rPr/>
            </w:pPr>
            <w:r>
              <w:rPr/>
              <w:t> </w:t>
            </w:r>
          </w:p>
        </w:tc>
        <w:tc>
          <w:tcPr>
            <w:tcW w:w="41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2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23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23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0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34" w:type="dxa"/>
            <w:tcBorders/>
            <w:shd w:fill="FFFFFF" w:val="clear"/>
            <w:vAlign w:val="center"/>
          </w:tcPr>
          <w:p>
            <w:pPr>
              <w:pStyle w:val="TableContents"/>
              <w:bidi w:val="0"/>
              <w:spacing w:before="0" w:after="0"/>
              <w:jc w:val="left"/>
              <w:rPr/>
            </w:pPr>
            <w:r>
              <w:rPr/>
              <w:t> </w:t>
            </w:r>
          </w:p>
        </w:tc>
        <w:tc>
          <w:tcPr>
            <w:tcW w:w="41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23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c>
          <w:tcPr>
            <w:tcW w:w="60" w:type="dxa"/>
            <w:tcBorders/>
            <w:shd w:fill="CCEEFF" w:val="clear"/>
            <w:vAlign w:val="center"/>
          </w:tcPr>
          <w:p>
            <w:pPr>
              <w:pStyle w:val="TableContents"/>
              <w:bidi w:val="0"/>
              <w:spacing w:before="0" w:after="0"/>
              <w:jc w:val="left"/>
              <w:rPr/>
            </w:pPr>
            <w:r>
              <w:rPr/>
              <w:t> </w:t>
            </w:r>
          </w:p>
        </w:tc>
        <w:tc>
          <w:tcPr>
            <w:tcW w:w="1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r>
    </w:tbl>
    <w:p>
      <w:pPr>
        <w:pStyle w:val="TextBody"/>
        <w:bidi w:val="0"/>
        <w:spacing w:lineRule="atLeast" w:line="240" w:before="200" w:after="0"/>
        <w:jc w:val="both"/>
        <w:rPr/>
      </w:pPr>
      <w:r>
        <w:rPr>
          <w:rFonts w:ascii="Times New Roman" w:hAnsi="Times New Roman"/>
          <w:sz w:val="20"/>
        </w:rPr>
        <w:t>The carrying amounts of cash and cash equivalents, trade accounts receivable, trade accounts payable and short-term debt obligations are approximate fair values due to their short maturities.</w:t>
      </w:r>
      <w:r>
        <w:rPr/>
        <w:t> </w:t>
      </w:r>
      <w:r>
        <w:rPr>
          <w:rFonts w:ascii="Times New Roman" w:hAnsi="Times New Roman"/>
          <w:sz w:val="20"/>
        </w:rPr>
        <w:t>The carrying values of the Company's revolving credit agreements approximate fair values because interest is based on SOFR that resets at various</w:t>
      </w:r>
      <w:r>
        <w:rPr/>
        <w:t> </w:t>
      </w:r>
      <w:r>
        <w:rPr>
          <w:rFonts w:ascii="Times New Roman" w:hAnsi="Times New Roman"/>
          <w:sz w:val="20"/>
        </w:rPr>
        <w:t>intervals of less than one year. The Company estimates the fair value of the Convertible Notes and Senior Notes using quoted prices in inactive markets for identical liabilities (Level 2). As of</w:t>
      </w:r>
      <w:r>
        <w:rPr/>
        <w:t> </w:t>
      </w:r>
      <w:r>
        <w:rPr>
          <w:rFonts w:ascii="Times New Roman" w:hAnsi="Times New Roman"/>
          <w:sz w:val="20"/>
        </w:rPr>
        <w:t>December 31, 2025, the fair values of the 2030 Convertible Notes, 2049 Convertible Notes and Senior Notes were $932.2</w:t>
      </w:r>
      <w:r>
        <w:rPr/>
        <w:t xml:space="preserve"> </w:t>
      </w:r>
      <w:r>
        <w:rPr>
          <w:rFonts w:ascii="Times New Roman" w:hAnsi="Times New Roman"/>
          <w:sz w:val="20"/>
        </w:rPr>
        <w:t>million, $31.1</w:t>
      </w:r>
      <w:r>
        <w:rPr/>
        <w:t xml:space="preserve"> </w:t>
      </w:r>
      <w:r>
        <w:rPr>
          <w:rFonts w:ascii="Times New Roman" w:hAnsi="Times New Roman"/>
          <w:sz w:val="20"/>
        </w:rPr>
        <w:t>million and $700.9</w:t>
      </w:r>
      <w:r>
        <w:rPr/>
        <w:t> </w:t>
      </w:r>
      <w:r>
        <w:rPr>
          <w:rFonts w:ascii="Times New Roman" w:hAnsi="Times New Roman"/>
          <w:sz w:val="20"/>
        </w:rPr>
        <w:t>million, respectively, with carrying values of $1,000.0</w:t>
      </w:r>
      <w:r>
        <w:rPr/>
        <w:t xml:space="preserve"> </w:t>
      </w:r>
      <w:r>
        <w:rPr>
          <w:rFonts w:ascii="Times New Roman" w:hAnsi="Times New Roman"/>
          <w:sz w:val="20"/>
        </w:rPr>
        <w:t>million, $33.2</w:t>
      </w:r>
      <w:r>
        <w:rPr/>
        <w:t xml:space="preserve"> </w:t>
      </w:r>
      <w:r>
        <w:rPr>
          <w:rFonts w:ascii="Times New Roman" w:hAnsi="Times New Roman"/>
          <w:sz w:val="20"/>
        </w:rPr>
        <w:t>million and $704.6</w:t>
      </w:r>
      <w:r>
        <w:rPr/>
        <w:t xml:space="preserve"> </w:t>
      </w:r>
      <w:r>
        <w:rPr>
          <w:rFonts w:ascii="Times New Roman" w:hAnsi="Times New Roman"/>
          <w:sz w:val="20"/>
        </w:rPr>
        <w:t>million, respectively.</w:t>
      </w:r>
    </w:p>
    <w:p>
      <w:pPr>
        <w:pStyle w:val="TextBody"/>
        <w:bidi w:val="0"/>
        <w:spacing w:lineRule="auto" w:line="288" w:before="0" w:after="0"/>
        <w:jc w:val="both"/>
        <w:rPr/>
      </w:pPr>
      <w:r>
        <w:rPr/>
        <w:t> </w:t>
      </w:r>
    </w:p>
    <w:p>
      <w:pPr>
        <w:pStyle w:val="TextBody"/>
        <w:bidi w:val="0"/>
        <w:spacing w:lineRule="auto" w:line="288" w:before="0" w:after="0"/>
        <w:jc w:val="both"/>
        <w:rPr/>
      </w:pPr>
      <w:hyperlink w:anchor="TOC">
        <w:bookmarkStart w:id="58" w:name="bm_728280f05aa396da"/>
        <w:bookmarkEnd w:id="58"/>
        <w:r>
          <w:rPr>
            <w:rStyle w:val="InternetLink"/>
            <w:rFonts w:ascii="Times New Roman" w:hAnsi="Times New Roman"/>
            <w:b/>
            <w:strike w:val="false"/>
            <w:dstrike w:val="false"/>
            <w:color w:val="000000"/>
            <w:sz w:val="20"/>
            <w:u w:val="none"/>
            <w:effect w:val="none"/>
          </w:rPr>
          <w:t>(20) Litigation and Contingencies</w:t>
        </w:r>
      </w:hyperlink>
    </w:p>
    <w:p>
      <w:pPr>
        <w:pStyle w:val="TextBody"/>
        <w:bidi w:val="0"/>
        <w:spacing w:lineRule="auto" w:line="288" w:before="0" w:after="0"/>
        <w:jc w:val="both"/>
        <w:rPr/>
      </w:pPr>
      <w:r>
        <w:rPr/>
        <w:t> </w:t>
      </w:r>
    </w:p>
    <w:p>
      <w:pPr>
        <w:pStyle w:val="TextBody"/>
        <w:shd w:fill="FFFFFF" w:val="clear"/>
        <w:bidi w:val="0"/>
        <w:spacing w:lineRule="atLeast" w:line="240" w:before="0" w:after="0"/>
        <w:jc w:val="both"/>
        <w:rPr/>
      </w:pPr>
      <w:r>
        <w:rPr>
          <w:rFonts w:ascii="Times New Roman" w:hAnsi="Times New Roman"/>
          <w:sz w:val="20"/>
        </w:rPr>
        <w:t>From time to time, the Company is a party to legal or regulatory proceedings arising in the ordinary course of the Company's business. In accordance with U.S. GAAP, the Company</w:t>
      </w:r>
      <w:r>
        <w:rPr/>
        <w:t> </w:t>
      </w:r>
      <w:r>
        <w:rPr>
          <w:rFonts w:ascii="Times New Roman" w:hAnsi="Times New Roman"/>
          <w:sz w:val="20"/>
        </w:rPr>
        <w:t>records a liability when it is both probable that a liability has been incurred and the amount of the loss can be reasonably estimated. Currently, there are no legal proceedings or regulatory findings which are both probable that a liability has been incurred and</w:t>
      </w:r>
      <w:r>
        <w:rPr/>
        <w:t> </w:t>
      </w:r>
      <w:r>
        <w:rPr>
          <w:rFonts w:ascii="Times New Roman" w:hAnsi="Times New Roman"/>
          <w:sz w:val="20"/>
        </w:rPr>
        <w:t>can be reasonably</w:t>
      </w:r>
      <w:r>
        <w:rPr/>
        <w:t> </w:t>
      </w:r>
      <w:r>
        <w:rPr>
          <w:rFonts w:ascii="Times New Roman" w:hAnsi="Times New Roman"/>
          <w:sz w:val="20"/>
        </w:rPr>
        <w:t>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w:t>
      </w:r>
      <w:r>
        <w:rPr/>
        <w:t> </w:t>
      </w:r>
      <w:r>
        <w:rPr>
          <w:rFonts w:ascii="Times New Roman" w:hAnsi="Times New Roman"/>
          <w:sz w:val="20"/>
        </w:rPr>
        <w:t>and events pertaining to a particular case.</w:t>
      </w:r>
    </w:p>
    <w:p>
      <w:pPr>
        <w:pStyle w:val="TextBody"/>
        <w:bidi w:val="0"/>
        <w:spacing w:lineRule="atLeast" w:line="240" w:before="200" w:after="0"/>
        <w:jc w:val="both"/>
        <w:rPr/>
      </w:pPr>
      <w:r>
        <w:rPr>
          <w:rFonts w:ascii="Times New Roman" w:hAnsi="Times New Roman"/>
          <w:sz w:val="20"/>
        </w:rPr>
        <w:t>Since July 2024, the Company has received multiple differing judicial decisions at the same tax court addressing withholding taxes on certain agency relationships within the Money Transfer Segment in Italy. The Company intends to appeal or has appealed these decisions to a higher court for ultimate resolution.</w:t>
      </w:r>
      <w:r>
        <w:rPr/>
        <w:t xml:space="preserve">  </w:t>
      </w:r>
      <w:r>
        <w:rPr>
          <w:rFonts w:ascii="Times New Roman" w:hAnsi="Times New Roman"/>
          <w:sz w:val="20"/>
        </w:rPr>
        <w:t>Based on its assessment of the available facts and circumstances, including the differing judicial outcomes and ongoing appeals, management concluded that a loss is reasonably possible, but not probable, as defined under ASC 450, and therefore no</w:t>
      </w:r>
      <w:r>
        <w:rPr/>
        <w:t xml:space="preserve"> </w:t>
      </w:r>
      <w:r>
        <w:rPr>
          <w:rFonts w:ascii="Times New Roman" w:hAnsi="Times New Roman"/>
          <w:sz w:val="20"/>
        </w:rPr>
        <w:t>liability has been recorded as of the reporting date. The principal amount of the potential withholding tax exposure for all open periods could be approximately EUR 19.4</w:t>
      </w:r>
      <w:r>
        <w:rPr/>
        <w:t xml:space="preserve"> </w:t>
      </w:r>
      <w:r>
        <w:rPr>
          <w:rFonts w:ascii="Times New Roman" w:hAnsi="Times New Roman"/>
          <w:sz w:val="20"/>
        </w:rPr>
        <w:t>million, exclusive of potential interest and penalties, if any.</w:t>
      </w:r>
    </w:p>
    <w:p>
      <w:pPr>
        <w:pStyle w:val="TextBody"/>
        <w:bidi w:val="0"/>
        <w:spacing w:lineRule="atLeast" w:line="240" w:before="200" w:after="0"/>
        <w:jc w:val="both"/>
        <w:rPr/>
      </w:pPr>
      <w:r>
        <w:rPr>
          <w:rFonts w:ascii="Times New Roman" w:hAnsi="Times New Roman"/>
          <w:sz w:val="20"/>
        </w:rPr>
        <w:t>In March 2025, the Company was notified of a fire, resulting in the loss of Malaysian Ringgit</w:t>
      </w:r>
      <w:r>
        <w:rPr/>
        <w:t> </w:t>
      </w:r>
      <w:r>
        <w:rPr>
          <w:rFonts w:ascii="Times New Roman" w:hAnsi="Times New Roman"/>
          <w:sz w:val="20"/>
        </w:rPr>
        <w:t>notes in the custody of a third-party service provider. The third-party service provider had the risk of loss based on the terms of the contractual arrangement. The bank note balance of approximately</w:t>
      </w:r>
      <w:r>
        <w:rPr/>
        <w:t> </w:t>
      </w:r>
      <w:r>
        <w:rPr>
          <w:rFonts w:ascii="Times New Roman" w:hAnsi="Times New Roman"/>
          <w:sz w:val="20"/>
        </w:rPr>
        <w:t>$11.0</w:t>
      </w:r>
      <w:r>
        <w:rPr/>
        <w:t xml:space="preserve"> </w:t>
      </w:r>
      <w:r>
        <w:rPr>
          <w:rFonts w:ascii="Times New Roman" w:hAnsi="Times New Roman"/>
          <w:sz w:val="20"/>
        </w:rPr>
        <w:t>million was moved to other receivables as of</w:t>
      </w:r>
      <w:r>
        <w:rPr/>
        <w:t> </w:t>
      </w:r>
      <w:r>
        <w:rPr>
          <w:rFonts w:ascii="Times New Roman" w:hAnsi="Times New Roman"/>
          <w:sz w:val="20"/>
        </w:rPr>
        <w:t>March 31, 2025. At this time the Company has determined that it is probable the other receivable will be recovered.</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(21) Commitments</w:t>
      </w:r>
      <w:bookmarkStart w:id="59" w:name="bm_3f8382d5eecb0bc8"/>
      <w:bookmarkEnd w:id="59"/>
    </w:p>
    <w:p>
      <w:pPr>
        <w:pStyle w:val="TextBody"/>
        <w:bidi w:val="0"/>
        <w:spacing w:before="0" w:after="0"/>
        <w:jc w:val="left"/>
        <w:rPr/>
      </w:pPr>
      <w:r>
        <w:rPr/>
        <w:t> </w:t>
      </w:r>
    </w:p>
    <w:p>
      <w:pPr>
        <w:pStyle w:val="TextBody"/>
        <w:bidi w:val="0"/>
        <w:spacing w:lineRule="atLeast" w:line="240" w:before="0" w:after="200"/>
        <w:jc w:val="both"/>
        <w:rPr/>
      </w:pPr>
      <w:r>
        <w:rPr>
          <w:rFonts w:ascii="Times New Roman" w:hAnsi="Times New Roman"/>
          <w:sz w:val="20"/>
        </w:rPr>
        <w:t>As of December 31, 2025, the Company had $129.0</w:t>
      </w:r>
      <w:r>
        <w:rPr/>
        <w:t xml:space="preserve"> </w:t>
      </w:r>
      <w:r>
        <w:rPr>
          <w:rFonts w:ascii="Times New Roman" w:hAnsi="Times New Roman"/>
          <w:sz w:val="20"/>
        </w:rPr>
        <w:t>million of stand-by letters of credit/bank guarantees issued on its behalf, of which $1.7</w:t>
      </w:r>
      <w:r>
        <w:rPr/>
        <w:t xml:space="preserve"> </w:t>
      </w:r>
      <w:r>
        <w:rPr>
          <w:rFonts w:ascii="Times New Roman" w:hAnsi="Times New Roman"/>
          <w:sz w:val="20"/>
        </w:rPr>
        <w:t>million are collateralized by cash deposits held by the respective issuing banks.</w:t>
      </w:r>
    </w:p>
    <w:p>
      <w:pPr>
        <w:pStyle w:val="TextBody"/>
        <w:bidi w:val="0"/>
        <w:spacing w:lineRule="atLeast" w:line="240" w:before="200" w:after="200"/>
        <w:jc w:val="both"/>
        <w:rPr/>
      </w:pPr>
      <w:r>
        <w:rPr>
          <w:rFonts w:ascii="Times New Roman" w:hAnsi="Times New Roman"/>
          <w:sz w:val="20"/>
        </w:rPr>
        <w:t>Under certain circumstances, the Company grants guarantees in support of the obligations of subsidiaries. As of December 31, 2025, the Company granted off balance sheet guarantees for cash in various ATM networks amounting to $12.1</w:t>
      </w:r>
      <w:r>
        <w:rPr/>
        <w:t> </w:t>
      </w:r>
      <w:r>
        <w:rPr>
          <w:rFonts w:ascii="Times New Roman" w:hAnsi="Times New Roman"/>
          <w:sz w:val="20"/>
        </w:rPr>
        <w:t>million over the terms of the cash supply agreements and performance guarantees amounting to approximately $82.4</w:t>
      </w:r>
      <w:r>
        <w:rPr/>
        <w:t> </w:t>
      </w:r>
      <w:r>
        <w:rPr>
          <w:rFonts w:ascii="Times New Roman" w:hAnsi="Times New Roman"/>
          <w:sz w:val="20"/>
        </w:rPr>
        <w:t>million over the terms of the agreements with the customers.</w:t>
      </w:r>
    </w:p>
    <w:p>
      <w:pPr>
        <w:pStyle w:val="TextBody"/>
        <w:bidi w:val="0"/>
        <w:spacing w:lineRule="atLeast" w:line="240" w:before="0" w:after="0"/>
        <w:jc w:val="both"/>
        <w:rPr/>
      </w:pPr>
      <w:r>
        <w:rPr>
          <w:rFonts w:ascii="Times New Roman" w:hAnsi="Times New Roman"/>
          <w:sz w:val="20"/>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r>
        <w:rPr/>
        <w:t>  </w:t>
      </w:r>
    </w:p>
    <w:p>
      <w:pPr>
        <w:pStyle w:val="TextBody"/>
        <w:bidi w:val="0"/>
        <w:spacing w:lineRule="atLeast" w:line="240" w:before="0" w:after="0"/>
        <w:jc w:val="both"/>
        <w:rPr/>
      </w:pPr>
      <w:r>
        <w:rPr/>
        <w:t> </w:t>
      </w:r>
    </w:p>
    <w:p>
      <w:pPr>
        <w:pStyle w:val="TextBody"/>
        <w:bidi w:val="0"/>
        <w:spacing w:lineRule="atLeast" w:line="240" w:before="0" w:after="0"/>
        <w:ind w:left="360" w:right="0" w:hanging="360"/>
        <w:jc w:val="both"/>
        <w:rPr/>
      </w:pPr>
      <w:r>
        <w:rPr/>
        <w:t></w:t>
      </w:r>
      <w:r>
        <w:rPr>
          <w:caps w:val="false"/>
          <w:smallCaps w:val="false"/>
        </w:rPr>
        <w:t xml:space="preserve">         </w:t>
      </w:r>
      <w:r>
        <w:rPr>
          <w:rFonts w:ascii="Times New Roman" w:hAnsi="Times New Roman"/>
          <w:sz w:val="20"/>
        </w:rPr>
        <w:t>In connection with contracts with financial institutions in the EFT Processing Segment, the Company is responsible for damage to ATMs and theft of ATM network cash that, generally, is not recorded on the Company's Consolidated Balance Sheets. As of</w:t>
      </w:r>
      <w:r>
        <w:rPr/>
        <w:t> </w:t>
      </w:r>
      <w:r>
        <w:rPr>
          <w:rFonts w:ascii="Times New Roman" w:hAnsi="Times New Roman"/>
          <w:sz w:val="20"/>
        </w:rPr>
        <w:t>December 31, 2025, the balance of such cash used in the Company's ATM networks for which the Company was responsible was approximately $460.3</w:t>
      </w:r>
      <w:r>
        <w:rPr/>
        <w:t> </w:t>
      </w:r>
      <w:r>
        <w:rPr>
          <w:rFonts w:ascii="Times New Roman" w:hAnsi="Times New Roman"/>
          <w:sz w:val="20"/>
        </w:rPr>
        <w:t>million. The Company maintains insurance policies to mitigate this exposure;</w:t>
      </w:r>
    </w:p>
    <w:p>
      <w:pPr>
        <w:pStyle w:val="TextBody"/>
        <w:bidi w:val="0"/>
        <w:spacing w:lineRule="atLeast" w:line="240" w:before="0" w:after="0"/>
        <w:ind w:left="360" w:right="0" w:hanging="0"/>
        <w:jc w:val="both"/>
        <w:rPr/>
      </w:pPr>
      <w:r>
        <w:rPr/>
        <w:t> </w:t>
      </w:r>
    </w:p>
    <w:p>
      <w:pPr>
        <w:pStyle w:val="TextBody"/>
        <w:bidi w:val="0"/>
        <w:spacing w:lineRule="atLeast" w:line="240" w:before="0" w:after="0"/>
        <w:ind w:left="360" w:right="0" w:hanging="360"/>
        <w:jc w:val="both"/>
        <w:rPr/>
      </w:pPr>
      <w:r>
        <w:rPr/>
        <w:t></w:t>
      </w:r>
      <w:r>
        <w:rPr>
          <w:caps w:val="false"/>
          <w:smallCaps w:val="false"/>
        </w:rPr>
        <w:t xml:space="preserve">         </w:t>
      </w:r>
      <w:r>
        <w:rPr>
          <w:rFonts w:ascii="Times New Roman" w:hAnsi="Times New Roman"/>
          <w:sz w:val="20"/>
        </w:rPr>
        <w:t>In connection with contracts with certain customers the Company is responsible for losses suffered by those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pStyle w:val="TextBody"/>
        <w:bidi w:val="0"/>
        <w:spacing w:lineRule="atLeast" w:line="240" w:before="0" w:after="0"/>
        <w:ind w:left="360" w:right="0" w:hanging="0"/>
        <w:jc w:val="both"/>
        <w:rPr/>
      </w:pPr>
      <w:r>
        <w:rPr/>
        <w:t> </w:t>
      </w:r>
    </w:p>
    <w:p>
      <w:pPr>
        <w:pStyle w:val="TextBody"/>
        <w:bidi w:val="0"/>
        <w:spacing w:lineRule="atLeast" w:line="240" w:before="0" w:after="0"/>
        <w:ind w:left="360" w:right="0" w:hanging="360"/>
        <w:jc w:val="both"/>
        <w:rPr/>
      </w:pPr>
      <w:r>
        <w:rPr/>
        <w:t></w:t>
      </w:r>
      <w:r>
        <w:rPr>
          <w:caps w:val="false"/>
          <w:smallCaps w:val="false"/>
        </w:rPr>
        <w:t xml:space="preserve">         </w:t>
      </w:r>
      <w:r>
        <w:rPr>
          <w:rFonts w:ascii="Times New Roman" w:hAnsi="Times New Roman"/>
          <w:sz w:val="20"/>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pStyle w:val="TextBody"/>
        <w:bidi w:val="0"/>
        <w:spacing w:lineRule="atLeast" w:line="240" w:before="0" w:after="0"/>
        <w:ind w:left="360" w:right="0" w:hanging="0"/>
        <w:jc w:val="both"/>
        <w:rPr/>
      </w:pPr>
      <w:r>
        <w:rPr/>
        <w:t> </w:t>
      </w:r>
    </w:p>
    <w:p>
      <w:pPr>
        <w:pStyle w:val="TextBody"/>
        <w:bidi w:val="0"/>
        <w:spacing w:lineRule="atLeast" w:line="240" w:before="0" w:after="0"/>
        <w:ind w:left="360" w:right="0" w:hanging="360"/>
        <w:jc w:val="both"/>
        <w:rPr/>
      </w:pPr>
      <w:r>
        <w:rPr/>
        <w:t></w:t>
      </w:r>
      <w:r>
        <w:rPr>
          <w:caps w:val="false"/>
          <w:smallCaps w:val="false"/>
        </w:rPr>
        <w:t xml:space="preserve">         </w:t>
      </w:r>
      <w:r>
        <w:rPr>
          <w:rFonts w:ascii="Times New Roman" w:hAnsi="Times New Roman"/>
          <w:sz w:val="20"/>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pStyle w:val="TextBody"/>
        <w:bidi w:val="0"/>
        <w:spacing w:lineRule="atLeast" w:line="240" w:before="0" w:after="0"/>
        <w:ind w:left="360" w:right="0" w:hanging="0"/>
        <w:jc w:val="both"/>
        <w:rPr/>
      </w:pPr>
      <w:r>
        <w:rPr/>
        <w:t> </w:t>
      </w:r>
    </w:p>
    <w:p>
      <w:pPr>
        <w:pStyle w:val="TextBody"/>
        <w:bidi w:val="0"/>
        <w:spacing w:lineRule="atLeast" w:line="240" w:before="0" w:after="0"/>
        <w:ind w:left="360" w:right="0" w:hanging="360"/>
        <w:jc w:val="both"/>
        <w:rPr/>
      </w:pPr>
      <w:r>
        <w:rPr/>
        <w:t></w:t>
      </w:r>
      <w:r>
        <w:rPr>
          <w:caps w:val="false"/>
          <w:smallCaps w:val="false"/>
        </w:rPr>
        <w:t xml:space="preserve">         </w:t>
      </w:r>
      <w:r>
        <w:rPr>
          <w:rFonts w:ascii="Times New Roman" w:hAnsi="Times New Roman"/>
          <w:sz w:val="20"/>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pStyle w:val="TextBody"/>
        <w:bidi w:val="0"/>
        <w:spacing w:lineRule="atLeast" w:line="240" w:before="0" w:after="0"/>
        <w:ind w:left="360" w:right="0" w:hanging="0"/>
        <w:jc w:val="both"/>
        <w:rPr/>
      </w:pPr>
      <w:r>
        <w:rPr/>
        <w:t> </w:t>
      </w:r>
    </w:p>
    <w:p>
      <w:pPr>
        <w:pStyle w:val="TextBody"/>
        <w:bidi w:val="0"/>
        <w:spacing w:lineRule="atLeast" w:line="240" w:before="0" w:after="0"/>
        <w:ind w:left="360" w:right="0" w:hanging="360"/>
        <w:jc w:val="both"/>
        <w:rPr/>
      </w:pPr>
      <w:r>
        <w:rPr/>
        <w:t></w:t>
      </w:r>
      <w:r>
        <w:rPr>
          <w:caps w:val="false"/>
          <w:smallCaps w:val="false"/>
        </w:rPr>
        <w:t xml:space="preserve">         </w:t>
      </w:r>
      <w:r>
        <w:rPr>
          <w:rFonts w:ascii="Times New Roman" w:hAnsi="Times New Roman"/>
          <w:sz w:val="20"/>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r>
        <w:rPr/>
        <w:t> </w:t>
      </w:r>
    </w:p>
    <w:p>
      <w:pPr>
        <w:pStyle w:val="TextBody"/>
        <w:bidi w:val="0"/>
        <w:spacing w:lineRule="atLeast" w:line="200" w:before="0" w:after="0"/>
        <w:jc w:val="both"/>
        <w:rPr/>
      </w:pPr>
      <w:r>
        <w:rPr/>
        <w:t> </w:t>
      </w:r>
    </w:p>
    <w:p>
      <w:pPr>
        <w:pStyle w:val="TextBody"/>
        <w:bidi w:val="0"/>
        <w:spacing w:lineRule="atLeast" w:line="240" w:before="0" w:after="0"/>
        <w:jc w:val="both"/>
        <w:rPr/>
      </w:pPr>
      <w:r>
        <w:rPr>
          <w:rFonts w:ascii="Times New Roman" w:hAnsi="Times New Roman"/>
          <w:sz w:val="20"/>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r>
        <w:rPr/>
        <w:t> </w:t>
      </w:r>
    </w:p>
    <w:p>
      <w:pPr>
        <w:pStyle w:val="TextBody"/>
        <w:bidi w:val="0"/>
        <w:spacing w:lineRule="atLeast" w:line="200" w:before="0" w:after="0"/>
        <w:jc w:val="both"/>
        <w:rPr/>
      </w:pPr>
      <w:r>
        <w:rPr/>
        <w:t> </w:t>
      </w:r>
    </w:p>
    <w:p>
      <w:pPr>
        <w:pStyle w:val="TextBody"/>
        <w:bidi w:val="0"/>
        <w:spacing w:lineRule="atLeast" w:line="240" w:before="0" w:after="0"/>
        <w:jc w:val="both"/>
        <w:rPr/>
      </w:pPr>
      <w:r>
        <w:rPr>
          <w:rFonts w:ascii="Times New Roman" w:hAnsi="Times New Roman"/>
          <w:sz w:val="20"/>
        </w:rPr>
        <w:t>To date, the Company is not aware of any significant claims made by the indemnified parties or third parties to guarantee agreements with the Company and, accordingly, no</w:t>
      </w:r>
      <w:r>
        <w:rPr/>
        <w:t xml:space="preserve"> </w:t>
      </w:r>
      <w:r>
        <w:rPr>
          <w:rFonts w:ascii="Times New Roman" w:hAnsi="Times New Roman"/>
          <w:sz w:val="20"/>
        </w:rPr>
        <w:t>liabilities were recorded as of December 31, 2025</w:t>
      </w:r>
      <w:r>
        <w:rPr/>
        <w:t xml:space="preserve"> </w:t>
      </w:r>
      <w:r>
        <w:rPr>
          <w:rFonts w:ascii="Times New Roman" w:hAnsi="Times New Roman"/>
          <w:sz w:val="20"/>
        </w:rPr>
        <w:t>or 2024.</w:t>
      </w:r>
    </w:p>
    <w:p>
      <w:pPr>
        <w:pStyle w:val="TextBody"/>
        <w:bidi w:val="0"/>
        <w:spacing w:lineRule="atLeast" w:line="240" w:before="0" w:after="0"/>
        <w:jc w:val="both"/>
        <w:rPr/>
      </w:pPr>
      <w:r>
        <w:rPr/>
        <w:t> </w:t>
      </w:r>
    </w:p>
    <w:p>
      <w:pPr>
        <w:pStyle w:val="TextBody"/>
        <w:bidi w:val="0"/>
        <w:spacing w:lineRule="atLeast" w:line="240" w:before="0" w:after="0"/>
        <w:jc w:val="both"/>
        <w:rPr/>
      </w:pPr>
      <w:hyperlink w:anchor="TOC">
        <w:bookmarkStart w:id="60" w:name="bm_769e8b0edab8f287"/>
        <w:bookmarkEnd w:id="60"/>
        <w:r>
          <w:rPr>
            <w:rStyle w:val="InternetLink"/>
            <w:rFonts w:ascii="Times New Roman" w:hAnsi="Times New Roman"/>
            <w:b/>
            <w:strike w:val="false"/>
            <w:dstrike w:val="false"/>
            <w:color w:val="000000"/>
            <w:sz w:val="20"/>
            <w:u w:val="none"/>
            <w:effect w:val="none"/>
          </w:rPr>
          <w:t>(22) Related Party Transactions</w:t>
        </w:r>
      </w:hyperlink>
    </w:p>
    <w:p>
      <w:pPr>
        <w:pStyle w:val="TextBody"/>
        <w:bidi w:val="0"/>
        <w:spacing w:lineRule="atLeast" w:line="240" w:before="0" w:after="0"/>
        <w:jc w:val="both"/>
        <w:rPr/>
      </w:pPr>
      <w:r>
        <w:rPr/>
        <w:t> </w:t>
      </w:r>
    </w:p>
    <w:p>
      <w:pPr>
        <w:pStyle w:val="TextBody"/>
        <w:bidi w:val="0"/>
        <w:spacing w:lineRule="atLeast" w:line="240" w:before="0" w:after="0"/>
        <w:jc w:val="both"/>
        <w:rPr/>
      </w:pPr>
      <w:r>
        <w:rPr>
          <w:rFonts w:ascii="Times New Roman" w:hAnsi="Times New Roman"/>
          <w:sz w:val="20"/>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$0.5</w:t>
      </w:r>
      <w:r>
        <w:rPr/>
        <w:t xml:space="preserve"> </w:t>
      </w:r>
      <w:r>
        <w:rPr>
          <w:rFonts w:ascii="Times New Roman" w:hAnsi="Times New Roman"/>
          <w:sz w:val="20"/>
        </w:rPr>
        <w:t>million, $0.3</w:t>
      </w:r>
      <w:r>
        <w:rPr/>
        <w:t xml:space="preserve"> </w:t>
      </w:r>
      <w:r>
        <w:rPr>
          <w:rFonts w:ascii="Times New Roman" w:hAnsi="Times New Roman"/>
          <w:sz w:val="20"/>
        </w:rPr>
        <w:t>million, and $0.2</w:t>
      </w:r>
      <w:r>
        <w:rPr/>
        <w:t xml:space="preserve"> </w:t>
      </w:r>
      <w:r>
        <w:rPr>
          <w:rFonts w:ascii="Times New Roman" w:hAnsi="Times New Roman"/>
          <w:sz w:val="20"/>
        </w:rPr>
        <w:t>million during the years ended December 31, 2025, 2024</w:t>
      </w:r>
      <w:r>
        <w:rPr/>
        <w:t xml:space="preserve"> </w:t>
      </w:r>
      <w:r>
        <w:rPr>
          <w:rFonts w:ascii="Times New Roman" w:hAnsi="Times New Roman"/>
          <w:sz w:val="20"/>
        </w:rPr>
        <w:t>and 2023, respectively, for the use of this airplane.</w:t>
      </w:r>
      <w:r>
        <w:rPr/>
        <w:t> </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b/>
          <w:sz w:val="20"/>
        </w:rPr>
      </w:pPr>
      <w:bookmarkStart w:id="61" w:name="bm_b1004eb270c78c47"/>
      <w:bookmarkEnd w:id="61"/>
      <w:r>
        <w:rPr>
          <w:b/>
          <w:sz w:val="20"/>
        </w:rPr>
        <w:t>Item 9. Changes in and Disagreements with Accountants on Accounting and Financial Disclosure</w:t>
      </w:r>
    </w:p>
    <w:p>
      <w:pPr>
        <w:pStyle w:val="TextBody"/>
        <w:bidi w:val="0"/>
        <w:spacing w:lineRule="atLeast" w:line="240" w:before="0" w:after="0"/>
        <w:jc w:val="both"/>
        <w:rPr/>
      </w:pPr>
      <w:r>
        <w:rPr/>
        <w:br/>
      </w:r>
      <w:r>
        <w:rPr>
          <w:sz w:val="20"/>
        </w:rPr>
        <w:t>None.</w:t>
      </w:r>
      <w:r>
        <w:rPr/>
        <w:br/>
        <w:t> </w:t>
      </w:r>
    </w:p>
    <w:p>
      <w:pPr>
        <w:pStyle w:val="TextBody"/>
        <w:bidi w:val="0"/>
        <w:spacing w:lineRule="atLeast" w:line="240" w:before="0" w:after="0"/>
        <w:jc w:val="both"/>
        <w:rPr>
          <w:b/>
          <w:sz w:val="20"/>
        </w:rPr>
      </w:pPr>
      <w:bookmarkStart w:id="62" w:name="bm_262b53f0f87959b6"/>
      <w:bookmarkEnd w:id="62"/>
      <w:r>
        <w:rPr>
          <w:b/>
          <w:sz w:val="20"/>
        </w:rPr>
        <w:t>Item 9A. Controls and Procedures</w:t>
      </w:r>
    </w:p>
    <w:p>
      <w:pPr>
        <w:pStyle w:val="TextBody"/>
        <w:bidi w:val="0"/>
        <w:spacing w:lineRule="atLeast" w:line="240" w:before="0" w:after="160"/>
        <w:jc w:val="both"/>
        <w:rPr/>
      </w:pPr>
      <w:r>
        <w:rPr/>
        <w:br/>
      </w:r>
      <w:r>
        <w:rPr>
          <w:b/>
          <w:sz w:val="20"/>
        </w:rPr>
        <w:t>Evaluation of Disclosure Controls and Procedures</w:t>
      </w:r>
      <w:r>
        <w:rPr/>
        <w:t> </w:t>
      </w:r>
    </w:p>
    <w:p>
      <w:pPr>
        <w:pStyle w:val="TextBody"/>
        <w:bidi w:val="0"/>
        <w:spacing w:lineRule="atLeast" w:line="240" w:before="0" w:after="160"/>
        <w:jc w:val="both"/>
        <w:rPr/>
      </w:pPr>
      <w:r>
        <w:rPr>
          <w:sz w:val="20"/>
        </w:rPr>
        <w:t>Our executive management, including our Chief Executive Officer and Chief Financial Officer, evaluated the effectiveness of the design and operation of our disclosure controls and procedures pursuant to Rule 13a-15(b) under the Exchange Act as of</w:t>
      </w:r>
      <w:r>
        <w:rPr/>
        <w:t> </w:t>
      </w:r>
      <w:r>
        <w:rPr>
          <w:rFonts w:ascii="Times New Roman" w:hAnsi="Times New Roman"/>
          <w:sz w:val="20"/>
        </w:rPr>
        <w:t>December 31, 2025</w:t>
      </w:r>
      <w:r>
        <w:rPr>
          <w:sz w:val="20"/>
        </w:rPr>
        <w:t>.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tLeast" w:line="240" w:before="0" w:after="160"/>
        <w:jc w:val="both"/>
        <w:rPr>
          <w:b/>
          <w:sz w:val="20"/>
        </w:rPr>
      </w:pPr>
      <w:r>
        <w:rPr>
          <w:b/>
          <w:sz w:val="20"/>
        </w:rPr>
        <w:t>Changes in Internal Controls Over Financial Reporting</w:t>
      </w:r>
    </w:p>
    <w:p>
      <w:pPr>
        <w:pStyle w:val="TextBody"/>
        <w:bidi w:val="0"/>
        <w:spacing w:lineRule="atLeast" w:line="240" w:before="0" w:after="160"/>
        <w:jc w:val="both"/>
        <w:rPr/>
      </w:pPr>
      <w:r>
        <w:rPr>
          <w:sz w:val="20"/>
        </w:rPr>
        <w:t>There has been no change in our internal control over financial reporting during the fourth quarter of</w:t>
      </w:r>
      <w:r>
        <w:rPr/>
        <w:t> </w:t>
      </w:r>
      <w:r>
        <w:rPr>
          <w:rFonts w:ascii="Times New Roman" w:hAnsi="Times New Roman"/>
          <w:sz w:val="20"/>
        </w:rPr>
        <w:t>2025</w:t>
      </w:r>
      <w:r>
        <w:rPr/>
        <w:t> </w:t>
      </w:r>
      <w:r>
        <w:rPr>
          <w:sz w:val="20"/>
        </w:rPr>
        <w:t>that has materially affected, or is reasonably likely to materially affect, our internal control over financial reporting.</w:t>
      </w:r>
    </w:p>
    <w:p>
      <w:pPr>
        <w:pStyle w:val="TextBody"/>
        <w:bidi w:val="0"/>
        <w:spacing w:lineRule="atLeast" w:line="240" w:before="0" w:after="160"/>
        <w:jc w:val="both"/>
        <w:rPr>
          <w:b/>
          <w:sz w:val="20"/>
        </w:rPr>
      </w:pPr>
      <w:r>
        <w:rPr>
          <w:b/>
          <w:sz w:val="20"/>
        </w:rPr>
        <w:t>Management's Report on Internal Control Over Financial Reporting</w:t>
      </w:r>
    </w:p>
    <w:p>
      <w:pPr>
        <w:pStyle w:val="TextBody"/>
        <w:bidi w:val="0"/>
        <w:spacing w:lineRule="atLeast" w:line="240" w:before="0" w:after="0"/>
        <w:jc w:val="left"/>
        <w:rPr/>
      </w:pPr>
      <w:r>
        <w:rPr>
          <w:sz w:val="20"/>
        </w:rPr>
        <w:t>To the Stockholders of Euronet Worldwide, Inc.:</w:t>
      </w:r>
      <w:r>
        <w:rPr/>
        <w:t xml:space="preserve">                                                                                                                        </w:t>
      </w:r>
    </w:p>
    <w:p>
      <w:pPr>
        <w:pStyle w:val="TextBody"/>
        <w:bidi w:val="0"/>
        <w:spacing w:lineRule="atLeast" w:line="240" w:before="0" w:after="160"/>
        <w:jc w:val="both"/>
        <w:rPr>
          <w:sz w:val="20"/>
        </w:rPr>
      </w:pPr>
      <w:r>
        <w:rPr>
          <w:sz w:val="20"/>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lineRule="atLeast" w:line="240" w:before="0" w:after="100"/>
        <w:jc w:val="both"/>
        <w:rPr>
          <w:sz w:val="20"/>
        </w:rPr>
      </w:pPr>
      <w:r>
        <w:rPr>
          <w:sz w:val="20"/>
        </w:rPr>
        <w:t>Management of Euronet Worldwide, Inc. assessed the effectiveness of the Company's internal control over financial reporting as of December 31, 2025. In making this assessment, it used the criteria set forth by the Committee of Sponsoring Organizations of the Treadway Commission in Internal Control-Integrated Framework (2013). Management’s assessment of the effectiveness of the Company’s internal control over financial reporting as of December 31, 2025 excluded CoreCard Corporation acquired as of October 30, 2025 with aggregate total assets of $221.8 million and total revenues of $12.7 million included in the Company’s consolidated financial statements as of and for the year ended December 31,2025. Based on these criteria and our assessment, we have determined that, as of December 31, 2025, the Company's internal control over financial reporting was effective.</w:t>
      </w:r>
    </w:p>
    <w:p>
      <w:pPr>
        <w:pStyle w:val="TextBody"/>
        <w:bidi w:val="0"/>
        <w:spacing w:lineRule="atLeast" w:line="240" w:before="0" w:after="100"/>
        <w:jc w:val="both"/>
        <w:rPr/>
      </w:pPr>
      <w:r>
        <w:rPr>
          <w:sz w:val="20"/>
        </w:rPr>
        <w:t>The effectiveness of the Company's internal control over financial reporting as of</w:t>
      </w:r>
      <w:r>
        <w:rPr/>
        <w:t> </w:t>
      </w:r>
      <w:r>
        <w:rPr>
          <w:rFonts w:ascii="Times New Roman" w:hAnsi="Times New Roman"/>
          <w:sz w:val="20"/>
        </w:rPr>
        <w:t>December 31, 2025</w:t>
      </w:r>
      <w:r>
        <w:rPr>
          <w:sz w:val="20"/>
        </w:rPr>
        <w:t>, has been audited by KPMG LLP, an independent registered public accounting firm, as stated in their audit report, included herein.</w:t>
      </w:r>
    </w:p>
    <w:tbl>
      <w:tblPr>
        <w:tblW w:w="4565" w:type="dxa"/>
        <w:jc w:val="left"/>
        <w:tblInd w:w="0" w:type="dxa"/>
        <w:tblLayout w:type="fixed"/>
        <w:tblCellMar>
          <w:top w:w="0" w:type="dxa"/>
          <w:left w:w="0" w:type="dxa"/>
          <w:bottom w:w="0" w:type="dxa"/>
          <w:right w:w="0" w:type="dxa"/>
        </w:tblCellMar>
      </w:tblPr>
      <w:tblGrid>
        <w:gridCol w:w="4490"/>
        <w:gridCol w:w="75"/>
      </w:tblGrid>
      <w:tr>
        <w:trPr/>
        <w:tc>
          <w:tcPr>
            <w:tcW w:w="44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490" w:type="dxa"/>
            <w:tcBorders>
              <w:bottom w:val="single" w:sz="8"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4490" w:type="dxa"/>
            <w:tcBorders>
              <w:top w:val="single" w:sz="8" w:space="0" w:color="000000"/>
            </w:tcBorders>
            <w:tcMar>
              <w:top w:w="38" w:type="dxa"/>
            </w:tcMar>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490" w:type="dxa"/>
            <w:tcBorders>
              <w:bottom w:val="single" w:sz="8"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4490" w:type="dxa"/>
            <w:tcBorders>
              <w:top w:val="single" w:sz="8" w:space="0" w:color="000000"/>
            </w:tcBorders>
            <w:tcMar>
              <w:top w:w="38" w:type="dxa"/>
            </w:tcMar>
            <w:vAlign w:val="center"/>
          </w:tcPr>
          <w:p>
            <w:pPr>
              <w:pStyle w:val="TableContents"/>
              <w:bidi w:val="0"/>
              <w:spacing w:before="0" w:after="0"/>
              <w:jc w:val="center"/>
              <w:rPr>
                <w:b/>
                <w:sz w:val="20"/>
              </w:rPr>
            </w:pPr>
            <w:r>
              <w:rPr>
                <w:b/>
                <w:sz w:val="20"/>
              </w:rPr>
              <w:t>Rick L. Weller</w:t>
            </w:r>
          </w:p>
        </w:tc>
        <w:tc>
          <w:tcPr>
            <w:tcW w:w="75"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center"/>
              <w:rPr>
                <w:b/>
                <w:sz w:val="20"/>
              </w:rPr>
            </w:pPr>
            <w:r>
              <w:rPr>
                <w:b/>
                <w:sz w:val="20"/>
              </w:rPr>
              <w:t>Chief Financial Officer and Chief Accounting Officer</w:t>
            </w:r>
          </w:p>
        </w:tc>
        <w:tc>
          <w:tcPr>
            <w:tcW w:w="75"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160"/>
        <w:jc w:val="left"/>
        <w:rPr>
          <w:rFonts w:ascii="Times New Roman" w:hAnsi="Times New Roman"/>
          <w:sz w:val="20"/>
        </w:rPr>
      </w:pPr>
      <w:r>
        <w:rPr>
          <w:rFonts w:ascii="Times New Roman" w:hAnsi="Times New Roman"/>
          <w:sz w:val="20"/>
        </w:rPr>
        <w:t>February 26, 2026</w:t>
      </w:r>
    </w:p>
    <w:p>
      <w:pPr>
        <w:pStyle w:val="TextBody"/>
        <w:bidi w:val="0"/>
        <w:spacing w:before="0" w:after="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b/>
          <w:sz w:val="20"/>
        </w:rPr>
      </w:pPr>
      <w:bookmarkStart w:id="63" w:name="bm_7004e3b292786927"/>
      <w:bookmarkEnd w:id="63"/>
      <w:r>
        <w:rPr>
          <w:b/>
          <w:sz w:val="20"/>
        </w:rPr>
        <w:t>Item 9B. Other Information</w:t>
      </w:r>
    </w:p>
    <w:p>
      <w:pPr>
        <w:pStyle w:val="TextBody"/>
        <w:bidi w:val="0"/>
        <w:spacing w:lineRule="atLeast" w:line="240" w:before="0" w:after="0"/>
        <w:jc w:val="left"/>
        <w:rPr/>
      </w:pPr>
      <w:r>
        <w:rPr/>
        <w:br/>
      </w:r>
      <w:r>
        <w:rPr>
          <w:sz w:val="20"/>
        </w:rPr>
        <w:t xml:space="preserve">During the fiscal quarter ended </w:t>
      </w:r>
      <w:r>
        <w:rPr>
          <w:rFonts w:ascii="Times New Roman" w:hAnsi="Times New Roman"/>
          <w:sz w:val="20"/>
        </w:rPr>
        <w:t>December 31, 2025</w:t>
      </w:r>
      <w:r>
        <w:rPr>
          <w:sz w:val="20"/>
        </w:rPr>
        <w:t xml:space="preserve">, none of the Company’s directors or "officers," as defined in Rule 16a-1(f) of the Securities Exchange Act of 1934, as amended (the "Exchange Act"), </w:t>
      </w:r>
      <w:r>
        <w:rPr>
          <w:rFonts w:ascii="Times New Roman" w:hAnsi="Times New Roman"/>
          <w:sz w:val="20"/>
        </w:rPr>
        <w:t>adopted</w:t>
      </w:r>
      <w:r>
        <w:rPr/>
        <w:t xml:space="preserve"> </w:t>
      </w:r>
      <w:r>
        <w:rPr>
          <w:sz w:val="20"/>
        </w:rPr>
        <w:t xml:space="preserve">or </w:t>
      </w:r>
      <w:r>
        <w:rPr>
          <w:rFonts w:ascii="Times New Roman" w:hAnsi="Times New Roman"/>
          <w:sz w:val="20"/>
        </w:rPr>
        <w:t>terminated</w:t>
      </w:r>
      <w:r>
        <w:rPr/>
        <w:t xml:space="preserve"> </w:t>
      </w:r>
      <w:r>
        <w:rPr>
          <w:sz w:val="20"/>
        </w:rPr>
        <w:t>a "Rule 10b5-1 trading arrangement" or a "non-Rule 10b5-1 trading arrangement," as each term is defined in Item 408 of Regulation S-K.</w:t>
      </w:r>
    </w:p>
    <w:p>
      <w:pPr>
        <w:pStyle w:val="TextBody"/>
        <w:bidi w:val="0"/>
        <w:spacing w:lineRule="atLeast" w:line="240" w:before="0" w:after="0"/>
        <w:jc w:val="left"/>
        <w:rPr/>
      </w:pPr>
      <w:r>
        <w:rPr/>
        <w:t> </w:t>
      </w:r>
    </w:p>
    <w:p>
      <w:pPr>
        <w:pStyle w:val="TextBody"/>
        <w:bidi w:val="0"/>
        <w:spacing w:lineRule="atLeast" w:line="240" w:before="0" w:after="0"/>
        <w:jc w:val="left"/>
        <w:rPr>
          <w:b/>
          <w:sz w:val="20"/>
        </w:rPr>
      </w:pPr>
      <w:bookmarkStart w:id="64" w:name="bm_acb34ff2eceb90b1"/>
      <w:bookmarkEnd w:id="64"/>
      <w:r>
        <w:rPr>
          <w:b/>
          <w:sz w:val="20"/>
        </w:rPr>
        <w:t>Item 9C. Disclosure Regarding Foreign Jurisdictions that Prevent Inspections</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None.</w:t>
      </w:r>
    </w:p>
    <w:p>
      <w:pPr>
        <w:pStyle w:val="TextBody"/>
        <w:bidi w:val="0"/>
        <w:spacing w:lineRule="atLeast" w:line="240" w:before="0" w:after="0"/>
        <w:jc w:val="left"/>
        <w:rPr/>
      </w:pPr>
      <w:r>
        <w:rPr/>
        <w:t> </w:t>
      </w:r>
    </w:p>
    <w:p>
      <w:pPr>
        <w:pStyle w:val="TextBody"/>
        <w:pBdr/>
        <w:bidi w:val="0"/>
        <w:spacing w:lineRule="atLeast" w:line="240" w:before="0" w:after="0"/>
        <w:jc w:val="center"/>
        <w:rPr>
          <w:b/>
          <w:sz w:val="20"/>
        </w:rPr>
      </w:pPr>
      <w:bookmarkStart w:id="65" w:name="bm_98fc0c8544b26ccd"/>
      <w:bookmarkEnd w:id="65"/>
      <w:r>
        <w:rPr>
          <w:b/>
          <w:sz w:val="20"/>
        </w:rPr>
        <w:t>Part III</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bookmarkStart w:id="66" w:name="bm_0d58b31e2cebf368"/>
      <w:bookmarkEnd w:id="66"/>
      <w:r>
        <w:rPr>
          <w:b/>
          <w:sz w:val="20"/>
        </w:rPr>
        <w:t>Item 10. Directors, Executive Officers and Corporate Governance</w:t>
      </w:r>
    </w:p>
    <w:p>
      <w:pPr>
        <w:pStyle w:val="TextBody"/>
        <w:bidi w:val="0"/>
        <w:spacing w:lineRule="atLeast" w:line="240" w:before="0" w:after="0"/>
        <w:jc w:val="both"/>
        <w:rPr/>
      </w:pPr>
      <w:r>
        <w:rPr/>
        <w:t> </w:t>
      </w:r>
    </w:p>
    <w:p>
      <w:pPr>
        <w:pStyle w:val="TextBody"/>
        <w:bidi w:val="0"/>
        <w:spacing w:lineRule="atLeast" w:line="240" w:before="0" w:after="0"/>
        <w:jc w:val="both"/>
        <w:rPr/>
      </w:pPr>
      <w:r>
        <w:rPr>
          <w:sz w:val="20"/>
        </w:rPr>
        <w:t xml:space="preserve">The information under “Election of Directors,” “Delinquent Section 16(a) Reports” (if applicable), "Employee and Director Stock Ownership; Insider Trading and Hedging Policy" and “Meetings and Committees of the Board of Directors” in the Proxy Statement for the 2026 Annual Meeting of Stockholders, which will be filed with the SEC no later than 120 days after </w:t>
      </w:r>
      <w:r>
        <w:rPr>
          <w:rFonts w:ascii="Times New Roman" w:hAnsi="Times New Roman"/>
          <w:sz w:val="20"/>
        </w:rPr>
        <w:t>December 31, 2025</w:t>
      </w:r>
      <w:r>
        <w:rPr>
          <w:sz w:val="20"/>
        </w:rPr>
        <w:t>,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pStyle w:val="TextBody"/>
        <w:bidi w:val="0"/>
        <w:spacing w:lineRule="atLeast" w:line="240" w:before="0" w:after="0"/>
        <w:jc w:val="both"/>
        <w:rPr/>
      </w:pPr>
      <w:r>
        <w:rPr/>
        <w:t> </w:t>
      </w:r>
    </w:p>
    <w:p>
      <w:pPr>
        <w:pStyle w:val="TextBody"/>
        <w:bidi w:val="0"/>
        <w:spacing w:lineRule="atLeast" w:line="240" w:before="0" w:after="0"/>
        <w:jc w:val="both"/>
        <w:rPr>
          <w:sz w:val="20"/>
        </w:rPr>
      </w:pPr>
      <w:r>
        <w:rPr>
          <w:sz w:val="20"/>
        </w:rPr>
        <w:t>We intend to satisfy the requirement under Item 5.05 of Form 8-K to disclose any amendments to our Code of Business Conduct and Ethics and any waiver from a provision of our Code of Ethics by disclosing such information on a Form 8-K or on our Website at www.euronet.com under For Investors/Corporate Governance.</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bookmarkStart w:id="67" w:name="bm_8c551d92a69fde4b"/>
      <w:bookmarkEnd w:id="67"/>
      <w:r>
        <w:rPr>
          <w:b/>
          <w:sz w:val="20"/>
        </w:rPr>
        <w:t>Item 11. Executive Compensation</w:t>
      </w:r>
    </w:p>
    <w:p>
      <w:pPr>
        <w:pStyle w:val="TextBody"/>
        <w:bidi w:val="0"/>
        <w:spacing w:lineRule="atLeast" w:line="240" w:before="0" w:after="0"/>
        <w:jc w:val="both"/>
        <w:rPr/>
      </w:pPr>
      <w:r>
        <w:rPr/>
        <w:br/>
      </w:r>
      <w:r>
        <w:rPr>
          <w:sz w:val="20"/>
        </w:rPr>
        <w:t>The information under “Compensation Tables,” “Compensation Discussion and Analysis,” “Director Compensation,” “Compensation Committee Report” and “Compensation Committee Interlocks and Insider Participation” in the Proxy Statement for the</w:t>
      </w:r>
      <w:r>
        <w:rPr/>
        <w:t> </w:t>
      </w:r>
      <w:r>
        <w:rPr>
          <w:sz w:val="20"/>
        </w:rPr>
        <w:t>2026</w:t>
      </w:r>
      <w:r>
        <w:rPr/>
        <w:t> </w:t>
      </w:r>
      <w:r>
        <w:rPr>
          <w:sz w:val="20"/>
        </w:rPr>
        <w:t>Annual Meeting of Stockholders, which will be filed with the SEC no later than 120 days after</w:t>
      </w:r>
      <w:r>
        <w:rPr/>
        <w:t> </w:t>
      </w:r>
      <w:r>
        <w:rPr>
          <w:rFonts w:ascii="Times New Roman" w:hAnsi="Times New Roman"/>
          <w:sz w:val="20"/>
        </w:rPr>
        <w:t>December 31, 2025</w:t>
      </w:r>
      <w:r>
        <w:rPr>
          <w:sz w:val="20"/>
        </w:rPr>
        <w:t>, is incorporated herein by reference.</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bookmarkStart w:id="68" w:name="bm_3127583efe610944"/>
      <w:bookmarkEnd w:id="68"/>
      <w:r>
        <w:rPr>
          <w:b/>
          <w:sz w:val="20"/>
        </w:rPr>
        <w:t>Item 12. Security Ownership of Certain Beneficial Owners and Management and Related Stockholder Matters</w:t>
      </w:r>
    </w:p>
    <w:p>
      <w:pPr>
        <w:pStyle w:val="TextBody"/>
        <w:bidi w:val="0"/>
        <w:spacing w:lineRule="atLeast" w:line="240" w:before="0" w:after="0"/>
        <w:jc w:val="both"/>
        <w:rPr/>
      </w:pPr>
      <w:r>
        <w:rPr/>
        <w:br/>
      </w:r>
      <w:r>
        <w:rPr>
          <w:sz w:val="20"/>
        </w:rPr>
        <w:t>The information under “Beneficial Ownership of Common Stock”, “Election of Directors” and "Compensation Tables - Shares Issuable under Stockholder Approved Plans" in the Proxy Statement for the 2026 Annual Meeting of Stockholders, which will be filed with the SEC no later than 120 days after</w:t>
      </w:r>
      <w:r>
        <w:rPr/>
        <w:t> </w:t>
      </w:r>
      <w:r>
        <w:rPr>
          <w:rFonts w:ascii="Times New Roman" w:hAnsi="Times New Roman"/>
          <w:sz w:val="20"/>
        </w:rPr>
        <w:t>December 31, 2025</w:t>
      </w:r>
      <w:r>
        <w:rPr>
          <w:sz w:val="20"/>
        </w:rPr>
        <w:t>, is incorporated herein by reference.</w:t>
      </w:r>
      <w:r>
        <w:rPr/>
        <w:t>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bookmarkStart w:id="69" w:name="bm_2689eb21cd180e8c"/>
      <w:bookmarkEnd w:id="69"/>
      <w:r>
        <w:rPr>
          <w:b/>
          <w:sz w:val="20"/>
        </w:rPr>
        <w:t>Item 13. Certain Relationships and Related Transactions, and Director Independence</w:t>
      </w:r>
    </w:p>
    <w:p>
      <w:pPr>
        <w:pStyle w:val="TextBody"/>
        <w:bidi w:val="0"/>
        <w:spacing w:lineRule="atLeast" w:line="240" w:before="0" w:after="0"/>
        <w:jc w:val="both"/>
        <w:rPr/>
      </w:pPr>
      <w:r>
        <w:rPr/>
        <w:br/>
      </w:r>
      <w:r>
        <w:rPr>
          <w:sz w:val="20"/>
        </w:rPr>
        <w:t>The information under “Certain Relationships and Related Transactions and Director Independence” in the Proxy Statement for the 2026 Annual Meeting of Stockholders, which will be filed with the SEC no later than 120 days after</w:t>
      </w:r>
      <w:r>
        <w:rPr/>
        <w:t> </w:t>
      </w:r>
      <w:r>
        <w:rPr>
          <w:rFonts w:ascii="Times New Roman" w:hAnsi="Times New Roman"/>
          <w:sz w:val="20"/>
        </w:rPr>
        <w:t>December 31, 2025</w:t>
      </w:r>
      <w:r>
        <w:rPr>
          <w:sz w:val="20"/>
        </w:rPr>
        <w:t>, is incorporated herein by reference.</w:t>
      </w:r>
      <w:r>
        <w:rPr/>
        <w:t> </w:t>
      </w:r>
    </w:p>
    <w:p>
      <w:pPr>
        <w:pStyle w:val="TextBody"/>
        <w:bidi w:val="0"/>
        <w:spacing w:lineRule="atLeast" w:line="240" w:before="0" w:after="0"/>
        <w:jc w:val="both"/>
        <w:rPr/>
      </w:pPr>
      <w:r>
        <w:rPr/>
        <w:t> </w:t>
      </w:r>
    </w:p>
    <w:p>
      <w:pPr>
        <w:pStyle w:val="TextBody"/>
        <w:bidi w:val="0"/>
        <w:spacing w:lineRule="atLeast" w:line="240" w:before="0" w:after="0"/>
        <w:jc w:val="both"/>
        <w:rPr>
          <w:b/>
          <w:sz w:val="20"/>
        </w:rPr>
      </w:pPr>
      <w:bookmarkStart w:id="70" w:name="bm_71f10112a6f8acd3"/>
      <w:bookmarkEnd w:id="70"/>
      <w:r>
        <w:rPr>
          <w:b/>
          <w:sz w:val="20"/>
        </w:rPr>
        <w:t>Item 14. Principal Accounting Fees and Services</w:t>
      </w:r>
    </w:p>
    <w:p>
      <w:pPr>
        <w:pStyle w:val="TextBody"/>
        <w:bidi w:val="0"/>
        <w:spacing w:lineRule="atLeast" w:line="240" w:before="0" w:after="0"/>
        <w:jc w:val="both"/>
        <w:rPr/>
      </w:pPr>
      <w:r>
        <w:rPr/>
        <w:br/>
      </w:r>
      <w:r>
        <w:rPr>
          <w:sz w:val="20"/>
        </w:rPr>
        <w:t>The information under “Audit Matters - Fees of the Company's Independent Auditors” and - "Audit Matters - Audit Committee Pre-Approval Policy" in the Proxy Statement for the</w:t>
      </w:r>
      <w:r>
        <w:rPr/>
        <w:t> </w:t>
      </w:r>
      <w:r>
        <w:rPr>
          <w:sz w:val="20"/>
        </w:rPr>
        <w:t>2026 Annual Meeting of Stockholders, which will be filed with the SEC no later than 120 days after</w:t>
      </w:r>
      <w:r>
        <w:rPr/>
        <w:t> </w:t>
      </w:r>
      <w:r>
        <w:rPr>
          <w:rFonts w:ascii="Times New Roman" w:hAnsi="Times New Roman"/>
          <w:sz w:val="20"/>
        </w:rPr>
        <w:t>December 31, 2025</w:t>
      </w:r>
      <w:r>
        <w:rPr>
          <w:sz w:val="20"/>
        </w:rPr>
        <w:t>, is incorporated herein by reference.</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bookmarkStart w:id="71" w:name="bm_85b7b9ba13df710d"/>
      <w:bookmarkEnd w:id="71"/>
      <w:r>
        <w:rPr>
          <w:b/>
          <w:sz w:val="20"/>
        </w:rPr>
        <w:t>Part IV</w:t>
      </w:r>
    </w:p>
    <w:p>
      <w:pPr>
        <w:pStyle w:val="TextBody"/>
        <w:bidi w:val="0"/>
        <w:spacing w:lineRule="atLeast" w:line="240" w:before="0" w:after="0"/>
        <w:jc w:val="center"/>
        <w:rPr/>
      </w:pPr>
      <w:r>
        <w:rPr/>
        <w:t> </w:t>
      </w:r>
    </w:p>
    <w:p>
      <w:pPr>
        <w:pStyle w:val="TextBody"/>
        <w:bidi w:val="0"/>
        <w:spacing w:lineRule="atLeast" w:line="240" w:before="0" w:after="0"/>
        <w:jc w:val="left"/>
        <w:rPr>
          <w:b/>
          <w:sz w:val="20"/>
        </w:rPr>
      </w:pPr>
      <w:bookmarkStart w:id="72" w:name="bm_b429dfbee460e7b2"/>
      <w:bookmarkEnd w:id="72"/>
      <w:r>
        <w:rPr>
          <w:b/>
          <w:sz w:val="20"/>
        </w:rPr>
        <w:t>Item 15. Exhibits and Financial Statement Schedules</w:t>
      </w:r>
    </w:p>
    <w:p>
      <w:pPr>
        <w:pStyle w:val="TextBody"/>
        <w:bidi w:val="0"/>
        <w:spacing w:lineRule="atLeast" w:line="240"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45"/>
        <w:gridCol w:w="3755"/>
      </w:tblGrid>
      <w:tr>
        <w:trPr/>
        <w:tc>
          <w:tcPr>
            <w:tcW w:w="245"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lineRule="atLeast" w:line="240" w:before="0" w:after="0"/>
              <w:ind w:left="15" w:right="0" w:hanging="0"/>
              <w:jc w:val="left"/>
              <w:rPr>
                <w:sz w:val="20"/>
              </w:rPr>
            </w:pPr>
            <w:r>
              <w:rPr>
                <w:sz w:val="20"/>
              </w:rPr>
              <w:t>(a)</w:t>
            </w:r>
          </w:p>
        </w:tc>
        <w:tc>
          <w:tcPr>
            <w:tcW w:w="3755" w:type="dxa"/>
            <w:tcBorders/>
            <w:vAlign w:val="center"/>
          </w:tcPr>
          <w:p>
            <w:pPr>
              <w:pStyle w:val="TableContents"/>
              <w:bidi w:val="0"/>
              <w:spacing w:lineRule="atLeast" w:line="240" w:before="0" w:after="0"/>
              <w:jc w:val="left"/>
              <w:rPr>
                <w:sz w:val="20"/>
              </w:rPr>
            </w:pPr>
            <w:r>
              <w:rPr>
                <w:sz w:val="20"/>
              </w:rPr>
              <w:t>List of Documents Filed as Part of this Report.</w:t>
            </w:r>
          </w:p>
        </w:tc>
      </w:tr>
    </w:tbl>
    <w:p>
      <w:pPr>
        <w:pStyle w:val="TextBody"/>
        <w:bidi w:val="0"/>
        <w:spacing w:lineRule="atLeast" w:line="240" w:before="0" w:after="0"/>
        <w:jc w:val="left"/>
        <w:rPr/>
      </w:pPr>
      <w:r>
        <w:rPr/>
        <w:t> </w:t>
      </w:r>
    </w:p>
    <w:p>
      <w:pPr>
        <w:pStyle w:val="TextBody"/>
        <w:pBdr/>
        <w:bidi w:val="0"/>
        <w:spacing w:lineRule="atLeast" w:line="240" w:before="0" w:after="0"/>
        <w:ind w:left="10" w:right="0" w:hanging="0"/>
        <w:jc w:val="left"/>
        <w:rPr/>
      </w:pPr>
      <w:r>
        <w:rPr>
          <w:i/>
          <w:sz w:val="20"/>
        </w:rPr>
        <w:t>1. Financial Statements</w:t>
      </w:r>
      <w:r>
        <w:rPr/>
        <w:t> </w:t>
      </w:r>
    </w:p>
    <w:p>
      <w:pPr>
        <w:pStyle w:val="TextBody"/>
        <w:bidi w:val="0"/>
        <w:spacing w:lineRule="atLeast" w:line="240" w:before="0" w:after="0"/>
        <w:jc w:val="left"/>
        <w:rPr/>
      </w:pPr>
      <w:r>
        <w:rPr/>
        <w:t> </w:t>
      </w:r>
    </w:p>
    <w:p>
      <w:pPr>
        <w:pStyle w:val="TextBody"/>
        <w:pBdr/>
        <w:bidi w:val="0"/>
        <w:spacing w:lineRule="atLeast" w:line="240" w:before="0" w:after="0"/>
        <w:ind w:left="10" w:right="0" w:hanging="0"/>
        <w:jc w:val="left"/>
        <w:rPr>
          <w:sz w:val="20"/>
        </w:rPr>
      </w:pPr>
      <w:r>
        <w:rPr>
          <w:sz w:val="20"/>
        </w:rPr>
        <w:t>The Consolidated Financial Statements and accompanying notes, together with the report of KPMG LLP, appear in Part II, Item 8 - Financial Statements and Supplementary Data, of this Form 10-K.</w:t>
      </w:r>
    </w:p>
    <w:p>
      <w:pPr>
        <w:pStyle w:val="TextBody"/>
        <w:bidi w:val="0"/>
        <w:spacing w:lineRule="atLeast" w:line="240" w:before="0" w:after="0"/>
        <w:jc w:val="left"/>
        <w:rPr/>
      </w:pPr>
      <w:r>
        <w:rPr/>
        <w:t> </w:t>
      </w:r>
    </w:p>
    <w:p>
      <w:pPr>
        <w:pStyle w:val="TextBody"/>
        <w:pBdr/>
        <w:bidi w:val="0"/>
        <w:spacing w:lineRule="atLeast" w:line="240" w:before="0" w:after="0"/>
        <w:ind w:left="10" w:right="0" w:hanging="0"/>
        <w:jc w:val="left"/>
        <w:rPr/>
      </w:pPr>
      <w:r>
        <w:rPr>
          <w:i/>
          <w:sz w:val="20"/>
        </w:rPr>
        <w:t>2. Schedules</w:t>
      </w:r>
      <w:r>
        <w:rPr/>
        <w:t> </w:t>
      </w:r>
    </w:p>
    <w:p>
      <w:pPr>
        <w:pStyle w:val="TextBody"/>
        <w:bidi w:val="0"/>
        <w:spacing w:lineRule="atLeast" w:line="240" w:before="0" w:after="0"/>
        <w:jc w:val="left"/>
        <w:rPr/>
      </w:pPr>
      <w:r>
        <w:rPr/>
        <w:t> </w:t>
      </w:r>
    </w:p>
    <w:p>
      <w:pPr>
        <w:pStyle w:val="TextBody"/>
        <w:pBdr/>
        <w:bidi w:val="0"/>
        <w:spacing w:lineRule="atLeast" w:line="240" w:before="0" w:after="0"/>
        <w:ind w:left="10" w:right="0" w:hanging="0"/>
        <w:jc w:val="left"/>
        <w:rPr>
          <w:sz w:val="20"/>
        </w:rPr>
      </w:pPr>
      <w:r>
        <w:rPr>
          <w:sz w:val="20"/>
        </w:rPr>
        <w:t>None.</w:t>
      </w:r>
    </w:p>
    <w:p>
      <w:pPr>
        <w:pStyle w:val="TextBody"/>
        <w:bidi w:val="0"/>
        <w:spacing w:lineRule="atLeast" w:line="240" w:before="0" w:after="0"/>
        <w:jc w:val="left"/>
        <w:rPr/>
      </w:pPr>
      <w:r>
        <w:rPr/>
        <w:t> </w:t>
      </w:r>
    </w:p>
    <w:p>
      <w:pPr>
        <w:pStyle w:val="TextBody"/>
        <w:pBdr/>
        <w:bidi w:val="0"/>
        <w:spacing w:lineRule="atLeast" w:line="240" w:before="0" w:after="0"/>
        <w:ind w:left="10" w:right="0" w:hanging="0"/>
        <w:jc w:val="left"/>
        <w:rPr>
          <w:i/>
          <w:sz w:val="20"/>
        </w:rPr>
      </w:pPr>
      <w:r>
        <w:rPr>
          <w:i/>
          <w:sz w:val="20"/>
        </w:rPr>
        <w:t>3. Exhibits</w:t>
      </w:r>
    </w:p>
    <w:p>
      <w:pPr>
        <w:pStyle w:val="TextBody"/>
        <w:bidi w:val="0"/>
        <w:spacing w:lineRule="atLeast" w:line="240" w:before="0" w:after="0"/>
        <w:jc w:val="left"/>
        <w:rPr/>
      </w:pPr>
      <w:r>
        <w:rPr/>
        <w:t> </w:t>
      </w:r>
    </w:p>
    <w:p>
      <w:pPr>
        <w:pStyle w:val="TextBody"/>
        <w:pBdr/>
        <w:bidi w:val="0"/>
        <w:spacing w:lineRule="atLeast" w:line="240" w:before="0" w:after="200"/>
        <w:ind w:left="10" w:right="0" w:hanging="0"/>
        <w:jc w:val="left"/>
        <w:rPr>
          <w:sz w:val="20"/>
        </w:rPr>
      </w:pPr>
      <w:r>
        <w:rPr>
          <w:sz w:val="20"/>
        </w:rPr>
        <w:t>The exhibits that are required to be filed or incorporated by reference herein are listed in the Exhibit Index below.</w:t>
      </w:r>
    </w:p>
    <w:p>
      <w:pPr>
        <w:pStyle w:val="TextBody"/>
        <w:bidi w:val="0"/>
        <w:spacing w:before="0" w:after="0"/>
        <w:jc w:val="left"/>
        <w:rPr/>
      </w:pPr>
      <w:r>
        <w:rPr/>
        <w:t> </w:t>
      </w:r>
    </w:p>
    <w:p>
      <w:pPr>
        <w:pStyle w:val="TextBody"/>
        <w:bidi w:val="0"/>
        <w:spacing w:before="0" w:after="0"/>
        <w:jc w:val="left"/>
        <w:rPr>
          <w:b/>
          <w:sz w:val="20"/>
        </w:rPr>
      </w:pPr>
      <w:r>
        <w:rPr>
          <w:b/>
          <w:sz w:val="20"/>
        </w:rPr>
        <w:t>Exhibits</w:t>
      </w:r>
    </w:p>
    <w:p>
      <w:pPr>
        <w:pStyle w:val="TextBody"/>
        <w:bidi w:val="0"/>
        <w:spacing w:before="0" w:after="0"/>
        <w:jc w:val="left"/>
        <w:rPr/>
      </w:pPr>
      <w:r>
        <w:rPr/>
        <w:t> </w:t>
      </w:r>
    </w:p>
    <w:p>
      <w:pPr>
        <w:pStyle w:val="TextBody"/>
        <w:bidi w:val="0"/>
        <w:spacing w:before="0" w:after="0"/>
        <w:jc w:val="left"/>
        <w:rPr>
          <w:b/>
          <w:sz w:val="20"/>
          <w:u w:val="single"/>
        </w:rPr>
      </w:pPr>
      <w:r>
        <w:rPr>
          <w:b/>
          <w:sz w:val="20"/>
          <w:u w:val="single"/>
        </w:rPr>
        <w:t>Exhibit Index</w:t>
      </w:r>
    </w:p>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560"/>
        <w:gridCol w:w="60"/>
        <w:gridCol w:w="9585"/>
      </w:tblGrid>
      <w:tr>
        <w:trPr/>
        <w:tc>
          <w:tcPr>
            <w:tcW w:w="560" w:type="dxa"/>
            <w:tcBorders>
              <w:bottom w:val="single" w:sz="8" w:space="0" w:color="000000"/>
            </w:tcBorders>
            <w:vAlign w:val="center"/>
          </w:tcPr>
          <w:p>
            <w:pPr>
              <w:pStyle w:val="TableContents"/>
              <w:bidi w:val="0"/>
              <w:spacing w:before="0" w:after="0"/>
              <w:jc w:val="center"/>
              <w:rPr>
                <w:b/>
                <w:sz w:val="16"/>
              </w:rPr>
            </w:pPr>
            <w:r>
              <w:rPr>
                <w:b/>
                <w:sz w:val="16"/>
              </w:rPr>
              <w:t>Exhibit</w:t>
            </w:r>
          </w:p>
        </w:tc>
        <w:tc>
          <w:tcPr>
            <w:tcW w:w="60" w:type="dxa"/>
            <w:tcBorders/>
            <w:tcMar>
              <w:bottom w:w="0" w:type="dxa"/>
            </w:tcMar>
            <w:vAlign w:val="center"/>
          </w:tcPr>
          <w:p>
            <w:pPr>
              <w:pStyle w:val="TableContents"/>
              <w:bidi w:val="0"/>
              <w:spacing w:before="0" w:after="0"/>
              <w:jc w:val="left"/>
              <w:rPr/>
            </w:pPr>
            <w:r>
              <w:rPr/>
              <w:t> </w:t>
            </w:r>
          </w:p>
        </w:tc>
        <w:tc>
          <w:tcPr>
            <w:tcW w:w="9585" w:type="dxa"/>
            <w:tcBorders>
              <w:bottom w:val="single" w:sz="8" w:space="0" w:color="000000"/>
            </w:tcBorders>
            <w:vAlign w:val="center"/>
          </w:tcPr>
          <w:p>
            <w:pPr>
              <w:pStyle w:val="TableContents"/>
              <w:bidi w:val="0"/>
              <w:spacing w:before="0" w:after="0"/>
              <w:jc w:val="center"/>
              <w:rPr>
                <w:b/>
                <w:sz w:val="16"/>
              </w:rPr>
            </w:pPr>
            <w:r>
              <w:rPr>
                <w:b/>
                <w:sz w:val="16"/>
              </w:rPr>
              <w:t>Description</w:t>
            </w:r>
          </w:p>
        </w:tc>
      </w:tr>
      <w:tr>
        <w:trPr/>
        <w:tc>
          <w:tcPr>
            <w:tcW w:w="560" w:type="dxa"/>
            <w:tcBorders>
              <w:top w:val="single" w:sz="8" w:space="0" w:color="000000"/>
            </w:tcBorders>
            <w:tcMar>
              <w:top w:w="28" w:type="dxa"/>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op w:val="single" w:sz="8" w:space="0" w:color="000000"/>
            </w:tcBorders>
            <w:tcMar>
              <w:top w:w="28" w:type="dxa"/>
              <w:bottom w:w="0" w:type="dxa"/>
            </w:tcMar>
            <w:vAlign w:val="center"/>
          </w:tcPr>
          <w:p>
            <w:pPr>
              <w:pStyle w:val="TableContents"/>
              <w:bidi w:val="0"/>
              <w:spacing w:before="0" w:after="0"/>
              <w:jc w:val="left"/>
              <w:rPr/>
            </w:pPr>
            <w:r>
              <w:rPr/>
              <w:t> </w:t>
            </w:r>
          </w:p>
        </w:tc>
      </w:tr>
      <w:tr>
        <w:trPr/>
        <w:tc>
          <w:tcPr>
            <w:tcW w:w="560" w:type="dxa"/>
            <w:tcBorders/>
            <w:tcMar>
              <w:bottom w:w="0" w:type="dxa"/>
            </w:tcMar>
            <w:vAlign w:val="center"/>
          </w:tcPr>
          <w:p>
            <w:pPr>
              <w:pStyle w:val="TableContents"/>
              <w:bidi w:val="0"/>
              <w:spacing w:before="0" w:after="0"/>
              <w:jc w:val="left"/>
              <w:rPr>
                <w:sz w:val="20"/>
              </w:rPr>
            </w:pPr>
            <w:r>
              <w:rPr>
                <w:sz w:val="20"/>
              </w:rPr>
              <w:t>2.1</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3">
              <w:r>
                <w:rPr>
                  <w:rStyle w:val="InternetLink"/>
                  <w:color w:val="0000FF"/>
                  <w:sz w:val="20"/>
                  <w:u w:val="single"/>
                </w:rPr>
                <w:t>Agreement and Plan of Merger, dated July 30, 2025, by and among Euronet Worldwide, Inc., Genesis Merger Sub, Inc., and CoreCard Corporation (</w:t>
              </w:r>
            </w:hyperlink>
            <w:hyperlink r:id="rId4">
              <w:r>
                <w:rPr>
                  <w:rStyle w:val="InternetLink"/>
                  <w:rFonts w:ascii="Times New Roman" w:hAnsi="Times New Roman"/>
                  <w:color w:val="0000FF"/>
                  <w:sz w:val="20"/>
                  <w:u w:val="single"/>
                </w:rPr>
                <w:t>filed as Exhibit 2.1 to the Company’s Current Report on Form 8-K filed July 31, 2025 and incorporated by reference herein)</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3.1</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5">
              <w:r>
                <w:rPr>
                  <w:rStyle w:val="InternetLink"/>
                  <w:color w:val="0000FF"/>
                  <w:sz w:val="20"/>
                  <w:u w:val="single"/>
                </w:rPr>
                <w:t>Certificate of Incorporation of Euronet Worldwide, Inc., as amended (filed as Exhibit 3.2 to the Company's Current Report on Form 8-K filed on May 22, 2009 and incorporated by reference herein)</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3.2</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6">
              <w:r>
                <w:rPr>
                  <w:rStyle w:val="InternetLink"/>
                  <w:color w:val="0000FF"/>
                  <w:sz w:val="20"/>
                  <w:u w:val="single"/>
                </w:rPr>
                <w:t>Certificate of Amendment to Certificate of Incorporation of Euronet Worldwide, Inc. (filed as Exhibit 3.1 to the Company's Current Report on Form 8-K filed on May 22, 2009 and incorporated by reference herein)</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3.3</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7">
              <w:r>
                <w:rPr>
                  <w:rStyle w:val="InternetLink"/>
                  <w:color w:val="0000FF"/>
                  <w:sz w:val="20"/>
                  <w:u w:val="single"/>
                </w:rPr>
                <w:t>Amended and Restated Certificate of Designations, Preferences and Rights of Series A Junior Participating Preferred Stock (filed as Exhibit 3.1 to the Company's Current Report on Form 8-K filed on March 29, 2013, and incorporated herein by reference)</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3.4</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8">
              <w:r>
                <w:rPr>
                  <w:rStyle w:val="InternetLink"/>
                  <w:color w:val="0000FF"/>
                  <w:sz w:val="20"/>
                  <w:u w:val="single"/>
                </w:rPr>
                <w:t>Amended and Restated Bylaws of Euronet Worldwide, Inc. (filed as Exhibit 3.2 to the Company's Current Report on Form 8-K filed on February 28, 2017, and incorporated herein by reference)</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4.1</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9">
              <w:r>
                <w:rPr>
                  <w:rStyle w:val="InternetLink"/>
                  <w:color w:val="0000FF"/>
                  <w:sz w:val="20"/>
                  <w:u w:val="single"/>
                </w:rPr>
                <w:t>Indenture, dated May 22, 2019, between Euronet Worldwide, Inc. and U.S. Bank National Association, as trustee (filed as Exhibit 4.1 to the Company's Current Report on Form 8-K filed on May 22, 2019 and incorporated by reference herein)</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4.2</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10">
              <w:r>
                <w:rPr>
                  <w:rStyle w:val="InternetLink"/>
                  <w:color w:val="0000FF"/>
                  <w:sz w:val="20"/>
                  <w:u w:val="single"/>
                </w:rPr>
                <w:t>Supplemental Indenture, dated May 22, 2019, between Euronet Worldwide, Inc. and U.S. Bank National Association, as trustee (filed as Exhibit 4.2 to the Company's Current Report on Form 8-K filed on May 22, 2019 and incorporated by reference herein)</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4.3</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11">
              <w:r>
                <w:rPr>
                  <w:rStyle w:val="InternetLink"/>
                  <w:color w:val="0000FF"/>
                  <w:sz w:val="20"/>
                  <w:u w:val="single"/>
                </w:rPr>
                <w:t>Form of 1.375% Senior Note due 2026 (included as Exhibit A to Exhibit 4.1 above).</w:t>
              </w:r>
            </w:hyperlink>
          </w:p>
        </w:tc>
      </w:tr>
      <w:tr>
        <w:trPr/>
        <w:tc>
          <w:tcPr>
            <w:tcW w:w="5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color w:val="0000FF"/>
              </w:rPr>
            </w:pPr>
            <w:r>
              <w:rPr>
                <w:color w:val="0000FF"/>
              </w:rPr>
              <w:t> </w:t>
            </w:r>
          </w:p>
        </w:tc>
      </w:tr>
      <w:tr>
        <w:trPr/>
        <w:tc>
          <w:tcPr>
            <w:tcW w:w="560" w:type="dxa"/>
            <w:tcBorders/>
            <w:tcMar>
              <w:bottom w:w="0" w:type="dxa"/>
            </w:tcMar>
            <w:vAlign w:val="center"/>
          </w:tcPr>
          <w:p>
            <w:pPr>
              <w:pStyle w:val="TableContents"/>
              <w:bidi w:val="0"/>
              <w:spacing w:before="0" w:after="0"/>
              <w:jc w:val="left"/>
              <w:rPr>
                <w:sz w:val="20"/>
              </w:rPr>
            </w:pPr>
            <w:r>
              <w:rPr>
                <w:sz w:val="20"/>
              </w:rPr>
              <w:t>4.4</w:t>
            </w:r>
          </w:p>
        </w:tc>
        <w:tc>
          <w:tcPr>
            <w:tcW w:w="60" w:type="dxa"/>
            <w:tcBorders/>
            <w:tcMar>
              <w:bottom w:w="0" w:type="dxa"/>
            </w:tcMar>
            <w:vAlign w:val="center"/>
          </w:tcPr>
          <w:p>
            <w:pPr>
              <w:pStyle w:val="TableContents"/>
              <w:bidi w:val="0"/>
              <w:spacing w:before="0" w:after="0"/>
              <w:jc w:val="left"/>
              <w:rPr/>
            </w:pPr>
            <w:r>
              <w:rPr/>
              <w:t> </w:t>
            </w:r>
          </w:p>
        </w:tc>
        <w:tc>
          <w:tcPr>
            <w:tcW w:w="9585" w:type="dxa"/>
            <w:tcBorders/>
            <w:tcMar>
              <w:bottom w:w="0" w:type="dxa"/>
            </w:tcMar>
            <w:vAlign w:val="center"/>
          </w:tcPr>
          <w:p>
            <w:pPr>
              <w:pStyle w:val="TableContents"/>
              <w:bidi w:val="0"/>
              <w:spacing w:before="0" w:after="0"/>
              <w:jc w:val="both"/>
              <w:rPr/>
            </w:pPr>
            <w:hyperlink r:id="rId12">
              <w:r>
                <w:rPr>
                  <w:rStyle w:val="InternetLink"/>
                  <w:color w:val="0000FF"/>
                  <w:sz w:val="20"/>
                  <w:u w:val="single"/>
                </w:rPr>
                <w:t>Indenture, dated March 18, 2019, between the Company and U.S. Bank National Association, as trustee (filed as Exhibit 4.1 to the Company's Current Report on Form 8-K filed on March 18, 2019 and incorporated by reference herein)</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545"/>
        <w:gridCol w:w="60"/>
        <w:gridCol w:w="9600"/>
      </w:tblGrid>
      <w:tr>
        <w:trPr/>
        <w:tc>
          <w:tcPr>
            <w:tcW w:w="545" w:type="dxa"/>
            <w:tcBorders/>
            <w:vAlign w:val="center"/>
          </w:tcPr>
          <w:p>
            <w:pPr>
              <w:pStyle w:val="TableContents"/>
              <w:bidi w:val="0"/>
              <w:spacing w:before="0" w:after="0"/>
              <w:jc w:val="left"/>
              <w:rPr>
                <w:sz w:val="20"/>
              </w:rPr>
            </w:pPr>
            <w:r>
              <w:rPr>
                <w:sz w:val="20"/>
              </w:rPr>
              <w:t>4.5</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3">
              <w:r>
                <w:rPr>
                  <w:rStyle w:val="InternetLink"/>
                  <w:color w:val="0000FF"/>
                  <w:sz w:val="20"/>
                  <w:u w:val="single"/>
                </w:rPr>
                <w:t>Form of 0.75% Convertible Senior Note due 2049 (included as Exhibit A to Exhibit 4.4 above)</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4.6</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4">
              <w:r>
                <w:rPr>
                  <w:rStyle w:val="InternetLink"/>
                  <w:color w:val="0000FF"/>
                  <w:sz w:val="20"/>
                  <w:u w:val="single"/>
                </w:rPr>
                <w:t>Description of Securities (filed as Exhibit 4.6 to the Company's Annual Report on Form 10-K filed on March 3, 2020 and incorporated herein by reference.</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4.7</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5">
              <w:r>
                <w:rPr>
                  <w:rStyle w:val="InternetLink"/>
                  <w:color w:val="0000FF"/>
                  <w:sz w:val="20"/>
                  <w:u w:val="single"/>
                </w:rPr>
                <w:t>Indenture, dated August 15, 2025, between the Company and U.S. Bank Trust Company, National Association, as trustee (filed as Exhibit 4.1 to the Company's Current Report on Form 8-K filed on August 18, 2025, and incorporated by reference herein)</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4.8</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6">
              <w:r>
                <w:rPr>
                  <w:rStyle w:val="InternetLink"/>
                  <w:color w:val="0000FF"/>
                  <w:sz w:val="20"/>
                  <w:u w:val="single"/>
                </w:rPr>
                <w:t>Form of 0.625% Convertible Senior Notes due 2030 (filed as Exhibit A to Exhibit 4.1 to the Company's Current Report on Form 8-K filed on August 18, 2025, and incorporated by reference herein)</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7">
              <w:r>
                <w:rPr>
                  <w:rStyle w:val="InternetLink"/>
                  <w:color w:val="0000FF"/>
                  <w:sz w:val="20"/>
                  <w:u w:val="single"/>
                </w:rPr>
                <w:t>Form of Employee Restricted Stock Grant Agreement pursuant to Euronet Worldwide, Inc. 2006 Stock Incentive Plan (filed as Exhibit 10.8 to the Company's Quarterly Report on Form 10-Q filed on August 4, 2006,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10.2</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8">
              <w:r>
                <w:rPr>
                  <w:rStyle w:val="InternetLink"/>
                  <w:color w:val="0000FF"/>
                  <w:sz w:val="20"/>
                  <w:u w:val="single"/>
                </w:rPr>
                <w:t>Employment Agreement dated June 19, 2007 between Euronet Worldwide, Inc. and Kevin J. Caponecchi (filed as Exhibit 10.1 to the Company's Current Report on Form 8-K filed on June 25, 2007,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10.3</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19">
              <w:r>
                <w:rPr>
                  <w:rStyle w:val="InternetLink"/>
                  <w:color w:val="0000FF"/>
                  <w:sz w:val="20"/>
                  <w:u w:val="single"/>
                </w:rPr>
                <w:t>Amended and Restated Employment Agreement dated April 10, 2008 between Euronet Worldwide, Inc. and Michael J. Brown, Chairman and Chief Executive Officer (filed as Exhibit 10.3 to the Company's Quarterly Report on Form 10-Q filed on May 9, 2008,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10.4</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0">
              <w:r>
                <w:rPr>
                  <w:rStyle w:val="InternetLink"/>
                  <w:color w:val="0000FF"/>
                  <w:sz w:val="20"/>
                  <w:u w:val="single"/>
                </w:rPr>
                <w:t>Amended and Restated Employment Agreement dated April 10, 2008 between Euronet Worldwide, Inc. and Rick L. Weller, Executive Vice President and Chief Financial Officer (filed as Exhibit 10.4 to the Company's Quarterly Report on Form 10-Q filed on May 9, 2008,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10.5</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1">
              <w:r>
                <w:rPr>
                  <w:rStyle w:val="InternetLink"/>
                  <w:color w:val="0000FF"/>
                  <w:sz w:val="20"/>
                  <w:u w:val="single"/>
                </w:rPr>
                <w:t>Amended and Restated Employment Agreement dated April 10, 2008 between Euronet Worldwide, Inc. and Juan C. Bianchi, Executive Vice President and Managing Director, Money Transfer Segment (filed as Exhibit 10.6 to the Company's Quarterly Report on Form 10-Q filed on May 9, 2008,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10.6</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2">
              <w:r>
                <w:rPr>
                  <w:rStyle w:val="InternetLink"/>
                  <w:color w:val="0000FF"/>
                  <w:sz w:val="20"/>
                  <w:u w:val="single"/>
                </w:rPr>
                <w:t>Form of Indemnification Agreement, (filed as Exhibit 10.1 to the Company's Current Report on Form 8-K filed on December 22, 2008, and incorporated by reference herein)</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10.7</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3">
              <w:r>
                <w:rPr>
                  <w:rStyle w:val="InternetLink"/>
                  <w:color w:val="0000FF"/>
                  <w:sz w:val="20"/>
                  <w:u w:val="single"/>
                </w:rPr>
                <w:t>Euronet Worldwide, Inc. 2006 Stock Incentive Plan, as amended and restated (filed as Appendix B to the Company's Definitive Proxy Statement filed on April 4, 2021,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10.8</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4">
              <w:r>
                <w:rPr>
                  <w:rStyle w:val="InternetLink"/>
                  <w:color w:val="0000FF"/>
                  <w:sz w:val="20"/>
                  <w:u w:val="single"/>
                </w:rPr>
                <w:t>Form of Nonqualified Stock Option Agreement, as amended, pursuant to Euronet Worldwide, Inc. 2006 Stock Incentive Plan (filed as Exhibit 10.2 to the Company's Quarterly Report on Form 10-Q filed on May 7, 2010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10.9.1</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5">
              <w:r>
                <w:rPr>
                  <w:rStyle w:val="InternetLink"/>
                  <w:color w:val="0000FF"/>
                  <w:sz w:val="20"/>
                  <w:u w:val="single"/>
                </w:rPr>
                <w:t>Employment Agreement dated May 21, 2018 between Euronet Worldwide, Inc. and Nikos Fountas (filed as Exhibit 10.1 to the Company's Current Report on Form 8-K filed on May 23, 2018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10.9.2</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6">
              <w:r>
                <w:rPr>
                  <w:rStyle w:val="InternetLink"/>
                  <w:color w:val="0000FF"/>
                  <w:sz w:val="20"/>
                  <w:u w:val="single"/>
                </w:rPr>
                <w:t>Deed of Amendment to the Service Agreement dated May 21, 2018 between Euronet Worldwide, Inc. and Nikos Fountas (filed as Exhibit 10.2 to the Company's Quarterly Report on Form 10-Q filed on August 3, 2018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color w:val="0000FF"/>
              </w:rPr>
            </w:pPr>
            <w:r>
              <w:rPr>
                <w:color w:val="0000FF"/>
              </w:rPr>
              <w:t> </w:t>
            </w:r>
          </w:p>
        </w:tc>
      </w:tr>
      <w:tr>
        <w:trPr/>
        <w:tc>
          <w:tcPr>
            <w:tcW w:w="545" w:type="dxa"/>
            <w:tcBorders/>
            <w:vAlign w:val="center"/>
          </w:tcPr>
          <w:p>
            <w:pPr>
              <w:pStyle w:val="TableContents"/>
              <w:bidi w:val="0"/>
              <w:spacing w:before="0" w:after="0"/>
              <w:jc w:val="left"/>
              <w:rPr>
                <w:sz w:val="20"/>
              </w:rPr>
            </w:pPr>
            <w:r>
              <w:rPr>
                <w:sz w:val="20"/>
              </w:rPr>
              <w:t>10.10</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both"/>
              <w:rPr/>
            </w:pPr>
            <w:hyperlink r:id="rId27">
              <w:r>
                <w:rPr>
                  <w:rStyle w:val="InternetLink"/>
                  <w:color w:val="0000FF"/>
                  <w:sz w:val="20"/>
                  <w:u w:val="single"/>
                </w:rPr>
                <w:t>Bonus Compensation Agreement between Euronet Worldwide, Inc. and Nikos Fountas, Senior Vice President - Managing Director, Europe EFT Processing Segment (filed as Exhibit 10.26 to the Company's Annual Report on Form 10-K filed on February 25, 2011 and incorporated by reference herein) (2)</w:t>
              </w:r>
            </w:hyperlink>
          </w:p>
        </w:tc>
      </w:tr>
      <w:tr>
        <w:trPr/>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left"/>
              <w:rPr>
                <w:color w:val="0000FF"/>
              </w:rPr>
            </w:pPr>
            <w:r>
              <w:rPr>
                <w:color w:val="0000FF"/>
              </w:rPr>
              <w:t> </w:t>
            </w:r>
          </w:p>
        </w:tc>
      </w:tr>
    </w:tbl>
    <w:p>
      <w:pPr>
        <w:pStyle w:val="TextBody"/>
        <w:bidi w:val="0"/>
        <w:spacing w:before="0" w:after="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0"/>
              <w:jc w:val="left"/>
              <w:rPr>
                <w:sz w:val="20"/>
              </w:rPr>
            </w:pPr>
            <w:r>
              <w:rPr>
                <w:sz w:val="20"/>
              </w:rPr>
              <w:t>10.11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r:id="rId28">
              <w:r>
                <w:rPr>
                  <w:rStyle w:val="InternetLink"/>
                  <w:color w:val="0000FF"/>
                  <w:sz w:val="20"/>
                  <w:u w:val="single"/>
                </w:rPr>
                <w:t>Euronet Worldwide, Inc. Employee Stock Purchase Plan, as amended (filed as Exhibit 10.18 to the Company's Annual Report on Form 10-K filed on February 26, 2016 and incorporated by reference herein) (2)</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10.12</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r:id="rId29">
              <w:r>
                <w:rPr>
                  <w:rStyle w:val="InternetLink"/>
                  <w:color w:val="0000FF"/>
                  <w:sz w:val="20"/>
                  <w:u w:val="single"/>
                </w:rPr>
                <w:t>Euronet Worldwide, Inc. Executive Annual Incentive Plan, as amended and restated (filed as Appendix B to the Company's Definitive Proxy Statement on Form DEF 14A filed on April 8, 2016 and incorporated by reference herein) (2)</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10.13</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r:id="rId30">
              <w:r>
                <w:rPr>
                  <w:rStyle w:val="InternetLink"/>
                  <w:color w:val="0000FF"/>
                  <w:sz w:val="20"/>
                  <w:u w:val="single"/>
                </w:rPr>
                <w:t>Form of Nonqualified Stock Option Agreement, as amended, pursuant to Euronet Worldwide, Inc. 2006 Stock Incentive Plan (filed as Exhibit 10.19 to the Company's Annual Report on Form 10-K filed on March 1, 2018 and incorporated by reference herein) (2)</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10.14</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r:id="rId31">
              <w:r>
                <w:rPr>
                  <w:rStyle w:val="InternetLink"/>
                  <w:color w:val="0000FF"/>
                  <w:sz w:val="20"/>
                  <w:u w:val="single"/>
                </w:rPr>
                <w:t>Form of Restricted Stock Unit Agreement, as amended, pursuant to Euronet Worldwide, Inc. 2006 Stock Incentive Plan (filed as Exhibit 10.20 to the Company's Annual Report on Form 10-K filed on March 1, 2018 and incorporated by reference herein) (2)</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10.15</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r:id="rId32">
              <w:r>
                <w:rPr>
                  <w:rStyle w:val="InternetLink"/>
                  <w:color w:val="0000FF"/>
                  <w:sz w:val="20"/>
                  <w:u w:val="single"/>
                </w:rPr>
                <w:t>Second Amended and Restated</w:t>
              </w:r>
            </w:hyperlink>
            <w:hyperlink r:id="rId33">
              <w:r>
                <w:rPr>
                  <w:rStyle w:val="InternetLink"/>
                  <w:color w:val="0000FF"/>
                  <w:u w:val="single"/>
                </w:rPr>
                <w:t> </w:t>
              </w:r>
            </w:hyperlink>
            <w:hyperlink r:id="rId34">
              <w:r>
                <w:rPr>
                  <w:rStyle w:val="InternetLink"/>
                  <w:color w:val="0000FF"/>
                  <w:sz w:val="20"/>
                  <w:u w:val="single"/>
                </w:rPr>
                <w:t>Credit Agreement dated as of December 17, 2024</w:t>
              </w:r>
            </w:hyperlink>
            <w:hyperlink r:id="rId35">
              <w:r>
                <w:rPr>
                  <w:rStyle w:val="InternetLink"/>
                  <w:color w:val="0000FF"/>
                  <w:u w:val="single"/>
                </w:rPr>
                <w:t> </w:t>
              </w:r>
            </w:hyperlink>
            <w:hyperlink r:id="rId36">
              <w:r>
                <w:rPr>
                  <w:rStyle w:val="InternetLink"/>
                  <w:color w:val="0000FF"/>
                  <w:sz w:val="20"/>
                  <w:u w:val="single"/>
                </w:rPr>
                <w:t>among</w:t>
              </w:r>
            </w:hyperlink>
            <w:hyperlink r:id="rId37">
              <w:r>
                <w:rPr>
                  <w:rStyle w:val="InternetLink"/>
                  <w:color w:val="0000FF"/>
                  <w:u w:val="single"/>
                </w:rPr>
                <w:t> </w:t>
              </w:r>
            </w:hyperlink>
            <w:hyperlink r:id="rId38">
              <w:r>
                <w:rPr>
                  <w:rStyle w:val="InternetLink"/>
                  <w:color w:val="0000FF"/>
                  <w:sz w:val="20"/>
                  <w:u w:val="single"/>
                </w:rPr>
                <w:t>Euronet</w:t>
              </w:r>
            </w:hyperlink>
            <w:hyperlink r:id="rId39">
              <w:r>
                <w:rPr>
                  <w:rStyle w:val="InternetLink"/>
                  <w:color w:val="0000FF"/>
                  <w:u w:val="single"/>
                </w:rPr>
                <w:t> </w:t>
              </w:r>
            </w:hyperlink>
            <w:hyperlink r:id="rId40">
              <w:r>
                <w:rPr>
                  <w:rStyle w:val="InternetLink"/>
                  <w:color w:val="0000FF"/>
                  <w:sz w:val="20"/>
                  <w:u w:val="single"/>
                </w:rPr>
                <w:t>Worldwide,</w:t>
              </w:r>
            </w:hyperlink>
            <w:hyperlink r:id="rId41">
              <w:r>
                <w:rPr>
                  <w:rStyle w:val="InternetLink"/>
                  <w:color w:val="0000FF"/>
                  <w:u w:val="single"/>
                </w:rPr>
                <w:t> </w:t>
              </w:r>
            </w:hyperlink>
            <w:hyperlink r:id="rId42">
              <w:r>
                <w:rPr>
                  <w:rStyle w:val="InternetLink"/>
                  <w:color w:val="0000FF"/>
                  <w:sz w:val="20"/>
                  <w:u w:val="single"/>
                </w:rPr>
                <w:t>Inc. and certain subsidiaries, as borrowers, the lenders party thereto, Bank of America, N.A., as administrative agent, Wells Fargo Bank, HSBC Bank USA, National Association and U.S. Bank National Association, Fifth Third Bank, as co-syndication agents, et al. (filed as Exhibit 10.1 to the Company's Current Report on Form 8-K filed on December 19, 2024 and incorporated by reference herein)</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10.16</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r:id="rId43">
              <w:r>
                <w:rPr>
                  <w:rStyle w:val="InternetLink"/>
                  <w:color w:val="0000FF"/>
                  <w:sz w:val="20"/>
                  <w:u w:val="single"/>
                </w:rPr>
                <w:t>Form of Confirmation for Capped Call Transactions (filed as Exhibit 10.1 to the Company's Current Report on Form 8-K filed on August 18, 2025, and incorporated by reference herein)</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19.1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pPr>
            <w:hyperlink w:anchor="ex191_1.htm">
              <w:r>
                <w:rPr>
                  <w:rStyle w:val="InternetLink"/>
                  <w:rFonts w:ascii="Times New Roman" w:hAnsi="Times New Roman"/>
                  <w:color w:val="0000FF"/>
                  <w:sz w:val="20"/>
                  <w:u w:val="single"/>
                </w:rPr>
                <w:t>Policy Relating to Insider Trading and Confidentiality of Information Amended on July 14 2025</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21.1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w:anchor="ex211_2.htm">
              <w:bookmarkStart w:id="73" w:name="EX-21.1"/>
              <w:bookmarkEnd w:id="73"/>
              <w:r>
                <w:rPr>
                  <w:rStyle w:val="InternetLink"/>
                  <w:color w:val="0000FF"/>
                  <w:sz w:val="20"/>
                  <w:u w:val="single"/>
                </w:rPr>
                <w:t>Subsidiaries of the Registrant (1)</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23.1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w:anchor="ex231_3.htm">
              <w:bookmarkStart w:id="74" w:name="EX-23.1"/>
              <w:bookmarkEnd w:id="74"/>
              <w:r>
                <w:rPr>
                  <w:rStyle w:val="InternetLink"/>
                  <w:color w:val="0000FF"/>
                  <w:sz w:val="20"/>
                  <w:u w:val="single"/>
                </w:rPr>
                <w:t>Consent of Independent Registered Public Accounting Firm (1)</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31.1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w:anchor="ex311_4.htm">
              <w:bookmarkStart w:id="75" w:name="EX-31.1"/>
              <w:bookmarkEnd w:id="75"/>
              <w:r>
                <w:rPr>
                  <w:rStyle w:val="InternetLink"/>
                  <w:color w:val="0000FF"/>
                  <w:sz w:val="20"/>
                  <w:u w:val="single"/>
                </w:rPr>
                <w:t>Section</w:t>
              </w:r>
            </w:hyperlink>
            <w:hyperlink w:anchor="ex311_4.htm">
              <w:r>
                <w:rPr>
                  <w:rStyle w:val="InternetLink"/>
                  <w:color w:val="0000FF"/>
                  <w:u w:val="single"/>
                </w:rPr>
                <w:t> </w:t>
              </w:r>
            </w:hyperlink>
            <w:hyperlink w:anchor="ex311_4.htm">
              <w:r>
                <w:rPr>
                  <w:rStyle w:val="InternetLink"/>
                  <w:color w:val="0000FF"/>
                  <w:sz w:val="20"/>
                  <w:u w:val="single"/>
                </w:rPr>
                <w:t>302 — Certification of Chief Executive Officer (1)</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31.2</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w:anchor="ex312_5.htm">
              <w:bookmarkStart w:id="76" w:name="EX-31.2"/>
              <w:bookmarkEnd w:id="76"/>
              <w:r>
                <w:rPr>
                  <w:rStyle w:val="InternetLink"/>
                  <w:color w:val="0000FF"/>
                  <w:sz w:val="20"/>
                  <w:u w:val="single"/>
                </w:rPr>
                <w:t>Section</w:t>
              </w:r>
            </w:hyperlink>
            <w:hyperlink w:anchor="ex312_5.htm">
              <w:r>
                <w:rPr>
                  <w:rStyle w:val="InternetLink"/>
                  <w:color w:val="0000FF"/>
                  <w:u w:val="single"/>
                </w:rPr>
                <w:t> </w:t>
              </w:r>
            </w:hyperlink>
            <w:hyperlink w:anchor="ex312_5.htm">
              <w:r>
                <w:rPr>
                  <w:rStyle w:val="InternetLink"/>
                  <w:color w:val="0000FF"/>
                  <w:sz w:val="20"/>
                  <w:u w:val="single"/>
                </w:rPr>
                <w:t>302 — Certification of Chief Financial Officer (1)</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32.1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w:anchor="ex321_6.htm">
              <w:bookmarkStart w:id="77" w:name="EX-32.1"/>
              <w:bookmarkEnd w:id="77"/>
              <w:r>
                <w:rPr>
                  <w:rStyle w:val="InternetLink"/>
                  <w:color w:val="0000FF"/>
                  <w:sz w:val="20"/>
                  <w:u w:val="single"/>
                </w:rPr>
                <w:t>Section</w:t>
              </w:r>
            </w:hyperlink>
            <w:hyperlink w:anchor="ex321_6.htm">
              <w:r>
                <w:rPr>
                  <w:rStyle w:val="InternetLink"/>
                  <w:color w:val="0000FF"/>
                  <w:u w:val="single"/>
                </w:rPr>
                <w:t> </w:t>
              </w:r>
            </w:hyperlink>
            <w:hyperlink w:anchor="ex321_6.htm">
              <w:r>
                <w:rPr>
                  <w:rStyle w:val="InternetLink"/>
                  <w:color w:val="0000FF"/>
                  <w:sz w:val="20"/>
                  <w:u w:val="single"/>
                </w:rPr>
                <w:t>906 Certification of Chief Executive Officer (3)</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32.2</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w:anchor="ex322_7.htm">
              <w:bookmarkStart w:id="78" w:name="EX-32.2"/>
              <w:bookmarkEnd w:id="78"/>
              <w:r>
                <w:rPr>
                  <w:rStyle w:val="InternetLink"/>
                  <w:color w:val="0000FF"/>
                  <w:sz w:val="20"/>
                  <w:u w:val="single"/>
                </w:rPr>
                <w:t>Section</w:t>
              </w:r>
            </w:hyperlink>
            <w:hyperlink w:anchor="ex322_7.htm">
              <w:r>
                <w:rPr>
                  <w:rStyle w:val="InternetLink"/>
                  <w:color w:val="0000FF"/>
                  <w:u w:val="single"/>
                </w:rPr>
                <w:t> </w:t>
              </w:r>
            </w:hyperlink>
            <w:hyperlink w:anchor="ex322_7.htm">
              <w:r>
                <w:rPr>
                  <w:rStyle w:val="InternetLink"/>
                  <w:color w:val="0000FF"/>
                  <w:sz w:val="20"/>
                  <w:u w:val="single"/>
                </w:rPr>
                <w:t>906 Certification of Chief Financial Officer (3)</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color w:val="0000FF"/>
              </w:rPr>
            </w:pPr>
            <w:r>
              <w:rPr>
                <w:color w:val="0000FF"/>
              </w:rPr>
              <w:t> </w:t>
            </w:r>
          </w:p>
        </w:tc>
      </w:tr>
      <w:tr>
        <w:trPr/>
        <w:tc>
          <w:tcPr>
            <w:tcW w:w="500" w:type="dxa"/>
            <w:tcBorders/>
            <w:vAlign w:val="center"/>
          </w:tcPr>
          <w:p>
            <w:pPr>
              <w:pStyle w:val="TableContents"/>
              <w:bidi w:val="0"/>
              <w:spacing w:before="0" w:after="0"/>
              <w:jc w:val="left"/>
              <w:rPr>
                <w:sz w:val="20"/>
              </w:rPr>
            </w:pPr>
            <w:r>
              <w:rPr>
                <w:sz w:val="20"/>
              </w:rPr>
              <w:t>97.1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hyperlink r:id="rId44">
              <w:r>
                <w:rPr>
                  <w:rStyle w:val="InternetLink"/>
                  <w:color w:val="0000FF"/>
                  <w:sz w:val="20"/>
                  <w:u w:val="single"/>
                </w:rPr>
                <w:t>Incentive Compensation Clawback Policy (1)</w:t>
              </w:r>
            </w:hyperlink>
            <w:hyperlink r:id="rId45">
              <w:r>
                <w:rPr>
                  <w:rStyle w:val="InternetLink"/>
                  <w:color w:val="0000FF"/>
                  <w:u w:val="single"/>
                </w:rPr>
                <w:t xml:space="preserve"> </w:t>
              </w:r>
            </w:hyperlink>
            <w:hyperlink r:id="rId46">
              <w:r>
                <w:rPr>
                  <w:rStyle w:val="InternetLink"/>
                  <w:color w:val="0000FF"/>
                  <w:sz w:val="20"/>
                  <w:u w:val="single"/>
                </w:rPr>
                <w:t xml:space="preserve">(filed </w:t>
              </w:r>
            </w:hyperlink>
            <w:hyperlink r:id="rId47">
              <w:r>
                <w:rPr>
                  <w:rStyle w:val="InternetLink"/>
                  <w:rFonts w:ascii="Times New Roman" w:hAnsi="Times New Roman"/>
                  <w:color w:val="0000FF"/>
                  <w:sz w:val="20"/>
                  <w:u w:val="single"/>
                </w:rPr>
                <w:t>as Exhibit</w:t>
              </w:r>
            </w:hyperlink>
            <w:hyperlink r:id="rId48">
              <w:r>
                <w:rPr>
                  <w:rStyle w:val="InternetLink"/>
                  <w:color w:val="0000FF"/>
                  <w:u w:val="single"/>
                </w:rPr>
                <w:t xml:space="preserve"> </w:t>
              </w:r>
            </w:hyperlink>
            <w:hyperlink r:id="rId49">
              <w:r>
                <w:rPr>
                  <w:rStyle w:val="InternetLink"/>
                  <w:color w:val="0000FF"/>
                  <w:sz w:val="20"/>
                  <w:u w:val="single"/>
                </w:rPr>
                <w:t>97.1 to the Company's Annual Report on Form 10-K filed on February 25, 2025, and incorporated by reference herein)</w:t>
              </w:r>
            </w:hyperlink>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r>
              <w:rPr/>
              <w:t> </w:t>
            </w:r>
          </w:p>
        </w:tc>
      </w:tr>
      <w:tr>
        <w:trPr/>
        <w:tc>
          <w:tcPr>
            <w:tcW w:w="500"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both"/>
              <w:rPr>
                <w:sz w:val="20"/>
              </w:rPr>
            </w:pPr>
            <w:r>
              <w:rPr>
                <w:sz w:val="20"/>
              </w:rPr>
              <w:t xml:space="preserve">The following materials from Euronet Worldwide, Inc.’s Annual Report on Form 10-K for the year ended </w:t>
            </w:r>
            <w:r>
              <w:rPr>
                <w:rFonts w:ascii="Times New Roman" w:hAnsi="Times New Roman"/>
                <w:sz w:val="20"/>
              </w:rPr>
              <w:t>December 31, 2025</w:t>
            </w:r>
            <w:r>
              <w:rPr>
                <w:sz w:val="20"/>
              </w:rPr>
              <w:t xml:space="preserve">, formatted inline XBRL (eXtensible Business Reporting Language): (i) Consolidated Balance Sheets at </w:t>
            </w:r>
            <w:r>
              <w:rPr>
                <w:rFonts w:ascii="Times New Roman" w:hAnsi="Times New Roman"/>
                <w:sz w:val="20"/>
              </w:rPr>
              <w:t>December 31, 2025</w:t>
            </w:r>
            <w:r>
              <w:rPr>
                <w:sz w:val="20"/>
              </w:rPr>
              <w:t xml:space="preserve"> and </w:t>
            </w:r>
            <w:r>
              <w:rPr>
                <w:rFonts w:ascii="Times New Roman" w:hAnsi="Times New Roman"/>
                <w:sz w:val="20"/>
              </w:rPr>
              <w:t>2024</w:t>
            </w:r>
            <w:r>
              <w:rPr>
                <w:sz w:val="20"/>
              </w:rPr>
              <w:t xml:space="preserve">, (ii) Consolidated Statements of Operations for the years ended </w:t>
            </w:r>
            <w:r>
              <w:rPr>
                <w:rFonts w:ascii="Times New Roman" w:hAnsi="Times New Roman"/>
                <w:sz w:val="20"/>
              </w:rPr>
              <w:t>December 31, 2025</w:t>
            </w:r>
            <w:r>
              <w:rPr>
                <w:sz w:val="20"/>
              </w:rPr>
              <w:t xml:space="preserve">, </w:t>
            </w:r>
            <w:r>
              <w:rPr>
                <w:rFonts w:ascii="Times New Roman" w:hAnsi="Times New Roman"/>
                <w:sz w:val="20"/>
              </w:rPr>
              <w:t>2024</w:t>
            </w:r>
            <w:r>
              <w:rPr>
                <w:sz w:val="20"/>
              </w:rPr>
              <w:t xml:space="preserve"> and </w:t>
            </w:r>
            <w:r>
              <w:rPr>
                <w:rFonts w:ascii="Times New Roman" w:hAnsi="Times New Roman"/>
                <w:sz w:val="20"/>
              </w:rPr>
              <w:t>2023</w:t>
            </w:r>
            <w:r>
              <w:rPr>
                <w:sz w:val="20"/>
              </w:rPr>
              <w:t xml:space="preserve">, (iii) Consolidated Statements of Comprehensive (Loss) Income for the years ended </w:t>
            </w:r>
            <w:r>
              <w:rPr>
                <w:rFonts w:ascii="Times New Roman" w:hAnsi="Times New Roman"/>
                <w:sz w:val="20"/>
              </w:rPr>
              <w:t>December 31, 2025</w:t>
            </w:r>
            <w:r>
              <w:rPr>
                <w:sz w:val="20"/>
              </w:rPr>
              <w:t xml:space="preserve">, </w:t>
            </w:r>
            <w:r>
              <w:rPr>
                <w:rFonts w:ascii="Times New Roman" w:hAnsi="Times New Roman"/>
                <w:sz w:val="20"/>
              </w:rPr>
              <w:t>2024</w:t>
            </w:r>
            <w:r>
              <w:rPr>
                <w:sz w:val="20"/>
              </w:rPr>
              <w:t xml:space="preserve"> and </w:t>
            </w:r>
            <w:r>
              <w:rPr>
                <w:rFonts w:ascii="Times New Roman" w:hAnsi="Times New Roman"/>
                <w:sz w:val="20"/>
              </w:rPr>
              <w:t>2023</w:t>
            </w:r>
            <w:r>
              <w:rPr>
                <w:sz w:val="20"/>
              </w:rPr>
              <w:t xml:space="preserve">, (iv) Consolidated Statements of Changes in Equity for the years ended </w:t>
            </w:r>
            <w:r>
              <w:rPr>
                <w:rFonts w:ascii="Times New Roman" w:hAnsi="Times New Roman"/>
                <w:sz w:val="20"/>
              </w:rPr>
              <w:t>December 31, 2025</w:t>
            </w:r>
            <w:r>
              <w:rPr>
                <w:sz w:val="20"/>
              </w:rPr>
              <w:t xml:space="preserve">, </w:t>
            </w:r>
            <w:r>
              <w:rPr>
                <w:rFonts w:ascii="Times New Roman" w:hAnsi="Times New Roman"/>
                <w:sz w:val="20"/>
              </w:rPr>
              <w:t>2024</w:t>
            </w:r>
            <w:r>
              <w:rPr>
                <w:sz w:val="20"/>
              </w:rPr>
              <w:t xml:space="preserve"> and </w:t>
            </w:r>
            <w:r>
              <w:rPr>
                <w:rFonts w:ascii="Times New Roman" w:hAnsi="Times New Roman"/>
                <w:sz w:val="20"/>
              </w:rPr>
              <w:t>2023</w:t>
            </w:r>
            <w:r>
              <w:rPr>
                <w:sz w:val="20"/>
              </w:rPr>
              <w:t xml:space="preserve">, (v) Consolidated Statements of Cash Flows for the years ended </w:t>
            </w:r>
            <w:r>
              <w:rPr>
                <w:rFonts w:ascii="Times New Roman" w:hAnsi="Times New Roman"/>
                <w:sz w:val="20"/>
              </w:rPr>
              <w:t>December 31, 2025</w:t>
            </w:r>
            <w:r>
              <w:rPr>
                <w:sz w:val="20"/>
              </w:rPr>
              <w:t xml:space="preserve">, </w:t>
            </w:r>
            <w:r>
              <w:rPr>
                <w:rFonts w:ascii="Times New Roman" w:hAnsi="Times New Roman"/>
                <w:sz w:val="20"/>
              </w:rPr>
              <w:t>2024</w:t>
            </w:r>
            <w:r>
              <w:rPr>
                <w:sz w:val="20"/>
              </w:rPr>
              <w:t xml:space="preserve"> and </w:t>
            </w:r>
            <w:r>
              <w:rPr>
                <w:rFonts w:ascii="Times New Roman" w:hAnsi="Times New Roman"/>
                <w:sz w:val="20"/>
              </w:rPr>
              <w:t>2023</w:t>
            </w:r>
            <w:r>
              <w:rPr>
                <w:sz w:val="20"/>
              </w:rPr>
              <w:t>, and (vi) Notes to the Consolidated Financial Statements.</w:t>
            </w:r>
          </w:p>
        </w:tc>
      </w:tr>
      <w:tr>
        <w:trPr/>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pPr>
            <w:r>
              <w:rPr/>
              <w:t> </w:t>
            </w:r>
          </w:p>
        </w:tc>
      </w:tr>
      <w:tr>
        <w:trPr/>
        <w:tc>
          <w:tcPr>
            <w:tcW w:w="500" w:type="dxa"/>
            <w:tcBorders/>
            <w:vAlign w:val="center"/>
          </w:tcPr>
          <w:p>
            <w:pPr>
              <w:pStyle w:val="TableContents"/>
              <w:bidi w:val="0"/>
              <w:spacing w:before="0" w:after="0"/>
              <w:jc w:val="left"/>
              <w:rPr>
                <w:sz w:val="20"/>
              </w:rPr>
            </w:pPr>
            <w:r>
              <w:rPr>
                <w:sz w:val="20"/>
              </w:rPr>
              <w:t>104</w:t>
            </w:r>
          </w:p>
        </w:tc>
        <w:tc>
          <w:tcPr>
            <w:tcW w:w="60" w:type="dxa"/>
            <w:tcBorders/>
            <w:vAlign w:val="center"/>
          </w:tcPr>
          <w:p>
            <w:pPr>
              <w:pStyle w:val="TableContents"/>
              <w:bidi w:val="0"/>
              <w:spacing w:before="0" w:after="0"/>
              <w:jc w:val="left"/>
              <w:rPr/>
            </w:pPr>
            <w:r>
              <w:rPr/>
              <w:t> </w:t>
            </w:r>
          </w:p>
        </w:tc>
        <w:tc>
          <w:tcPr>
            <w:tcW w:w="9645" w:type="dxa"/>
            <w:tcBorders/>
            <w:vAlign w:val="center"/>
          </w:tcPr>
          <w:p>
            <w:pPr>
              <w:pStyle w:val="TableContents"/>
              <w:bidi w:val="0"/>
              <w:spacing w:before="0" w:after="0"/>
              <w:jc w:val="left"/>
              <w:rPr>
                <w:sz w:val="20"/>
              </w:rPr>
            </w:pPr>
            <w:r>
              <w:rPr>
                <w:sz w:val="20"/>
              </w:rPr>
              <w:t>Cover Page Interactive Data File (contained in Exhibit 101)</w:t>
            </w:r>
          </w:p>
        </w:tc>
      </w:tr>
    </w:tbl>
    <w:p>
      <w:pPr>
        <w:pStyle w:val="TextBody"/>
        <w:bidi w:val="0"/>
        <w:spacing w:lineRule="atLeast" w:line="240" w:before="0" w:after="0"/>
        <w:jc w:val="left"/>
        <w:rPr>
          <w:sz w:val="20"/>
        </w:rPr>
      </w:pPr>
      <w:r>
        <w:rPr>
          <w:sz w:val="20"/>
        </w:rPr>
        <w:t>___________________________</w:t>
      </w:r>
    </w:p>
    <w:tbl>
      <w:tblPr>
        <w:tblW w:w="1510" w:type="dxa"/>
        <w:jc w:val="left"/>
        <w:tblInd w:w="0" w:type="dxa"/>
        <w:tblLayout w:type="fixed"/>
        <w:tblCellMar>
          <w:top w:w="0" w:type="dxa"/>
          <w:left w:w="0" w:type="dxa"/>
          <w:bottom w:w="0" w:type="dxa"/>
          <w:right w:w="0" w:type="dxa"/>
        </w:tblCellMar>
      </w:tblPr>
      <w:tblGrid>
        <w:gridCol w:w="260"/>
        <w:gridCol w:w="1250"/>
      </w:tblGrid>
      <w:tr>
        <w:trPr/>
        <w:tc>
          <w:tcPr>
            <w:tcW w:w="26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lineRule="atLeast" w:line="240" w:before="20" w:after="0"/>
              <w:jc w:val="left"/>
              <w:rPr>
                <w:sz w:val="20"/>
              </w:rPr>
            </w:pPr>
            <w:r>
              <w:rPr>
                <w:sz w:val="20"/>
              </w:rPr>
              <w:t>(1)</w:t>
            </w:r>
          </w:p>
        </w:tc>
        <w:tc>
          <w:tcPr>
            <w:tcW w:w="1250" w:type="dxa"/>
            <w:tcBorders/>
            <w:vAlign w:val="center"/>
          </w:tcPr>
          <w:p>
            <w:pPr>
              <w:pStyle w:val="TableContents"/>
              <w:bidi w:val="0"/>
              <w:spacing w:lineRule="atLeast" w:line="240" w:before="40" w:after="0"/>
              <w:jc w:val="left"/>
              <w:rPr>
                <w:sz w:val="20"/>
              </w:rPr>
            </w:pPr>
            <w:r>
              <w:rPr>
                <w:sz w:val="20"/>
              </w:rPr>
              <w:t>Filed herewith.</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pPr>
            <w:r>
              <w:rPr/>
              <w:t> </w:t>
            </w:r>
          </w:p>
        </w:tc>
        <w:tc>
          <w:tcPr>
            <w:tcW w:w="9951" w:type="dxa"/>
            <w:tcBorders/>
            <w:vAlign w:val="center"/>
          </w:tcPr>
          <w:p>
            <w:pPr>
              <w:pStyle w:val="TableContents"/>
              <w:bidi w:val="0"/>
              <w:spacing w:before="0" w:after="0"/>
              <w:jc w:val="left"/>
              <w:rPr/>
            </w:pPr>
            <w:r>
              <w:rPr/>
              <w:t> </w:t>
            </w:r>
          </w:p>
        </w:tc>
      </w:tr>
      <w:tr>
        <w:trPr/>
        <w:tc>
          <w:tcPr>
            <w:tcW w:w="254" w:type="dxa"/>
            <w:tcBorders/>
            <w:vAlign w:val="center"/>
          </w:tcPr>
          <w:p>
            <w:pPr>
              <w:pStyle w:val="TableContents"/>
              <w:bidi w:val="0"/>
              <w:spacing w:lineRule="atLeast" w:line="240" w:before="0" w:after="0"/>
              <w:ind w:left="15" w:right="0" w:hanging="0"/>
              <w:jc w:val="left"/>
              <w:rPr>
                <w:sz w:val="20"/>
              </w:rPr>
            </w:pPr>
            <w:r>
              <w:rPr>
                <w:sz w:val="20"/>
              </w:rPr>
              <w:t>(2)</w:t>
            </w:r>
          </w:p>
        </w:tc>
        <w:tc>
          <w:tcPr>
            <w:tcW w:w="9951" w:type="dxa"/>
            <w:tcBorders/>
            <w:vAlign w:val="center"/>
          </w:tcPr>
          <w:p>
            <w:pPr>
              <w:pStyle w:val="TableContents"/>
              <w:bidi w:val="0"/>
              <w:spacing w:lineRule="atLeast" w:line="240" w:before="40" w:after="0"/>
              <w:jc w:val="left"/>
              <w:rPr>
                <w:sz w:val="20"/>
              </w:rPr>
            </w:pPr>
            <w:r>
              <w:rPr>
                <w:sz w:val="20"/>
              </w:rPr>
              <w:t>Management contracts and compensatory plans and arrangements required to be filed as Exhibits pursuant to Item 15(a) of this report.</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260"/>
        <w:gridCol w:w="8870"/>
      </w:tblGrid>
      <w:tr>
        <w:trPr/>
        <w:tc>
          <w:tcPr>
            <w:tcW w:w="26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lineRule="atLeast" w:line="240" w:before="0" w:after="0"/>
              <w:ind w:left="15" w:right="0" w:hanging="0"/>
              <w:jc w:val="left"/>
              <w:rPr>
                <w:sz w:val="20"/>
              </w:rPr>
            </w:pPr>
            <w:r>
              <w:rPr>
                <w:sz w:val="20"/>
              </w:rPr>
              <w:t>(3)</w:t>
            </w:r>
          </w:p>
        </w:tc>
        <w:tc>
          <w:tcPr>
            <w:tcW w:w="8870" w:type="dxa"/>
            <w:tcBorders/>
            <w:vAlign w:val="center"/>
          </w:tcPr>
          <w:p>
            <w:pPr>
              <w:pStyle w:val="TableContents"/>
              <w:bidi w:val="0"/>
              <w:spacing w:lineRule="atLeast" w:line="240" w:before="40" w:after="0"/>
              <w:jc w:val="left"/>
              <w:rPr>
                <w:sz w:val="20"/>
              </w:rPr>
            </w:pPr>
            <w:r>
              <w:rPr>
                <w:sz w:val="20"/>
              </w:rPr>
              <w:t>Pursuant to Item 601(b)(32) of Regulation S-K, this Exhibit is furnished rather than filed with this Form 10-K.</w:t>
            </w:r>
          </w:p>
        </w:tc>
      </w:tr>
    </w:tbl>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sz w:val="20"/>
        </w:rPr>
      </w:pPr>
      <w:r>
        <w:rPr>
          <w:sz w:val="20"/>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bookmarkStart w:id="79" w:name="bm_271a802240459869"/>
      <w:bookmarkEnd w:id="79"/>
      <w:r>
        <w:rPr>
          <w:b/>
          <w:sz w:val="20"/>
        </w:rPr>
        <w:t>Signatures</w:t>
      </w:r>
    </w:p>
    <w:p>
      <w:pPr>
        <w:pStyle w:val="TextBody"/>
        <w:bidi w:val="0"/>
        <w:spacing w:lineRule="atLeast" w:line="200" w:before="0" w:after="0"/>
        <w:jc w:val="both"/>
        <w:rPr/>
      </w:pPr>
      <w:r>
        <w:rPr/>
        <w:t> </w:t>
      </w:r>
    </w:p>
    <w:p>
      <w:pPr>
        <w:pStyle w:val="TextBody"/>
        <w:bidi w:val="0"/>
        <w:spacing w:lineRule="atLeast" w:line="240" w:before="0" w:after="0"/>
        <w:jc w:val="both"/>
        <w:rPr/>
      </w:pPr>
      <w:r>
        <w:rPr>
          <w:sz w:val="20"/>
        </w:rPr>
        <w:t>Pursuant to the requirements of Section 13 or 15(d) of the Securities Exchange Act of 1934, the registrant has duly caused this report to be signed on its behalf by the undersigned, thereunto duly authorized.</w:t>
      </w:r>
      <w:r>
        <w:rPr/>
        <w:t> </w:t>
      </w:r>
    </w:p>
    <w:p>
      <w:pPr>
        <w:pStyle w:val="TextBody"/>
        <w:bidi w:val="0"/>
        <w:spacing w:lineRule="atLeast" w:line="168" w:before="0" w:after="0"/>
        <w:jc w:val="both"/>
        <w:rPr/>
      </w:pPr>
      <w:r>
        <w:rPr/>
        <w:t> </w:t>
      </w:r>
    </w:p>
    <w:p>
      <w:pPr>
        <w:pStyle w:val="TextBody"/>
        <w:bidi w:val="0"/>
        <w:spacing w:lineRule="atLeast" w:line="240" w:before="0" w:after="0"/>
        <w:jc w:val="left"/>
        <w:rPr>
          <w:b/>
          <w:sz w:val="20"/>
        </w:rPr>
      </w:pPr>
      <w:r>
        <w:rPr>
          <w:b/>
          <w:sz w:val="20"/>
        </w:rPr>
        <w:t>Euronet Worldwide, Inc.</w:t>
      </w:r>
    </w:p>
    <w:p>
      <w:pPr>
        <w:pStyle w:val="TextBody"/>
        <w:bidi w:val="0"/>
        <w:spacing w:lineRule="atLeast" w:line="142" w:before="0" w:after="0"/>
        <w:jc w:val="both"/>
        <w:rPr/>
      </w:pPr>
      <w:r>
        <w:rPr/>
        <w:t> </w:t>
      </w:r>
    </w:p>
    <w:p>
      <w:pPr>
        <w:pStyle w:val="TextBody"/>
        <w:bidi w:val="0"/>
        <w:spacing w:lineRule="atLeast" w:line="240" w:before="0" w:after="0"/>
        <w:jc w:val="left"/>
        <w:rPr/>
      </w:pPr>
      <w:r>
        <w:rPr>
          <w:sz w:val="20"/>
        </w:rPr>
        <w:t>Date:</w:t>
      </w:r>
      <w:r>
        <w:rPr/>
        <w:t> </w:t>
      </w:r>
      <w:r>
        <w:rPr>
          <w:rFonts w:ascii="Times New Roman" w:hAnsi="Times New Roman"/>
          <w:sz w:val="20"/>
        </w:rPr>
        <w:t>February 26, 2026</w:t>
      </w:r>
      <w:r>
        <w:rPr/>
        <w:t>                   </w:t>
      </w:r>
    </w:p>
    <w:tbl>
      <w:tblPr>
        <w:tblW w:w="5285" w:type="dxa"/>
        <w:jc w:val="left"/>
        <w:tblInd w:w="0" w:type="dxa"/>
        <w:tblLayout w:type="fixed"/>
        <w:tblCellMar>
          <w:top w:w="0" w:type="dxa"/>
          <w:left w:w="0" w:type="dxa"/>
          <w:bottom w:w="0" w:type="dxa"/>
          <w:right w:w="0" w:type="dxa"/>
        </w:tblCellMar>
      </w:tblPr>
      <w:tblGrid>
        <w:gridCol w:w="75"/>
        <w:gridCol w:w="60"/>
        <w:gridCol w:w="5075"/>
        <w:gridCol w:w="75"/>
      </w:tblGrid>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075" w:type="dxa"/>
            <w:tcBorders>
              <w:bottom w:val="single" w:sz="8" w:space="0" w:color="000000"/>
            </w:tcBorders>
            <w:tcMar>
              <w:bottom w:w="28" w:type="dxa"/>
            </w:tcMar>
            <w:vAlign w:val="center"/>
          </w:tcPr>
          <w:p>
            <w:pPr>
              <w:pStyle w:val="TableContents"/>
              <w:bidi w:val="0"/>
              <w:spacing w:before="0" w:after="0"/>
              <w:jc w:val="center"/>
              <w:rPr/>
            </w:pPr>
            <w:r>
              <w:rPr/>
              <w:t> </w:t>
            </w:r>
          </w:p>
        </w:tc>
        <w:tc>
          <w:tcPr>
            <w:tcW w:w="7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075" w:type="dxa"/>
            <w:tcBorders>
              <w:top w:val="single" w:sz="8" w:space="0" w:color="000000"/>
            </w:tcBorders>
            <w:tcMar>
              <w:top w:w="28" w:type="dxa"/>
            </w:tcMar>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center"/>
              <w:rPr>
                <w:b/>
                <w:sz w:val="20"/>
              </w:rPr>
            </w:pPr>
            <w:r>
              <w:rPr>
                <w:b/>
                <w:sz w:val="20"/>
              </w:rPr>
              <w:t>Chairman of the Board of Directors, Chief Executive</w:t>
            </w:r>
          </w:p>
        </w:tc>
        <w:tc>
          <w:tcPr>
            <w:tcW w:w="75"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center"/>
              <w:rPr/>
            </w:pPr>
            <w:r>
              <w:rPr/>
              <w:t> </w:t>
            </w:r>
            <w:r>
              <w:rPr>
                <w:b/>
                <w:sz w:val="20"/>
              </w:rPr>
              <w:t>Officer, President and Director (principal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142" w:before="0" w:after="0"/>
        <w:jc w:val="both"/>
        <w:rPr/>
      </w:pPr>
      <w:r>
        <w:rPr/>
        <w:t> </w:t>
      </w:r>
    </w:p>
    <w:p>
      <w:pPr>
        <w:pStyle w:val="TextBody"/>
        <w:bidi w:val="0"/>
        <w:spacing w:lineRule="atLeast" w:line="240" w:before="0" w:after="0"/>
        <w:jc w:val="both"/>
        <w:rPr>
          <w:sz w:val="20"/>
        </w:rPr>
      </w:pPr>
      <w:r>
        <w:rPr>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9"/>
        <w:gridCol w:w="8186"/>
      </w:tblGrid>
      <w:tr>
        <w:trPr/>
        <w:tc>
          <w:tcPr>
            <w:tcW w:w="2019" w:type="dxa"/>
            <w:tcBorders/>
            <w:vAlign w:val="center"/>
          </w:tcPr>
          <w:p>
            <w:pPr>
              <w:pStyle w:val="TableContents"/>
              <w:bidi w:val="0"/>
              <w:spacing w:before="0" w:after="0"/>
              <w:jc w:val="center"/>
              <w:rPr>
                <w:b/>
                <w:sz w:val="16"/>
                <w:u w:val="single"/>
              </w:rPr>
            </w:pPr>
            <w:r>
              <w:rPr>
                <w:b/>
                <w:sz w:val="16"/>
                <w:u w:val="single"/>
              </w:rPr>
              <w:t>Signature</w:t>
            </w:r>
          </w:p>
        </w:tc>
        <w:tc>
          <w:tcPr>
            <w:tcW w:w="8186" w:type="dxa"/>
            <w:tcBorders/>
            <w:vAlign w:val="center"/>
          </w:tcPr>
          <w:p>
            <w:pPr>
              <w:pStyle w:val="TableContents"/>
              <w:bidi w:val="0"/>
              <w:spacing w:before="0" w:after="0"/>
              <w:jc w:val="center"/>
              <w:rPr>
                <w:b/>
                <w:sz w:val="16"/>
                <w:u w:val="single"/>
              </w:rPr>
            </w:pPr>
            <w:r>
              <w:rPr>
                <w:b/>
                <w:sz w:val="16"/>
                <w:u w:val="single"/>
              </w:rPr>
              <w:t>Title</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bidi w:val="0"/>
              <w:spacing w:lineRule="atLeast" w:line="220" w:before="0" w:after="0"/>
              <w:jc w:val="center"/>
              <w:rPr>
                <w:sz w:val="20"/>
                <w:u w:val="single"/>
              </w:rPr>
            </w:pPr>
            <w:r>
              <w:rPr>
                <w:sz w:val="20"/>
                <w:u w:val="single"/>
              </w:rPr>
              <w:t>/s/ Michael J. Brown</w:t>
            </w:r>
          </w:p>
          <w:p>
            <w:pPr>
              <w:pStyle w:val="TableContents"/>
              <w:bidi w:val="0"/>
              <w:spacing w:lineRule="atLeast" w:line="220" w:before="0" w:after="0"/>
              <w:jc w:val="center"/>
              <w:rPr>
                <w:b/>
                <w:sz w:val="20"/>
              </w:rPr>
            </w:pPr>
            <w:r>
              <w:rPr>
                <w:b/>
                <w:sz w:val="20"/>
              </w:rPr>
              <w:t>Michael J. Brown</w:t>
            </w:r>
          </w:p>
          <w:p>
            <w:pPr>
              <w:pStyle w:val="TableContents"/>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Chairman of the Board of Directors, Chief Executive Officer, President and Director (principal executive officer)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bidi w:val="0"/>
              <w:spacing w:lineRule="atLeast" w:line="220" w:before="0" w:after="0"/>
              <w:jc w:val="center"/>
              <w:rPr>
                <w:sz w:val="20"/>
                <w:u w:val="single"/>
              </w:rPr>
            </w:pPr>
            <w:r>
              <w:rPr>
                <w:sz w:val="20"/>
                <w:u w:val="single"/>
              </w:rPr>
              <w:t>/s/ Rick L. Weller</w:t>
            </w:r>
          </w:p>
          <w:p>
            <w:pPr>
              <w:pStyle w:val="TableContents"/>
              <w:bidi w:val="0"/>
              <w:spacing w:lineRule="atLeast" w:line="220" w:before="0" w:after="0"/>
              <w:jc w:val="center"/>
              <w:rPr>
                <w:b/>
                <w:sz w:val="20"/>
              </w:rPr>
            </w:pPr>
            <w:r>
              <w:rPr>
                <w:b/>
                <w:sz w:val="20"/>
              </w:rPr>
              <w:t>Rick L. Weller</w:t>
            </w:r>
          </w:p>
          <w:p>
            <w:pPr>
              <w:pStyle w:val="TableContents"/>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Chief Financial Officer and Chief Accounting Officer (principal financial officer and principal accounting officer)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shd w:fill="FFFFFF" w:val="clear"/>
              <w:bidi w:val="0"/>
              <w:spacing w:lineRule="atLeast" w:line="220" w:before="0" w:after="0"/>
              <w:jc w:val="center"/>
              <w:rPr/>
            </w:pPr>
            <w:r>
              <w:rPr>
                <w:sz w:val="20"/>
                <w:u w:val="single"/>
              </w:rPr>
              <w:t>/s/ Paul S.</w:t>
            </w:r>
            <w:r>
              <w:rPr>
                <w:u w:val="single"/>
              </w:rPr>
              <w:t> </w:t>
            </w:r>
            <w:r>
              <w:rPr>
                <w:sz w:val="20"/>
                <w:u w:val="single"/>
              </w:rPr>
              <w:t>Althasen</w:t>
            </w:r>
          </w:p>
          <w:p>
            <w:pPr>
              <w:pStyle w:val="TableContents"/>
              <w:shd w:fill="FFFFFF" w:val="clear"/>
              <w:bidi w:val="0"/>
              <w:spacing w:lineRule="atLeast" w:line="220" w:before="0" w:after="0"/>
              <w:jc w:val="center"/>
              <w:rPr/>
            </w:pPr>
            <w:r>
              <w:rPr>
                <w:b/>
                <w:sz w:val="20"/>
              </w:rPr>
              <w:t>Paul S.</w:t>
            </w:r>
            <w:r>
              <w:rPr/>
              <w:t> </w:t>
            </w:r>
            <w:r>
              <w:rPr>
                <w:b/>
                <w:sz w:val="20"/>
              </w:rPr>
              <w:t>Althasen</w:t>
            </w:r>
          </w:p>
          <w:p>
            <w:pPr>
              <w:pStyle w:val="TableContents"/>
              <w:shd w:fill="FFFFFF" w:val="clear"/>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bidi w:val="0"/>
              <w:spacing w:lineRule="atLeast" w:line="220" w:before="0" w:after="0"/>
              <w:jc w:val="center"/>
              <w:rPr/>
            </w:pPr>
            <w:r>
              <w:rPr/>
              <w:t> </w:t>
            </w:r>
          </w:p>
          <w:p>
            <w:pPr>
              <w:pStyle w:val="TableContents"/>
              <w:bidi w:val="0"/>
              <w:spacing w:lineRule="atLeast" w:line="220" w:before="0" w:after="0"/>
              <w:jc w:val="center"/>
              <w:rPr>
                <w:b/>
                <w:sz w:val="20"/>
              </w:rPr>
            </w:pPr>
            <w:r>
              <w:rPr>
                <w:b/>
                <w:sz w:val="20"/>
              </w:rPr>
              <w:t>Andrzej Olechowski</w:t>
            </w:r>
          </w:p>
          <w:p>
            <w:pPr>
              <w:pStyle w:val="TableContents"/>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bidi w:val="0"/>
              <w:spacing w:lineRule="atLeast" w:line="220" w:before="0" w:after="0"/>
              <w:jc w:val="center"/>
              <w:rPr>
                <w:sz w:val="20"/>
                <w:u w:val="single"/>
              </w:rPr>
            </w:pPr>
            <w:r>
              <w:rPr>
                <w:sz w:val="20"/>
                <w:u w:val="single"/>
              </w:rPr>
              <w:t>/s/ Michael N. Frumkin</w:t>
            </w:r>
          </w:p>
          <w:p>
            <w:pPr>
              <w:pStyle w:val="TableContents"/>
              <w:bidi w:val="0"/>
              <w:spacing w:lineRule="atLeast" w:line="220" w:before="0" w:after="0"/>
              <w:jc w:val="center"/>
              <w:rPr>
                <w:b/>
                <w:sz w:val="20"/>
              </w:rPr>
            </w:pPr>
            <w:r>
              <w:rPr>
                <w:b/>
                <w:sz w:val="20"/>
              </w:rPr>
              <w:t>Michael N. Frumkin</w:t>
            </w:r>
          </w:p>
          <w:p>
            <w:pPr>
              <w:pStyle w:val="TableContents"/>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bidi w:val="0"/>
              <w:spacing w:lineRule="atLeast" w:line="220" w:before="0" w:after="0"/>
              <w:jc w:val="center"/>
              <w:rPr>
                <w:sz w:val="20"/>
                <w:u w:val="single"/>
              </w:rPr>
            </w:pPr>
            <w:r>
              <w:rPr>
                <w:sz w:val="20"/>
                <w:u w:val="single"/>
              </w:rPr>
              <w:t>/s/ Thomas A. McDonnell</w:t>
            </w:r>
          </w:p>
          <w:p>
            <w:pPr>
              <w:pStyle w:val="TableContents"/>
              <w:bidi w:val="0"/>
              <w:spacing w:lineRule="atLeast" w:line="220" w:before="0" w:after="0"/>
              <w:jc w:val="center"/>
              <w:rPr>
                <w:b/>
                <w:sz w:val="20"/>
              </w:rPr>
            </w:pPr>
            <w:r>
              <w:rPr>
                <w:b/>
                <w:sz w:val="20"/>
              </w:rPr>
              <w:t>Thomas A. McDonnell</w:t>
            </w:r>
          </w:p>
          <w:p>
            <w:pPr>
              <w:pStyle w:val="TableContents"/>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bidi w:val="0"/>
              <w:spacing w:lineRule="atLeast" w:line="220" w:before="0" w:after="0"/>
              <w:jc w:val="center"/>
              <w:rPr/>
            </w:pPr>
            <w:r>
              <w:rPr>
                <w:sz w:val="20"/>
                <w:u w:val="single"/>
              </w:rPr>
              <w:t>/s/ Ligia</w:t>
            </w:r>
            <w:r>
              <w:rPr>
                <w:u w:val="single"/>
              </w:rPr>
              <w:t> </w:t>
            </w:r>
            <w:r>
              <w:rPr>
                <w:sz w:val="20"/>
                <w:u w:val="single"/>
              </w:rPr>
              <w:t>Torres Fentanes</w:t>
            </w:r>
          </w:p>
          <w:p>
            <w:pPr>
              <w:pStyle w:val="TableContents"/>
              <w:bidi w:val="0"/>
              <w:spacing w:lineRule="atLeast" w:line="220" w:before="0" w:after="0"/>
              <w:jc w:val="center"/>
              <w:rPr>
                <w:b/>
                <w:sz w:val="20"/>
              </w:rPr>
            </w:pPr>
            <w:r>
              <w:rPr>
                <w:b/>
                <w:sz w:val="20"/>
              </w:rPr>
              <w:t>Ligia Torres Fentanes</w:t>
            </w:r>
          </w:p>
          <w:p>
            <w:pPr>
              <w:pStyle w:val="TableContents"/>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shd w:fill="FFFFFF" w:val="clear"/>
              <w:bidi w:val="0"/>
              <w:spacing w:lineRule="atLeast" w:line="220" w:before="0" w:after="0"/>
              <w:jc w:val="center"/>
              <w:rPr/>
            </w:pPr>
            <w:r>
              <w:rPr>
                <w:sz w:val="20"/>
                <w:u w:val="single"/>
              </w:rPr>
              <w:t>/s/</w:t>
            </w:r>
            <w:r>
              <w:rPr>
                <w:u w:val="single"/>
              </w:rPr>
              <w:t> </w:t>
            </w:r>
            <w:r>
              <w:rPr>
                <w:sz w:val="20"/>
                <w:u w:val="single"/>
              </w:rPr>
              <w:t>Sergi</w:t>
            </w:r>
            <w:r>
              <w:rPr>
                <w:u w:val="single"/>
              </w:rPr>
              <w:t> </w:t>
            </w:r>
            <w:r>
              <w:rPr>
                <w:sz w:val="20"/>
                <w:u w:val="single"/>
              </w:rPr>
              <w:t>N. Herrero</w:t>
            </w:r>
          </w:p>
          <w:p>
            <w:pPr>
              <w:pStyle w:val="TableContents"/>
              <w:shd w:fill="FFFFFF" w:val="clear"/>
              <w:bidi w:val="0"/>
              <w:spacing w:lineRule="atLeast" w:line="220" w:before="0" w:after="0"/>
              <w:jc w:val="center"/>
              <w:rPr/>
            </w:pPr>
            <w:r>
              <w:rPr>
                <w:b/>
                <w:sz w:val="20"/>
              </w:rPr>
              <w:t>Sergi</w:t>
            </w:r>
            <w:r>
              <w:rPr/>
              <w:t> </w:t>
            </w:r>
            <w:r>
              <w:rPr>
                <w:b/>
                <w:sz w:val="20"/>
              </w:rPr>
              <w:t>N. Herrero</w:t>
            </w:r>
          </w:p>
          <w:p>
            <w:pPr>
              <w:pStyle w:val="TableContents"/>
              <w:shd w:fill="FFFFFF" w:val="clear"/>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shd w:fill="FFFFFF" w:val="clear"/>
              <w:bidi w:val="0"/>
              <w:spacing w:lineRule="atLeast" w:line="220" w:before="0" w:after="0"/>
              <w:jc w:val="center"/>
              <w:rPr/>
            </w:pPr>
            <w:r>
              <w:rPr>
                <w:sz w:val="20"/>
                <w:u w:val="single"/>
              </w:rPr>
              <w:t>/s/</w:t>
            </w:r>
            <w:r>
              <w:rPr>
                <w:u w:val="single"/>
              </w:rPr>
              <w:t> </w:t>
            </w:r>
            <w:r>
              <w:rPr>
                <w:sz w:val="20"/>
                <w:u w:val="single"/>
              </w:rPr>
              <w:t>Sara</w:t>
            </w:r>
            <w:r>
              <w:rPr>
                <w:u w:val="single"/>
              </w:rPr>
              <w:t> </w:t>
            </w:r>
            <w:r>
              <w:rPr>
                <w:sz w:val="20"/>
                <w:u w:val="single"/>
              </w:rPr>
              <w:t>Baack</w:t>
            </w:r>
          </w:p>
          <w:p>
            <w:pPr>
              <w:pStyle w:val="TableContents"/>
              <w:shd w:fill="FFFFFF" w:val="clear"/>
              <w:bidi w:val="0"/>
              <w:spacing w:lineRule="atLeast" w:line="220" w:before="0" w:after="0"/>
              <w:jc w:val="center"/>
              <w:rPr/>
            </w:pPr>
            <w:r>
              <w:rPr>
                <w:b/>
                <w:sz w:val="20"/>
              </w:rPr>
              <w:t>Sara</w:t>
            </w:r>
            <w:r>
              <w:rPr/>
              <w:t> </w:t>
            </w:r>
            <w:r>
              <w:rPr>
                <w:b/>
                <w:sz w:val="20"/>
              </w:rPr>
              <w:t>Baack</w:t>
            </w:r>
          </w:p>
          <w:p>
            <w:pPr>
              <w:pStyle w:val="TableContents"/>
              <w:shd w:fill="FFFFFF" w:val="clear"/>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r>
        <w:trPr/>
        <w:tc>
          <w:tcPr>
            <w:tcW w:w="2019" w:type="dxa"/>
            <w:tcBorders/>
            <w:vAlign w:val="center"/>
          </w:tcPr>
          <w:p>
            <w:pPr>
              <w:pStyle w:val="TableContents"/>
              <w:bidi w:val="0"/>
              <w:spacing w:before="0" w:after="0"/>
              <w:jc w:val="left"/>
              <w:rPr/>
            </w:pPr>
            <w:r>
              <w:rPr/>
              <w:t> </w:t>
            </w:r>
          </w:p>
        </w:tc>
        <w:tc>
          <w:tcPr>
            <w:tcW w:w="8186" w:type="dxa"/>
            <w:tcBorders/>
            <w:vAlign w:val="center"/>
          </w:tcPr>
          <w:p>
            <w:pPr>
              <w:pStyle w:val="TableContents"/>
              <w:bidi w:val="0"/>
              <w:spacing w:before="0" w:after="0"/>
              <w:jc w:val="left"/>
              <w:rPr/>
            </w:pPr>
            <w:r>
              <w:rPr/>
              <w:t> </w:t>
            </w:r>
          </w:p>
        </w:tc>
      </w:tr>
      <w:tr>
        <w:trPr/>
        <w:tc>
          <w:tcPr>
            <w:tcW w:w="2019" w:type="dxa"/>
            <w:tcBorders/>
            <w:vAlign w:val="center"/>
          </w:tcPr>
          <w:p>
            <w:pPr>
              <w:pStyle w:val="TableContents"/>
              <w:shd w:fill="FFFFFF" w:val="clear"/>
              <w:bidi w:val="0"/>
              <w:spacing w:lineRule="atLeast" w:line="220" w:before="0" w:after="0"/>
              <w:jc w:val="center"/>
              <w:rPr/>
            </w:pPr>
            <w:r>
              <w:rPr>
                <w:sz w:val="20"/>
                <w:u w:val="single"/>
              </w:rPr>
              <w:t>/s/</w:t>
            </w:r>
            <w:r>
              <w:rPr>
                <w:u w:val="single"/>
              </w:rPr>
              <w:t> </w:t>
            </w:r>
            <w:r>
              <w:rPr>
                <w:sz w:val="20"/>
                <w:u w:val="single"/>
              </w:rPr>
              <w:t>Brad</w:t>
            </w:r>
            <w:r>
              <w:rPr>
                <w:u w:val="single"/>
              </w:rPr>
              <w:t> </w:t>
            </w:r>
            <w:r>
              <w:rPr>
                <w:sz w:val="20"/>
                <w:u w:val="single"/>
              </w:rPr>
              <w:t>Sprong</w:t>
            </w:r>
          </w:p>
          <w:p>
            <w:pPr>
              <w:pStyle w:val="TableContents"/>
              <w:shd w:fill="FFFFFF" w:val="clear"/>
              <w:bidi w:val="0"/>
              <w:spacing w:lineRule="atLeast" w:line="220" w:before="0" w:after="0"/>
              <w:jc w:val="center"/>
              <w:rPr>
                <w:b/>
                <w:sz w:val="20"/>
              </w:rPr>
            </w:pPr>
            <w:r>
              <w:rPr>
                <w:b/>
                <w:sz w:val="20"/>
              </w:rPr>
              <w:t>Brad Sprong</w:t>
            </w:r>
          </w:p>
          <w:p>
            <w:pPr>
              <w:pStyle w:val="TableContents"/>
              <w:shd w:fill="FFFFFF" w:val="clear"/>
              <w:bidi w:val="0"/>
              <w:spacing w:lineRule="atLeast" w:line="220" w:before="0" w:after="0"/>
              <w:jc w:val="center"/>
              <w:rPr>
                <w:rFonts w:ascii="Times New Roman" w:hAnsi="Times New Roman"/>
                <w:sz w:val="20"/>
              </w:rPr>
            </w:pPr>
            <w:r>
              <w:rPr>
                <w:rFonts w:ascii="Times New Roman" w:hAnsi="Times New Roman"/>
                <w:sz w:val="20"/>
              </w:rPr>
              <w:t>February 26, 2026</w:t>
            </w:r>
          </w:p>
        </w:tc>
        <w:tc>
          <w:tcPr>
            <w:tcW w:w="8186" w:type="dxa"/>
            <w:tcBorders/>
            <w:vAlign w:val="center"/>
          </w:tcPr>
          <w:p>
            <w:pPr>
              <w:pStyle w:val="TableContents"/>
              <w:bidi w:val="0"/>
              <w:spacing w:before="0" w:after="0"/>
              <w:jc w:val="left"/>
              <w:rPr>
                <w:sz w:val="20"/>
              </w:rPr>
            </w:pPr>
            <w:r>
              <w:rPr>
                <w:sz w:val="20"/>
              </w:rPr>
              <w:t>Director</w:t>
            </w:r>
          </w:p>
        </w:tc>
      </w:tr>
    </w:tbl>
    <w:p>
      <w:pPr>
        <w:pStyle w:val="TextBody"/>
        <w:bidi w:val="0"/>
        <w:spacing w:lineRule="atLeast" w:line="168"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spacing w:before="79" w:after="0"/>
        <w:ind w:left="890" w:right="888" w:hanging="0"/>
        <w:jc w:val="right"/>
        <w:rPr>
          <w:b/>
          <w:spacing w:val="-2"/>
          <w:sz w:val="20"/>
        </w:rPr>
      </w:pPr>
      <w:bookmarkStart w:id="80" w:name="ex191_1.htm"/>
      <w:bookmarkStart w:id="81" w:name="ksex191_1"/>
      <w:bookmarkEnd w:id="80"/>
      <w:bookmarkEnd w:id="81"/>
      <w:r>
        <w:rPr>
          <w:b/>
          <w:spacing w:val="-2"/>
          <w:sz w:val="20"/>
        </w:rPr>
        <w:t xml:space="preserve">Exhibit 19.1 </w:t>
      </w:r>
      <w:r>
        <w:br w:type="page"/>
      </w:r>
    </w:p>
    <w:p>
      <w:pPr>
        <w:pStyle w:val="TextBody"/>
        <w:bidi w:val="0"/>
        <w:spacing w:before="79" w:after="0"/>
        <w:ind w:left="890" w:right="888" w:hanging="0"/>
        <w:jc w:val="center"/>
        <w:rPr>
          <w:sz w:val="20"/>
        </w:rPr>
      </w:pPr>
      <w:r>
        <w:rPr>
          <w:b/>
          <w:spacing w:val="-2"/>
          <w:sz w:val="20"/>
        </w:rPr>
        <w:t>Euronet</w:t>
      </w:r>
      <w:r>
        <w:rPr>
          <w:spacing w:val="-1"/>
          <w:sz w:val="20"/>
        </w:rPr>
        <w:t xml:space="preserve"> </w:t>
      </w:r>
      <w:r>
        <w:rPr>
          <w:b/>
          <w:spacing w:val="-2"/>
          <w:sz w:val="20"/>
        </w:rPr>
        <w:t>Worldwide,</w:t>
      </w:r>
      <w:r>
        <w:rPr>
          <w:sz w:val="20"/>
        </w:rPr>
        <w:t xml:space="preserve"> </w:t>
      </w:r>
      <w:r>
        <w:rPr>
          <w:b/>
          <w:spacing w:val="-4"/>
          <w:sz w:val="20"/>
        </w:rPr>
        <w:t>Inc.</w:t>
      </w:r>
    </w:p>
    <w:p>
      <w:pPr>
        <w:pStyle w:val="TextBody"/>
        <w:bidi w:val="0"/>
        <w:spacing w:before="122" w:after="0"/>
        <w:ind w:left="890" w:right="887" w:hanging="0"/>
        <w:jc w:val="center"/>
        <w:rPr>
          <w:sz w:val="20"/>
        </w:rPr>
      </w:pPr>
      <w:r>
        <w:rPr>
          <w:b/>
          <w:sz w:val="20"/>
        </w:rPr>
        <w:t>Policy</w:t>
      </w:r>
      <w:r>
        <w:rPr>
          <w:spacing w:val="-10"/>
          <w:sz w:val="20"/>
        </w:rPr>
        <w:t xml:space="preserve"> </w:t>
      </w:r>
      <w:r>
        <w:rPr>
          <w:b/>
          <w:sz w:val="20"/>
        </w:rPr>
        <w:t>Relating</w:t>
      </w:r>
      <w:r>
        <w:rPr>
          <w:spacing w:val="-10"/>
          <w:sz w:val="20"/>
        </w:rPr>
        <w:t xml:space="preserve"> </w:t>
      </w:r>
      <w:r>
        <w:rPr>
          <w:b/>
          <w:sz w:val="20"/>
        </w:rPr>
        <w:t>to</w:t>
      </w:r>
      <w:r>
        <w:rPr>
          <w:spacing w:val="-14"/>
          <w:sz w:val="20"/>
        </w:rPr>
        <w:t xml:space="preserve"> </w:t>
      </w:r>
      <w:r>
        <w:rPr>
          <w:b/>
          <w:sz w:val="20"/>
        </w:rPr>
        <w:t>Insider</w:t>
      </w:r>
      <w:r>
        <w:rPr>
          <w:spacing w:val="-14"/>
          <w:sz w:val="20"/>
        </w:rPr>
        <w:t xml:space="preserve"> </w:t>
      </w:r>
      <w:r>
        <w:rPr>
          <w:b/>
          <w:sz w:val="20"/>
        </w:rPr>
        <w:t>Trading</w:t>
      </w:r>
      <w:r>
        <w:rPr>
          <w:spacing w:val="-12"/>
          <w:sz w:val="20"/>
        </w:rPr>
        <w:t xml:space="preserve"> </w:t>
      </w:r>
      <w:r>
        <w:rPr>
          <w:b/>
          <w:sz w:val="20"/>
        </w:rPr>
        <w:t>and</w:t>
      </w:r>
      <w:r>
        <w:rPr>
          <w:spacing w:val="-12"/>
          <w:sz w:val="20"/>
        </w:rPr>
        <w:t xml:space="preserve"> </w:t>
      </w:r>
      <w:r>
        <w:rPr>
          <w:b/>
          <w:sz w:val="20"/>
        </w:rPr>
        <w:t>Confidentiality</w:t>
      </w:r>
      <w:r>
        <w:rPr>
          <w:spacing w:val="-11"/>
          <w:sz w:val="20"/>
        </w:rPr>
        <w:t xml:space="preserve"> </w:t>
      </w:r>
      <w:r>
        <w:rPr>
          <w:b/>
          <w:sz w:val="20"/>
        </w:rPr>
        <w:t>of</w:t>
      </w:r>
      <w:r>
        <w:rPr>
          <w:spacing w:val="-13"/>
          <w:sz w:val="20"/>
        </w:rPr>
        <w:t xml:space="preserve"> </w:t>
      </w:r>
      <w:r>
        <w:rPr>
          <w:b/>
          <w:sz w:val="20"/>
        </w:rPr>
        <w:t>Information</w:t>
      </w:r>
    </w:p>
    <w:p>
      <w:pPr>
        <w:pStyle w:val="TextBody"/>
        <w:bidi w:val="0"/>
        <w:spacing w:before="122" w:after="0"/>
        <w:ind w:left="890" w:right="887" w:hanging="0"/>
        <w:jc w:val="center"/>
        <w:rPr/>
      </w:pPr>
      <w:r>
        <w:rPr/>
        <w:t> </w:t>
      </w:r>
      <w:r>
        <w:rPr>
          <w:b/>
          <w:sz w:val="20"/>
        </w:rPr>
        <w:t>Amended on July 14, 2025</w:t>
      </w:r>
    </w:p>
    <w:p>
      <w:pPr>
        <w:pStyle w:val="TextBody"/>
        <w:bidi w:val="0"/>
        <w:spacing w:before="122" w:after="0"/>
        <w:ind w:left="890" w:right="887" w:hanging="0"/>
        <w:jc w:val="center"/>
        <w:rPr/>
      </w:pPr>
      <w:r>
        <w:rPr/>
        <w:t> </w:t>
      </w:r>
    </w:p>
    <w:p>
      <w:pPr>
        <w:pStyle w:val="TextBody"/>
        <w:bidi w:val="0"/>
        <w:spacing w:before="0" w:after="0"/>
        <w:ind w:left="23" w:right="0" w:hanging="0"/>
        <w:jc w:val="left"/>
        <w:rPr>
          <w:sz w:val="20"/>
        </w:rPr>
      </w:pPr>
      <w:r>
        <w:rPr>
          <w:b/>
          <w:spacing w:val="-5"/>
          <w:sz w:val="20"/>
        </w:rPr>
        <w:t>To:</w:t>
      </w:r>
      <w:r>
        <w:rPr>
          <w:sz w:val="20"/>
        </w:rPr>
        <w:t> All</w:t>
      </w:r>
      <w:r>
        <w:rPr>
          <w:spacing w:val="-10"/>
          <w:sz w:val="20"/>
        </w:rPr>
        <w:t xml:space="preserve"> </w:t>
      </w:r>
      <w:r>
        <w:rPr>
          <w:sz w:val="20"/>
        </w:rPr>
        <w:t>Personnel,</w:t>
      </w:r>
      <w:r>
        <w:rPr>
          <w:spacing w:val="-14"/>
          <w:sz w:val="20"/>
        </w:rPr>
        <w:t xml:space="preserve"> </w:t>
      </w:r>
      <w:r>
        <w:rPr>
          <w:sz w:val="20"/>
        </w:rPr>
        <w:t>Consultants</w:t>
      </w:r>
      <w:r>
        <w:rPr>
          <w:spacing w:val="-14"/>
          <w:sz w:val="20"/>
        </w:rPr>
        <w:t xml:space="preserve"> </w:t>
      </w:r>
      <w:r>
        <w:rPr>
          <w:sz w:val="20"/>
        </w:rPr>
        <w:t>and</w:t>
      </w:r>
      <w:r>
        <w:rPr>
          <w:spacing w:val="-9"/>
          <w:sz w:val="20"/>
        </w:rPr>
        <w:t xml:space="preserve"> </w:t>
      </w:r>
      <w:r>
        <w:rPr>
          <w:spacing w:val="-2"/>
          <w:sz w:val="20"/>
        </w:rPr>
        <w:t>Advisers</w:t>
      </w:r>
    </w:p>
    <w:p>
      <w:pPr>
        <w:pStyle w:val="TextBody"/>
        <w:bidi w:val="0"/>
        <w:spacing w:before="236" w:after="0"/>
        <w:ind w:left="23" w:right="0" w:hanging="0"/>
        <w:jc w:val="left"/>
        <w:rPr>
          <w:sz w:val="20"/>
        </w:rPr>
      </w:pPr>
      <w:r>
        <w:rPr>
          <w:b/>
          <w:sz w:val="20"/>
        </w:rPr>
        <w:t>From:</w:t>
      </w:r>
      <w:r>
        <w:rPr>
          <w:spacing w:val="52"/>
          <w:sz w:val="20"/>
        </w:rPr>
        <w:t xml:space="preserve"> </w:t>
      </w:r>
      <w:r>
        <w:rPr>
          <w:sz w:val="20"/>
        </w:rPr>
        <w:t>Michael</w:t>
      </w:r>
      <w:r>
        <w:rPr>
          <w:spacing w:val="-6"/>
          <w:sz w:val="20"/>
        </w:rPr>
        <w:t xml:space="preserve"> </w:t>
      </w:r>
      <w:r>
        <w:rPr>
          <w:sz w:val="20"/>
        </w:rPr>
        <w:t>J.</w:t>
      </w:r>
      <w:r>
        <w:rPr>
          <w:spacing w:val="-4"/>
          <w:sz w:val="20"/>
        </w:rPr>
        <w:t xml:space="preserve"> Brown</w:t>
      </w:r>
    </w:p>
    <w:p>
      <w:pPr>
        <w:pStyle w:val="TextBody"/>
        <w:bidi w:val="0"/>
        <w:spacing w:before="0" w:after="0"/>
        <w:ind w:left="743" w:right="0" w:hanging="0"/>
        <w:jc w:val="left"/>
        <w:rPr>
          <w:sz w:val="20"/>
        </w:rPr>
      </w:pPr>
      <w:r>
        <w:rPr>
          <w:sz w:val="20"/>
        </w:rPr>
        <w:t>Chief</w:t>
      </w:r>
      <w:r>
        <w:rPr>
          <w:spacing w:val="-11"/>
          <w:sz w:val="20"/>
        </w:rPr>
        <w:t xml:space="preserve"> </w:t>
      </w:r>
      <w:r>
        <w:rPr>
          <w:sz w:val="20"/>
        </w:rPr>
        <w:t>Executive</w:t>
      </w:r>
      <w:r>
        <w:rPr>
          <w:spacing w:val="-12"/>
          <w:sz w:val="20"/>
        </w:rPr>
        <w:t xml:space="preserve"> </w:t>
      </w:r>
      <w:r>
        <w:rPr>
          <w:spacing w:val="-2"/>
          <w:sz w:val="20"/>
        </w:rPr>
        <w:t>Officer</w:t>
      </w:r>
    </w:p>
    <w:p>
      <w:pPr>
        <w:pStyle w:val="TextBody"/>
        <w:bidi w:val="0"/>
        <w:spacing w:before="242" w:after="0"/>
        <w:ind w:left="20" w:right="97" w:firstLine="720"/>
        <w:jc w:val="left"/>
        <w:rPr>
          <w:sz w:val="20"/>
        </w:rPr>
      </w:pPr>
      <w:r>
        <w:rPr>
          <w:sz w:val="20"/>
        </w:rPr>
        <w:t>Euronet Worldwide, Inc. (“EWI”) has listed its shares on</w:t>
      </w:r>
      <w:r>
        <w:rPr>
          <w:spacing w:val="-3"/>
          <w:sz w:val="20"/>
        </w:rPr>
        <w:t xml:space="preserve"> </w:t>
      </w:r>
      <w:r>
        <w:rPr>
          <w:sz w:val="20"/>
        </w:rPr>
        <w:t>The Nasdaq Global Select Market in the United States. As a result,</w:t>
      </w:r>
      <w:r>
        <w:rPr>
          <w:spacing w:val="-2"/>
          <w:sz w:val="20"/>
        </w:rPr>
        <w:t xml:space="preserve"> </w:t>
      </w:r>
      <w:r>
        <w:rPr>
          <w:sz w:val="20"/>
        </w:rPr>
        <w:t>we have legal and ethical responsibilities to establish rigorous internal procedures regarding the flow of information within the Company and from the Company to the public. U.S.</w:t>
      </w:r>
      <w:r>
        <w:rPr>
          <w:spacing w:val="-1"/>
          <w:sz w:val="20"/>
        </w:rPr>
        <w:t xml:space="preserve"> </w:t>
      </w:r>
      <w:r>
        <w:rPr>
          <w:sz w:val="20"/>
        </w:rPr>
        <w:t>federal securities laws prohibit the purchase or sale of securities by</w:t>
      </w:r>
      <w:r>
        <w:rPr>
          <w:spacing w:val="-1"/>
          <w:sz w:val="20"/>
        </w:rPr>
        <w:t xml:space="preserve"> </w:t>
      </w:r>
      <w:r>
        <w:rPr>
          <w:sz w:val="20"/>
        </w:rPr>
        <w:t>directors, officers, employees and</w:t>
      </w:r>
      <w:r>
        <w:rPr>
          <w:spacing w:val="-2"/>
          <w:sz w:val="20"/>
        </w:rPr>
        <w:t xml:space="preserve"> </w:t>
      </w:r>
      <w:r>
        <w:rPr>
          <w:sz w:val="20"/>
        </w:rPr>
        <w:t>others who</w:t>
      </w:r>
      <w:r>
        <w:rPr>
          <w:spacing w:val="-6"/>
          <w:sz w:val="20"/>
        </w:rPr>
        <w:t xml:space="preserve"> </w:t>
      </w:r>
      <w:r>
        <w:rPr>
          <w:sz w:val="20"/>
        </w:rPr>
        <w:t>are</w:t>
      </w:r>
      <w:r>
        <w:rPr>
          <w:spacing w:val="-1"/>
          <w:sz w:val="20"/>
        </w:rPr>
        <w:t xml:space="preserve"> </w:t>
      </w:r>
      <w:r>
        <w:rPr>
          <w:sz w:val="20"/>
        </w:rPr>
        <w:t>aware</w:t>
      </w:r>
      <w:r>
        <w:rPr>
          <w:spacing w:val="-4"/>
          <w:sz w:val="20"/>
        </w:rPr>
        <w:t xml:space="preserve"> </w:t>
      </w:r>
      <w:r>
        <w:rPr>
          <w:sz w:val="20"/>
        </w:rPr>
        <w:t>of</w:t>
      </w:r>
      <w:r>
        <w:rPr>
          <w:spacing w:val="-1"/>
          <w:sz w:val="20"/>
        </w:rPr>
        <w:t xml:space="preserve"> </w:t>
      </w:r>
      <w:r>
        <w:rPr>
          <w:sz w:val="20"/>
        </w:rPr>
        <w:t>material non-public</w:t>
      </w:r>
      <w:r>
        <w:rPr>
          <w:spacing w:val="-1"/>
          <w:sz w:val="20"/>
        </w:rPr>
        <w:t xml:space="preserve"> </w:t>
      </w:r>
      <w:r>
        <w:rPr>
          <w:sz w:val="20"/>
        </w:rPr>
        <w:t>information about a</w:t>
      </w:r>
      <w:r>
        <w:rPr>
          <w:spacing w:val="-1"/>
          <w:sz w:val="20"/>
        </w:rPr>
        <w:t xml:space="preserve"> </w:t>
      </w:r>
      <w:r>
        <w:rPr>
          <w:sz w:val="20"/>
        </w:rPr>
        <w:t>company, as</w:t>
      </w:r>
      <w:r>
        <w:rPr>
          <w:spacing w:val="-1"/>
          <w:sz w:val="20"/>
        </w:rPr>
        <w:t xml:space="preserve"> </w:t>
      </w:r>
      <w:r>
        <w:rPr>
          <w:sz w:val="20"/>
        </w:rPr>
        <w:t>well as the disclosure by such persons of material non-public information to others who may trade in that company’s</w:t>
      </w:r>
      <w:r>
        <w:rPr>
          <w:spacing w:val="-7"/>
          <w:sz w:val="20"/>
        </w:rPr>
        <w:t xml:space="preserve"> </w:t>
      </w:r>
      <w:r>
        <w:rPr>
          <w:sz w:val="20"/>
        </w:rPr>
        <w:t>securities.</w:t>
      </w:r>
      <w:r>
        <w:rPr>
          <w:spacing w:val="-9"/>
          <w:sz w:val="20"/>
        </w:rPr>
        <w:t xml:space="preserve"> </w:t>
      </w:r>
      <w:r>
        <w:rPr>
          <w:sz w:val="20"/>
        </w:rPr>
        <w:t>Public</w:t>
      </w:r>
      <w:r>
        <w:rPr>
          <w:spacing w:val="-8"/>
          <w:sz w:val="20"/>
        </w:rPr>
        <w:t xml:space="preserve"> </w:t>
      </w:r>
      <w:r>
        <w:rPr>
          <w:sz w:val="20"/>
        </w:rPr>
        <w:t>companies</w:t>
      </w:r>
      <w:r>
        <w:rPr>
          <w:spacing w:val="-8"/>
          <w:sz w:val="20"/>
        </w:rPr>
        <w:t xml:space="preserve"> </w:t>
      </w:r>
      <w:r>
        <w:rPr>
          <w:sz w:val="20"/>
        </w:rPr>
        <w:t>are</w:t>
      </w:r>
      <w:r>
        <w:rPr>
          <w:spacing w:val="-8"/>
          <w:sz w:val="20"/>
        </w:rPr>
        <w:t xml:space="preserve"> </w:t>
      </w:r>
      <w:r>
        <w:rPr>
          <w:sz w:val="20"/>
        </w:rPr>
        <w:t>also</w:t>
      </w:r>
      <w:r>
        <w:rPr>
          <w:spacing w:val="-9"/>
          <w:sz w:val="20"/>
        </w:rPr>
        <w:t xml:space="preserve"> </w:t>
      </w:r>
      <w:r>
        <w:rPr>
          <w:sz w:val="20"/>
        </w:rPr>
        <w:t>subject</w:t>
      </w:r>
      <w:r>
        <w:rPr>
          <w:spacing w:val="-6"/>
          <w:sz w:val="20"/>
        </w:rPr>
        <w:t xml:space="preserve"> </w:t>
      </w:r>
      <w:r>
        <w:rPr>
          <w:sz w:val="20"/>
        </w:rPr>
        <w:t>to</w:t>
      </w:r>
      <w:r>
        <w:rPr>
          <w:spacing w:val="-14"/>
          <w:sz w:val="20"/>
        </w:rPr>
        <w:t xml:space="preserve"> </w:t>
      </w:r>
      <w:r>
        <w:rPr>
          <w:sz w:val="20"/>
        </w:rPr>
        <w:t>liability</w:t>
      </w:r>
      <w:r>
        <w:rPr>
          <w:spacing w:val="-11"/>
          <w:sz w:val="20"/>
        </w:rPr>
        <w:t xml:space="preserve"> </w:t>
      </w:r>
      <w:r>
        <w:rPr>
          <w:sz w:val="20"/>
        </w:rPr>
        <w:t>if</w:t>
      </w:r>
      <w:r>
        <w:rPr>
          <w:spacing w:val="-8"/>
          <w:sz w:val="20"/>
        </w:rPr>
        <w:t xml:space="preserve"> </w:t>
      </w:r>
      <w:r>
        <w:rPr>
          <w:sz w:val="20"/>
        </w:rPr>
        <w:t>they</w:t>
      </w:r>
      <w:r>
        <w:rPr>
          <w:spacing w:val="-9"/>
          <w:sz w:val="20"/>
        </w:rPr>
        <w:t xml:space="preserve"> </w:t>
      </w:r>
      <w:r>
        <w:rPr>
          <w:sz w:val="20"/>
        </w:rPr>
        <w:t>fail</w:t>
      </w:r>
      <w:r>
        <w:rPr>
          <w:spacing w:val="-8"/>
          <w:sz w:val="20"/>
        </w:rPr>
        <w:t xml:space="preserve"> </w:t>
      </w:r>
      <w:r>
        <w:rPr>
          <w:sz w:val="20"/>
        </w:rPr>
        <w:t>to</w:t>
      </w:r>
      <w:r>
        <w:rPr>
          <w:spacing w:val="-9"/>
          <w:sz w:val="20"/>
        </w:rPr>
        <w:t xml:space="preserve"> </w:t>
      </w:r>
      <w:r>
        <w:rPr>
          <w:sz w:val="20"/>
        </w:rPr>
        <w:t>take</w:t>
      </w:r>
      <w:r>
        <w:rPr>
          <w:spacing w:val="-8"/>
          <w:sz w:val="20"/>
        </w:rPr>
        <w:t xml:space="preserve"> </w:t>
      </w:r>
      <w:r>
        <w:rPr>
          <w:sz w:val="20"/>
        </w:rPr>
        <w:t>reasonable</w:t>
      </w:r>
      <w:r>
        <w:rPr>
          <w:spacing w:val="-8"/>
          <w:sz w:val="20"/>
        </w:rPr>
        <w:t xml:space="preserve"> </w:t>
      </w:r>
      <w:r>
        <w:rPr>
          <w:sz w:val="20"/>
        </w:rPr>
        <w:t>steps to prevent insider</w:t>
      </w:r>
      <w:r>
        <w:rPr>
          <w:spacing w:val="-1"/>
          <w:sz w:val="20"/>
        </w:rPr>
        <w:t xml:space="preserve"> </w:t>
      </w:r>
      <w:r>
        <w:rPr>
          <w:sz w:val="20"/>
        </w:rPr>
        <w:t>trading</w:t>
      </w:r>
      <w:r>
        <w:rPr>
          <w:spacing w:val="-1"/>
          <w:sz w:val="20"/>
        </w:rPr>
        <w:t xml:space="preserve"> </w:t>
      </w:r>
      <w:r>
        <w:rPr>
          <w:sz w:val="20"/>
        </w:rPr>
        <w:t>by</w:t>
      </w:r>
      <w:r>
        <w:rPr>
          <w:spacing w:val="-2"/>
          <w:sz w:val="20"/>
        </w:rPr>
        <w:t xml:space="preserve"> </w:t>
      </w:r>
      <w:r>
        <w:rPr>
          <w:sz w:val="20"/>
        </w:rPr>
        <w:t>their</w:t>
      </w:r>
      <w:r>
        <w:rPr>
          <w:spacing w:val="-1"/>
          <w:sz w:val="20"/>
        </w:rPr>
        <w:t xml:space="preserve"> </w:t>
      </w:r>
      <w:r>
        <w:rPr>
          <w:sz w:val="20"/>
        </w:rPr>
        <w:t>personnel.</w:t>
      </w:r>
      <w:r>
        <w:rPr>
          <w:spacing w:val="-2"/>
          <w:sz w:val="20"/>
        </w:rPr>
        <w:t xml:space="preserve"> </w:t>
      </w:r>
      <w:r>
        <w:rPr>
          <w:sz w:val="20"/>
        </w:rPr>
        <w:t>In</w:t>
      </w:r>
      <w:r>
        <w:rPr>
          <w:spacing w:val="-2"/>
          <w:sz w:val="20"/>
        </w:rPr>
        <w:t xml:space="preserve"> </w:t>
      </w:r>
      <w:r>
        <w:rPr>
          <w:sz w:val="20"/>
        </w:rPr>
        <w:t>other</w:t>
      </w:r>
      <w:r>
        <w:rPr>
          <w:spacing w:val="-3"/>
          <w:sz w:val="20"/>
        </w:rPr>
        <w:t xml:space="preserve"> </w:t>
      </w:r>
      <w:r>
        <w:rPr>
          <w:sz w:val="20"/>
        </w:rPr>
        <w:t>words,</w:t>
      </w:r>
      <w:r>
        <w:rPr>
          <w:spacing w:val="-2"/>
          <w:sz w:val="20"/>
        </w:rPr>
        <w:t xml:space="preserve"> </w:t>
      </w:r>
      <w:r>
        <w:rPr>
          <w:sz w:val="20"/>
        </w:rPr>
        <w:t>the</w:t>
      </w:r>
      <w:r>
        <w:rPr>
          <w:spacing w:val="-1"/>
          <w:sz w:val="20"/>
        </w:rPr>
        <w:t xml:space="preserve"> </w:t>
      </w:r>
      <w:r>
        <w:rPr>
          <w:sz w:val="20"/>
        </w:rPr>
        <w:t>Company</w:t>
      </w:r>
      <w:r>
        <w:rPr>
          <w:spacing w:val="-2"/>
          <w:sz w:val="20"/>
        </w:rPr>
        <w:t xml:space="preserve"> </w:t>
      </w:r>
      <w:r>
        <w:rPr>
          <w:sz w:val="20"/>
        </w:rPr>
        <w:t>is</w:t>
      </w:r>
      <w:r>
        <w:rPr>
          <w:spacing w:val="-1"/>
          <w:sz w:val="20"/>
        </w:rPr>
        <w:t xml:space="preserve"> </w:t>
      </w:r>
      <w:r>
        <w:rPr>
          <w:sz w:val="20"/>
        </w:rPr>
        <w:t>required</w:t>
      </w:r>
      <w:r>
        <w:rPr>
          <w:spacing w:val="-2"/>
          <w:sz w:val="20"/>
        </w:rPr>
        <w:t xml:space="preserve"> </w:t>
      </w:r>
      <w:r>
        <w:rPr>
          <w:sz w:val="20"/>
        </w:rPr>
        <w:t>to</w:t>
      </w:r>
      <w:r>
        <w:rPr>
          <w:spacing w:val="-4"/>
          <w:sz w:val="20"/>
        </w:rPr>
        <w:t xml:space="preserve"> </w:t>
      </w:r>
      <w:r>
        <w:rPr>
          <w:sz w:val="20"/>
        </w:rPr>
        <w:t>take</w:t>
      </w:r>
      <w:r>
        <w:rPr>
          <w:spacing w:val="-1"/>
          <w:sz w:val="20"/>
        </w:rPr>
        <w:t xml:space="preserve"> </w:t>
      </w:r>
      <w:r>
        <w:rPr>
          <w:sz w:val="20"/>
        </w:rPr>
        <w:t>steps</w:t>
      </w:r>
      <w:r>
        <w:rPr>
          <w:spacing w:val="-1"/>
          <w:sz w:val="20"/>
        </w:rPr>
        <w:t xml:space="preserve"> </w:t>
      </w:r>
      <w:r>
        <w:rPr>
          <w:sz w:val="20"/>
        </w:rPr>
        <w:t>to ensure that directors, officers, employees and others do</w:t>
      </w:r>
      <w:r>
        <w:rPr>
          <w:spacing w:val="-2"/>
          <w:sz w:val="20"/>
        </w:rPr>
        <w:t xml:space="preserve"> </w:t>
      </w:r>
      <w:r>
        <w:rPr>
          <w:sz w:val="20"/>
        </w:rPr>
        <w:t>not directly or indirectly</w:t>
      </w:r>
      <w:r>
        <w:rPr>
          <w:spacing w:val="-2"/>
          <w:sz w:val="20"/>
        </w:rPr>
        <w:t xml:space="preserve"> </w:t>
      </w:r>
      <w:r>
        <w:rPr>
          <w:sz w:val="20"/>
        </w:rPr>
        <w:t xml:space="preserve">trade on “inside </w:t>
      </w:r>
      <w:r>
        <w:rPr>
          <w:spacing w:val="-2"/>
          <w:sz w:val="20"/>
        </w:rPr>
        <w:t>information.”</w:t>
      </w:r>
    </w:p>
    <w:p>
      <w:pPr>
        <w:pStyle w:val="TextBody"/>
        <w:bidi w:val="0"/>
        <w:spacing w:before="240" w:after="0"/>
        <w:ind w:left="22" w:right="97" w:firstLine="718"/>
        <w:jc w:val="left"/>
        <w:rPr>
          <w:sz w:val="20"/>
        </w:rPr>
      </w:pPr>
      <w:r>
        <w:rPr>
          <w:sz w:val="20"/>
        </w:rPr>
        <w:t>The Board of Directors has adopted the following Policy which applies to all directors, officers, employees, contractors, consultants and advisers of the Company. For purposes of this Policy,</w:t>
      </w:r>
      <w:r>
        <w:rPr>
          <w:spacing w:val="-7"/>
          <w:sz w:val="20"/>
        </w:rPr>
        <w:t xml:space="preserve"> </w:t>
      </w:r>
      <w:r>
        <w:rPr>
          <w:sz w:val="20"/>
        </w:rPr>
        <w:t>the</w:t>
      </w:r>
      <w:r>
        <w:rPr>
          <w:spacing w:val="-9"/>
          <w:sz w:val="20"/>
        </w:rPr>
        <w:t xml:space="preserve"> </w:t>
      </w:r>
      <w:r>
        <w:rPr>
          <w:sz w:val="20"/>
        </w:rPr>
        <w:t>“Company”</w:t>
      </w:r>
      <w:r>
        <w:rPr>
          <w:spacing w:val="-9"/>
          <w:sz w:val="20"/>
        </w:rPr>
        <w:t xml:space="preserve"> </w:t>
      </w:r>
      <w:r>
        <w:rPr>
          <w:sz w:val="20"/>
        </w:rPr>
        <w:t>includes</w:t>
      </w:r>
      <w:r>
        <w:rPr>
          <w:spacing w:val="-7"/>
          <w:sz w:val="20"/>
        </w:rPr>
        <w:t xml:space="preserve"> </w:t>
      </w:r>
      <w:r>
        <w:rPr>
          <w:sz w:val="20"/>
        </w:rPr>
        <w:t>EWI and</w:t>
      </w:r>
      <w:r>
        <w:rPr>
          <w:spacing w:val="-12"/>
          <w:sz w:val="20"/>
        </w:rPr>
        <w:t xml:space="preserve"> </w:t>
      </w:r>
      <w:r>
        <w:rPr>
          <w:sz w:val="20"/>
        </w:rPr>
        <w:t>all</w:t>
      </w:r>
      <w:r>
        <w:rPr>
          <w:spacing w:val="-6"/>
          <w:sz w:val="20"/>
        </w:rPr>
        <w:t xml:space="preserve"> </w:t>
      </w:r>
      <w:r>
        <w:rPr>
          <w:sz w:val="20"/>
        </w:rPr>
        <w:t>of</w:t>
      </w:r>
      <w:r>
        <w:rPr>
          <w:spacing w:val="-11"/>
          <w:sz w:val="20"/>
        </w:rPr>
        <w:t xml:space="preserve"> </w:t>
      </w:r>
      <w:r>
        <w:rPr>
          <w:sz w:val="20"/>
        </w:rPr>
        <w:t>its</w:t>
      </w:r>
      <w:r>
        <w:rPr>
          <w:spacing w:val="-9"/>
          <w:sz w:val="20"/>
        </w:rPr>
        <w:t xml:space="preserve"> </w:t>
      </w:r>
      <w:r>
        <w:rPr>
          <w:sz w:val="20"/>
        </w:rPr>
        <w:t>subsidiaries</w:t>
      </w:r>
      <w:r>
        <w:rPr>
          <w:spacing w:val="-7"/>
          <w:sz w:val="20"/>
        </w:rPr>
        <w:t xml:space="preserve"> </w:t>
      </w:r>
      <w:r>
        <w:rPr>
          <w:sz w:val="20"/>
        </w:rPr>
        <w:t>and</w:t>
      </w:r>
      <w:r>
        <w:rPr>
          <w:spacing w:val="-10"/>
          <w:sz w:val="20"/>
        </w:rPr>
        <w:t xml:space="preserve"> </w:t>
      </w:r>
      <w:r>
        <w:rPr>
          <w:sz w:val="20"/>
        </w:rPr>
        <w:t>affiliated companies. It is your obligation to understand and comply with this Policy.</w:t>
      </w:r>
    </w:p>
    <w:p>
      <w:pPr>
        <w:pStyle w:val="TextBody"/>
        <w:bidi w:val="0"/>
        <w:spacing w:before="241" w:after="0"/>
        <w:ind w:left="22" w:right="97" w:firstLine="717"/>
        <w:jc w:val="left"/>
        <w:rPr>
          <w:sz w:val="20"/>
        </w:rPr>
      </w:pPr>
      <w:r>
        <w:rPr>
          <w:sz w:val="20"/>
        </w:rPr>
        <w:t>Should</w:t>
      </w:r>
      <w:r>
        <w:rPr>
          <w:spacing w:val="-9"/>
          <w:sz w:val="20"/>
        </w:rPr>
        <w:t xml:space="preserve"> </w:t>
      </w:r>
      <w:r>
        <w:rPr>
          <w:sz w:val="20"/>
        </w:rPr>
        <w:t>you</w:t>
      </w:r>
      <w:r>
        <w:rPr>
          <w:spacing w:val="-9"/>
          <w:sz w:val="20"/>
        </w:rPr>
        <w:t xml:space="preserve"> </w:t>
      </w:r>
      <w:r>
        <w:rPr>
          <w:sz w:val="20"/>
        </w:rPr>
        <w:t>have</w:t>
      </w:r>
      <w:r>
        <w:rPr>
          <w:spacing w:val="-6"/>
          <w:sz w:val="20"/>
        </w:rPr>
        <w:t xml:space="preserve"> </w:t>
      </w:r>
      <w:r>
        <w:rPr>
          <w:sz w:val="20"/>
        </w:rPr>
        <w:t>any</w:t>
      </w:r>
      <w:r>
        <w:rPr>
          <w:spacing w:val="-11"/>
          <w:sz w:val="20"/>
        </w:rPr>
        <w:t xml:space="preserve"> </w:t>
      </w:r>
      <w:r>
        <w:rPr>
          <w:sz w:val="20"/>
        </w:rPr>
        <w:t>questions</w:t>
      </w:r>
      <w:r>
        <w:rPr>
          <w:spacing w:val="-8"/>
          <w:sz w:val="20"/>
        </w:rPr>
        <w:t xml:space="preserve"> </w:t>
      </w:r>
      <w:r>
        <w:rPr>
          <w:sz w:val="20"/>
        </w:rPr>
        <w:t>regarding</w:t>
      </w:r>
      <w:r>
        <w:rPr>
          <w:spacing w:val="-13"/>
          <w:sz w:val="20"/>
        </w:rPr>
        <w:t xml:space="preserve"> </w:t>
      </w:r>
      <w:r>
        <w:rPr>
          <w:sz w:val="20"/>
        </w:rPr>
        <w:t>this</w:t>
      </w:r>
      <w:r>
        <w:rPr>
          <w:spacing w:val="-8"/>
          <w:sz w:val="20"/>
        </w:rPr>
        <w:t xml:space="preserve"> </w:t>
      </w:r>
      <w:r>
        <w:rPr>
          <w:sz w:val="20"/>
        </w:rPr>
        <w:t>Policy,</w:t>
      </w:r>
      <w:r>
        <w:rPr>
          <w:spacing w:val="-6"/>
          <w:sz w:val="20"/>
        </w:rPr>
        <w:t xml:space="preserve"> </w:t>
      </w:r>
      <w:r>
        <w:rPr>
          <w:sz w:val="20"/>
        </w:rPr>
        <w:t>please</w:t>
      </w:r>
      <w:r>
        <w:rPr>
          <w:spacing w:val="-8"/>
          <w:sz w:val="20"/>
        </w:rPr>
        <w:t xml:space="preserve"> </w:t>
      </w:r>
      <w:r>
        <w:rPr>
          <w:sz w:val="20"/>
        </w:rPr>
        <w:t>contact</w:t>
      </w:r>
      <w:r>
        <w:rPr>
          <w:spacing w:val="-10"/>
          <w:sz w:val="20"/>
        </w:rPr>
        <w:t xml:space="preserve"> </w:t>
      </w:r>
      <w:r>
        <w:rPr>
          <w:sz w:val="20"/>
        </w:rPr>
        <w:t>the</w:t>
      </w:r>
      <w:r>
        <w:rPr>
          <w:spacing w:val="-8"/>
          <w:sz w:val="20"/>
        </w:rPr>
        <w:t xml:space="preserve"> </w:t>
      </w:r>
      <w:r>
        <w:rPr>
          <w:sz w:val="20"/>
        </w:rPr>
        <w:t>General Counsel of EWI.</w:t>
      </w:r>
      <w:r>
        <w:rPr>
          <w:spacing w:val="40"/>
          <w:sz w:val="20"/>
        </w:rPr>
        <w:t xml:space="preserve"> </w:t>
      </w:r>
    </w:p>
    <w:p>
      <w:pPr>
        <w:pStyle w:val="TextBody"/>
        <w:bidi w:val="0"/>
        <w:spacing w:before="238" w:after="0"/>
        <w:ind w:left="23" w:right="66" w:firstLine="720"/>
        <w:jc w:val="left"/>
        <w:rPr>
          <w:sz w:val="20"/>
        </w:rPr>
      </w:pPr>
      <w:r>
        <w:rPr>
          <w:sz w:val="20"/>
        </w:rPr>
        <w:t>1.</w:t>
      </w:r>
      <w:r>
        <w:rPr>
          <w:caps w:val="false"/>
          <w:smallCaps w:val="false"/>
          <w:sz w:val="20"/>
        </w:rPr>
        <w:t xml:space="preserve">                    </w:t>
      </w:r>
      <w:r>
        <w:rPr>
          <w:sz w:val="20"/>
          <w:u w:val="single"/>
        </w:rPr>
        <w:t>Persons</w:t>
      </w:r>
      <w:r>
        <w:rPr>
          <w:spacing w:val="40"/>
          <w:sz w:val="20"/>
          <w:u w:val="single"/>
        </w:rPr>
        <w:t xml:space="preserve"> </w:t>
      </w:r>
      <w:r>
        <w:rPr>
          <w:sz w:val="20"/>
          <w:u w:val="single"/>
        </w:rPr>
        <w:t>Subject</w:t>
      </w:r>
      <w:r>
        <w:rPr>
          <w:spacing w:val="40"/>
          <w:sz w:val="20"/>
          <w:u w:val="single"/>
        </w:rPr>
        <w:t xml:space="preserve"> </w:t>
      </w:r>
      <w:r>
        <w:rPr>
          <w:sz w:val="20"/>
          <w:u w:val="single"/>
        </w:rPr>
        <w:t>to</w:t>
      </w:r>
      <w:r>
        <w:rPr>
          <w:spacing w:val="40"/>
          <w:sz w:val="20"/>
          <w:u w:val="single"/>
        </w:rPr>
        <w:t xml:space="preserve"> </w:t>
      </w:r>
      <w:r>
        <w:rPr>
          <w:sz w:val="20"/>
          <w:u w:val="single"/>
        </w:rPr>
        <w:t>this</w:t>
      </w:r>
      <w:r>
        <w:rPr>
          <w:spacing w:val="40"/>
          <w:sz w:val="20"/>
          <w:u w:val="single"/>
        </w:rPr>
        <w:t xml:space="preserve"> </w:t>
      </w:r>
      <w:r>
        <w:rPr>
          <w:sz w:val="20"/>
          <w:u w:val="single"/>
        </w:rPr>
        <w:t>Policy</w:t>
      </w:r>
      <w:r>
        <w:rPr>
          <w:sz w:val="20"/>
        </w:rPr>
        <w:t>. Because</w:t>
      </w:r>
      <w:r>
        <w:rPr>
          <w:spacing w:val="40"/>
          <w:sz w:val="20"/>
        </w:rPr>
        <w:t xml:space="preserve"> </w:t>
      </w:r>
      <w:r>
        <w:rPr>
          <w:sz w:val="20"/>
        </w:rPr>
        <w:t>you</w:t>
      </w:r>
      <w:r>
        <w:rPr>
          <w:spacing w:val="40"/>
          <w:sz w:val="20"/>
        </w:rPr>
        <w:t xml:space="preserve"> </w:t>
      </w:r>
      <w:r>
        <w:rPr>
          <w:sz w:val="20"/>
        </w:rPr>
        <w:t>are</w:t>
      </w:r>
      <w:r>
        <w:rPr>
          <w:spacing w:val="40"/>
          <w:sz w:val="20"/>
        </w:rPr>
        <w:t xml:space="preserve"> </w:t>
      </w:r>
      <w:r>
        <w:rPr>
          <w:sz w:val="20"/>
        </w:rPr>
        <w:t>a</w:t>
      </w:r>
      <w:r>
        <w:rPr>
          <w:spacing w:val="40"/>
          <w:sz w:val="20"/>
        </w:rPr>
        <w:t xml:space="preserve"> </w:t>
      </w:r>
      <w:r>
        <w:rPr>
          <w:sz w:val="20"/>
        </w:rPr>
        <w:t>director,</w:t>
      </w:r>
      <w:r>
        <w:rPr>
          <w:spacing w:val="40"/>
          <w:sz w:val="20"/>
        </w:rPr>
        <w:t xml:space="preserve"> </w:t>
      </w:r>
      <w:r>
        <w:rPr>
          <w:sz w:val="20"/>
        </w:rPr>
        <w:t>officer,</w:t>
      </w:r>
      <w:r>
        <w:rPr>
          <w:spacing w:val="40"/>
          <w:sz w:val="20"/>
        </w:rPr>
        <w:t xml:space="preserve"> </w:t>
      </w:r>
      <w:r>
        <w:rPr>
          <w:sz w:val="20"/>
        </w:rPr>
        <w:t>employee, contractor, consultant or adviser of the Company, this Policy applies to:</w:t>
      </w:r>
    </w:p>
    <w:p>
      <w:pPr>
        <w:pStyle w:val="TextBody"/>
        <w:bidi w:val="0"/>
        <w:spacing w:before="234" w:after="0"/>
        <w:ind w:left="1103" w:right="0" w:hanging="360"/>
        <w:jc w:val="left"/>
        <w:rPr/>
      </w:pPr>
      <w:r>
        <w:rPr/>
        <w:t></w:t>
      </w:r>
      <w:r>
        <w:rPr>
          <w:caps w:val="false"/>
          <w:smallCaps w:val="false"/>
        </w:rPr>
        <w:t xml:space="preserve">         </w:t>
      </w:r>
      <w:r>
        <w:rPr>
          <w:spacing w:val="-4"/>
          <w:sz w:val="20"/>
        </w:rPr>
        <w:t>you,</w:t>
      </w:r>
    </w:p>
    <w:p>
      <w:pPr>
        <w:pStyle w:val="TextBody"/>
        <w:bidi w:val="0"/>
        <w:spacing w:before="0" w:after="0"/>
        <w:ind w:left="1103" w:right="0" w:hanging="360"/>
        <w:jc w:val="left"/>
        <w:rPr/>
      </w:pPr>
      <w:r>
        <w:rPr/>
        <w:t></w:t>
      </w:r>
      <w:r>
        <w:rPr>
          <w:caps w:val="false"/>
          <w:smallCaps w:val="false"/>
        </w:rPr>
        <w:t xml:space="preserve">         </w:t>
      </w:r>
      <w:r>
        <w:rPr>
          <w:sz w:val="20"/>
        </w:rPr>
        <w:t>your</w:t>
      </w:r>
      <w:r>
        <w:rPr>
          <w:spacing w:val="-10"/>
          <w:sz w:val="20"/>
        </w:rPr>
        <w:t xml:space="preserve"> </w:t>
      </w:r>
      <w:r>
        <w:rPr>
          <w:sz w:val="20"/>
        </w:rPr>
        <w:t>family</w:t>
      </w:r>
      <w:r>
        <w:rPr>
          <w:spacing w:val="-11"/>
          <w:sz w:val="20"/>
        </w:rPr>
        <w:t xml:space="preserve"> </w:t>
      </w:r>
      <w:r>
        <w:rPr>
          <w:sz w:val="20"/>
        </w:rPr>
        <w:t>members</w:t>
      </w:r>
      <w:r>
        <w:rPr>
          <w:spacing w:val="-8"/>
          <w:sz w:val="20"/>
        </w:rPr>
        <w:t xml:space="preserve"> </w:t>
      </w:r>
      <w:r>
        <w:rPr>
          <w:sz w:val="20"/>
        </w:rPr>
        <w:t>who</w:t>
      </w:r>
      <w:r>
        <w:rPr>
          <w:spacing w:val="-10"/>
          <w:sz w:val="20"/>
        </w:rPr>
        <w:t xml:space="preserve"> </w:t>
      </w:r>
      <w:r>
        <w:rPr>
          <w:sz w:val="20"/>
        </w:rPr>
        <w:t>reside</w:t>
      </w:r>
      <w:r>
        <w:rPr>
          <w:spacing w:val="-7"/>
          <w:sz w:val="20"/>
        </w:rPr>
        <w:t xml:space="preserve"> </w:t>
      </w:r>
      <w:r>
        <w:rPr>
          <w:sz w:val="20"/>
        </w:rPr>
        <w:t>with</w:t>
      </w:r>
      <w:r>
        <w:rPr>
          <w:spacing w:val="-10"/>
          <w:sz w:val="20"/>
        </w:rPr>
        <w:t xml:space="preserve"> </w:t>
      </w:r>
      <w:r>
        <w:rPr>
          <w:spacing w:val="-4"/>
          <w:sz w:val="20"/>
        </w:rPr>
        <w:t>you,</w:t>
      </w:r>
    </w:p>
    <w:p>
      <w:pPr>
        <w:pStyle w:val="TextBody"/>
        <w:bidi w:val="0"/>
        <w:spacing w:before="0" w:after="0"/>
        <w:ind w:left="1103" w:right="0" w:hanging="361"/>
        <w:jc w:val="left"/>
        <w:rPr/>
      </w:pPr>
      <w:r>
        <w:rPr/>
        <w:t></w:t>
      </w:r>
      <w:r>
        <w:rPr>
          <w:caps w:val="false"/>
          <w:smallCaps w:val="false"/>
        </w:rPr>
        <w:t xml:space="preserve">         </w:t>
      </w:r>
      <w:r>
        <w:rPr>
          <w:sz w:val="20"/>
        </w:rPr>
        <w:t>anyone</w:t>
      </w:r>
      <w:r>
        <w:rPr>
          <w:spacing w:val="-7"/>
          <w:sz w:val="20"/>
        </w:rPr>
        <w:t xml:space="preserve"> </w:t>
      </w:r>
      <w:r>
        <w:rPr>
          <w:sz w:val="20"/>
        </w:rPr>
        <w:t>else</w:t>
      </w:r>
      <w:r>
        <w:rPr>
          <w:spacing w:val="-5"/>
          <w:sz w:val="20"/>
        </w:rPr>
        <w:t xml:space="preserve"> </w:t>
      </w:r>
      <w:r>
        <w:rPr>
          <w:sz w:val="20"/>
        </w:rPr>
        <w:t>who</w:t>
      </w:r>
      <w:r>
        <w:rPr>
          <w:spacing w:val="-11"/>
          <w:sz w:val="20"/>
        </w:rPr>
        <w:t xml:space="preserve"> </w:t>
      </w:r>
      <w:r>
        <w:rPr>
          <w:sz w:val="20"/>
        </w:rPr>
        <w:t>lives</w:t>
      </w:r>
      <w:r>
        <w:rPr>
          <w:spacing w:val="-7"/>
          <w:sz w:val="20"/>
        </w:rPr>
        <w:t xml:space="preserve"> </w:t>
      </w:r>
      <w:r>
        <w:rPr>
          <w:sz w:val="20"/>
        </w:rPr>
        <w:t>in</w:t>
      </w:r>
      <w:r>
        <w:rPr>
          <w:spacing w:val="-8"/>
          <w:sz w:val="20"/>
        </w:rPr>
        <w:t xml:space="preserve"> </w:t>
      </w:r>
      <w:r>
        <w:rPr>
          <w:sz w:val="20"/>
        </w:rPr>
        <w:t>your</w:t>
      </w:r>
      <w:r>
        <w:rPr>
          <w:spacing w:val="-6"/>
          <w:sz w:val="20"/>
        </w:rPr>
        <w:t xml:space="preserve"> </w:t>
      </w:r>
      <w:r>
        <w:rPr>
          <w:spacing w:val="-2"/>
          <w:sz w:val="20"/>
        </w:rPr>
        <w:t>household,</w:t>
      </w:r>
    </w:p>
    <w:p>
      <w:pPr>
        <w:pStyle w:val="TextBody"/>
        <w:bidi w:val="0"/>
        <w:spacing w:before="4" w:after="0"/>
        <w:ind w:left="1102" w:right="311" w:hanging="360"/>
        <w:jc w:val="left"/>
        <w:rPr/>
      </w:pPr>
      <w:r>
        <w:rPr/>
        <w:t></w:t>
      </w:r>
      <w:r>
        <w:rPr>
          <w:caps w:val="false"/>
          <w:smallCaps w:val="false"/>
        </w:rPr>
        <w:t xml:space="preserve">         </w:t>
      </w:r>
      <w:r>
        <w:rPr>
          <w:sz w:val="20"/>
        </w:rPr>
        <w:t>any family members who do not live in your household but whose transactions in Company</w:t>
      </w:r>
      <w:r>
        <w:rPr>
          <w:spacing w:val="-10"/>
          <w:sz w:val="20"/>
        </w:rPr>
        <w:t xml:space="preserve"> </w:t>
      </w:r>
      <w:r>
        <w:rPr>
          <w:sz w:val="20"/>
        </w:rPr>
        <w:t>securities</w:t>
      </w:r>
      <w:r>
        <w:rPr>
          <w:spacing w:val="-10"/>
          <w:sz w:val="20"/>
        </w:rPr>
        <w:t xml:space="preserve"> </w:t>
      </w:r>
      <w:r>
        <w:rPr>
          <w:sz w:val="20"/>
        </w:rPr>
        <w:t>are</w:t>
      </w:r>
      <w:r>
        <w:rPr>
          <w:spacing w:val="-6"/>
          <w:sz w:val="20"/>
        </w:rPr>
        <w:t xml:space="preserve"> </w:t>
      </w:r>
      <w:r>
        <w:rPr>
          <w:sz w:val="20"/>
        </w:rPr>
        <w:t>directed</w:t>
      </w:r>
      <w:r>
        <w:rPr>
          <w:spacing w:val="-6"/>
          <w:sz w:val="20"/>
        </w:rPr>
        <w:t xml:space="preserve"> </w:t>
      </w:r>
      <w:r>
        <w:rPr>
          <w:sz w:val="20"/>
        </w:rPr>
        <w:t>by</w:t>
      </w:r>
      <w:r>
        <w:rPr>
          <w:spacing w:val="-10"/>
          <w:sz w:val="20"/>
        </w:rPr>
        <w:t xml:space="preserve"> </w:t>
      </w:r>
      <w:r>
        <w:rPr>
          <w:sz w:val="20"/>
        </w:rPr>
        <w:t>you</w:t>
      </w:r>
      <w:r>
        <w:rPr>
          <w:spacing w:val="-8"/>
          <w:sz w:val="20"/>
        </w:rPr>
        <w:t xml:space="preserve"> </w:t>
      </w:r>
      <w:r>
        <w:rPr>
          <w:sz w:val="20"/>
        </w:rPr>
        <w:t>or</w:t>
      </w:r>
      <w:r>
        <w:rPr>
          <w:spacing w:val="-5"/>
          <w:sz w:val="20"/>
        </w:rPr>
        <w:t xml:space="preserve"> </w:t>
      </w:r>
      <w:r>
        <w:rPr>
          <w:sz w:val="20"/>
        </w:rPr>
        <w:t>are</w:t>
      </w:r>
      <w:r>
        <w:rPr>
          <w:spacing w:val="-8"/>
          <w:sz w:val="20"/>
        </w:rPr>
        <w:t xml:space="preserve"> </w:t>
      </w:r>
      <w:r>
        <w:rPr>
          <w:sz w:val="20"/>
        </w:rPr>
        <w:t>subject</w:t>
      </w:r>
      <w:r>
        <w:rPr>
          <w:spacing w:val="-8"/>
          <w:sz w:val="20"/>
        </w:rPr>
        <w:t xml:space="preserve"> </w:t>
      </w:r>
      <w:r>
        <w:rPr>
          <w:sz w:val="20"/>
        </w:rPr>
        <w:t>to</w:t>
      </w:r>
      <w:r>
        <w:rPr>
          <w:spacing w:val="-6"/>
          <w:sz w:val="20"/>
        </w:rPr>
        <w:t xml:space="preserve"> </w:t>
      </w:r>
      <w:r>
        <w:rPr>
          <w:sz w:val="20"/>
        </w:rPr>
        <w:t>your</w:t>
      </w:r>
      <w:r>
        <w:rPr>
          <w:spacing w:val="-8"/>
          <w:sz w:val="20"/>
        </w:rPr>
        <w:t xml:space="preserve"> </w:t>
      </w:r>
      <w:r>
        <w:rPr>
          <w:sz w:val="20"/>
        </w:rPr>
        <w:t>influence</w:t>
      </w:r>
      <w:r>
        <w:rPr>
          <w:spacing w:val="-6"/>
          <w:sz w:val="20"/>
        </w:rPr>
        <w:t xml:space="preserve"> </w:t>
      </w:r>
      <w:r>
        <w:rPr>
          <w:sz w:val="20"/>
        </w:rPr>
        <w:t>or</w:t>
      </w:r>
      <w:r>
        <w:rPr>
          <w:spacing w:val="-9"/>
          <w:sz w:val="20"/>
        </w:rPr>
        <w:t xml:space="preserve"> </w:t>
      </w:r>
      <w:r>
        <w:rPr>
          <w:sz w:val="20"/>
        </w:rPr>
        <w:t>control</w:t>
      </w:r>
      <w:r>
        <w:rPr>
          <w:spacing w:val="-9"/>
          <w:sz w:val="20"/>
        </w:rPr>
        <w:t xml:space="preserve"> </w:t>
      </w:r>
      <w:r>
        <w:rPr>
          <w:sz w:val="20"/>
        </w:rPr>
        <w:t>(such as parents or children who consult with you before they trade in Company securities),</w:t>
      </w:r>
    </w:p>
    <w:p>
      <w:pPr>
        <w:pStyle w:val="TextBody"/>
        <w:bidi w:val="0"/>
        <w:spacing w:before="0" w:after="0"/>
        <w:ind w:left="1102" w:right="0" w:hanging="360"/>
        <w:jc w:val="left"/>
        <w:rPr/>
      </w:pPr>
      <w:r>
        <w:rPr/>
        <w:t></w:t>
      </w:r>
      <w:r>
        <w:rPr>
          <w:caps w:val="false"/>
          <w:smallCaps w:val="false"/>
        </w:rPr>
        <w:t xml:space="preserve">         </w:t>
      </w:r>
      <w:r>
        <w:rPr>
          <w:sz w:val="20"/>
        </w:rPr>
        <w:t>any</w:t>
      </w:r>
      <w:r>
        <w:rPr>
          <w:spacing w:val="-8"/>
          <w:sz w:val="20"/>
        </w:rPr>
        <w:t xml:space="preserve"> </w:t>
      </w:r>
      <w:r>
        <w:rPr>
          <w:sz w:val="20"/>
        </w:rPr>
        <w:t>entity</w:t>
      </w:r>
      <w:r>
        <w:rPr>
          <w:spacing w:val="-10"/>
          <w:sz w:val="20"/>
        </w:rPr>
        <w:t xml:space="preserve"> </w:t>
      </w:r>
      <w:r>
        <w:rPr>
          <w:sz w:val="20"/>
        </w:rPr>
        <w:t>controlled</w:t>
      </w:r>
      <w:r>
        <w:rPr>
          <w:spacing w:val="-8"/>
          <w:sz w:val="20"/>
        </w:rPr>
        <w:t xml:space="preserve"> </w:t>
      </w:r>
      <w:r>
        <w:rPr>
          <w:sz w:val="20"/>
        </w:rPr>
        <w:t>by</w:t>
      </w:r>
      <w:r>
        <w:rPr>
          <w:spacing w:val="-10"/>
          <w:sz w:val="20"/>
        </w:rPr>
        <w:t xml:space="preserve"> </w:t>
      </w:r>
      <w:r>
        <w:rPr>
          <w:sz w:val="20"/>
        </w:rPr>
        <w:t>you</w:t>
      </w:r>
      <w:r>
        <w:rPr>
          <w:spacing w:val="-8"/>
          <w:sz w:val="20"/>
        </w:rPr>
        <w:t xml:space="preserve"> </w:t>
      </w:r>
      <w:r>
        <w:rPr>
          <w:sz w:val="20"/>
        </w:rPr>
        <w:t>or</w:t>
      </w:r>
      <w:r>
        <w:rPr>
          <w:spacing w:val="-4"/>
          <w:sz w:val="20"/>
        </w:rPr>
        <w:t xml:space="preserve"> </w:t>
      </w:r>
      <w:r>
        <w:rPr>
          <w:sz w:val="20"/>
        </w:rPr>
        <w:t>by</w:t>
      </w:r>
      <w:r>
        <w:rPr>
          <w:spacing w:val="-9"/>
          <w:sz w:val="20"/>
        </w:rPr>
        <w:t xml:space="preserve"> </w:t>
      </w:r>
      <w:r>
        <w:rPr>
          <w:sz w:val="20"/>
        </w:rPr>
        <w:t>any</w:t>
      </w:r>
      <w:r>
        <w:rPr>
          <w:spacing w:val="-8"/>
          <w:sz w:val="20"/>
        </w:rPr>
        <w:t xml:space="preserve"> </w:t>
      </w:r>
      <w:r>
        <w:rPr>
          <w:sz w:val="20"/>
        </w:rPr>
        <w:t>of</w:t>
      </w:r>
      <w:r>
        <w:rPr>
          <w:spacing w:val="-5"/>
          <w:sz w:val="20"/>
        </w:rPr>
        <w:t xml:space="preserve"> </w:t>
      </w:r>
      <w:r>
        <w:rPr>
          <w:sz w:val="20"/>
        </w:rPr>
        <w:t>your</w:t>
      </w:r>
      <w:r>
        <w:rPr>
          <w:spacing w:val="-7"/>
          <w:sz w:val="20"/>
        </w:rPr>
        <w:t xml:space="preserve"> </w:t>
      </w:r>
      <w:r>
        <w:rPr>
          <w:sz w:val="20"/>
        </w:rPr>
        <w:t>related</w:t>
      </w:r>
      <w:r>
        <w:rPr>
          <w:spacing w:val="-11"/>
          <w:sz w:val="20"/>
        </w:rPr>
        <w:t xml:space="preserve"> </w:t>
      </w:r>
      <w:r>
        <w:rPr>
          <w:sz w:val="20"/>
        </w:rPr>
        <w:t>persons</w:t>
      </w:r>
      <w:r>
        <w:rPr>
          <w:spacing w:val="-10"/>
          <w:sz w:val="20"/>
        </w:rPr>
        <w:t xml:space="preserve"> </w:t>
      </w:r>
      <w:r>
        <w:rPr>
          <w:sz w:val="20"/>
        </w:rPr>
        <w:t>listed</w:t>
      </w:r>
      <w:r>
        <w:rPr>
          <w:spacing w:val="-8"/>
          <w:sz w:val="20"/>
        </w:rPr>
        <w:t xml:space="preserve"> </w:t>
      </w:r>
      <w:r>
        <w:rPr>
          <w:sz w:val="20"/>
        </w:rPr>
        <w:t>above,</w:t>
      </w:r>
      <w:r>
        <w:rPr>
          <w:spacing w:val="-7"/>
          <w:sz w:val="20"/>
        </w:rPr>
        <w:t xml:space="preserve"> </w:t>
      </w:r>
      <w:r>
        <w:rPr>
          <w:spacing w:val="-5"/>
          <w:sz w:val="20"/>
        </w:rPr>
        <w:t>and</w:t>
      </w:r>
    </w:p>
    <w:p>
      <w:pPr>
        <w:pStyle w:val="TextBody"/>
        <w:bidi w:val="0"/>
        <w:spacing w:before="0" w:after="0"/>
        <w:ind w:left="1102" w:right="0" w:hanging="360"/>
        <w:jc w:val="left"/>
        <w:rPr/>
      </w:pPr>
      <w:r>
        <w:rPr/>
        <w:t></w:t>
      </w:r>
      <w:r>
        <w:rPr>
          <w:caps w:val="false"/>
          <w:smallCaps w:val="false"/>
        </w:rPr>
        <w:t xml:space="preserve">         </w:t>
      </w:r>
      <w:r>
        <w:rPr>
          <w:sz w:val="20"/>
        </w:rPr>
        <w:t>any</w:t>
      </w:r>
      <w:r>
        <w:rPr>
          <w:spacing w:val="-11"/>
          <w:sz w:val="20"/>
        </w:rPr>
        <w:t xml:space="preserve"> </w:t>
      </w:r>
      <w:r>
        <w:rPr>
          <w:sz w:val="20"/>
        </w:rPr>
        <w:t>other</w:t>
      </w:r>
      <w:r>
        <w:rPr>
          <w:spacing w:val="-10"/>
          <w:sz w:val="20"/>
        </w:rPr>
        <w:t xml:space="preserve"> </w:t>
      </w:r>
      <w:r>
        <w:rPr>
          <w:sz w:val="20"/>
        </w:rPr>
        <w:t>person</w:t>
      </w:r>
      <w:r>
        <w:rPr>
          <w:spacing w:val="-9"/>
          <w:sz w:val="20"/>
        </w:rPr>
        <w:t xml:space="preserve"> </w:t>
      </w:r>
      <w:r>
        <w:rPr>
          <w:sz w:val="20"/>
        </w:rPr>
        <w:t>or</w:t>
      </w:r>
      <w:r>
        <w:rPr>
          <w:spacing w:val="-8"/>
          <w:sz w:val="20"/>
        </w:rPr>
        <w:t xml:space="preserve"> </w:t>
      </w:r>
      <w:r>
        <w:rPr>
          <w:sz w:val="20"/>
        </w:rPr>
        <w:t>entity</w:t>
      </w:r>
      <w:r>
        <w:rPr>
          <w:spacing w:val="-9"/>
          <w:sz w:val="20"/>
        </w:rPr>
        <w:t xml:space="preserve"> </w:t>
      </w:r>
      <w:r>
        <w:rPr>
          <w:sz w:val="20"/>
        </w:rPr>
        <w:t>designated</w:t>
      </w:r>
      <w:r>
        <w:rPr>
          <w:spacing w:val="-7"/>
          <w:sz w:val="20"/>
        </w:rPr>
        <w:t xml:space="preserve"> </w:t>
      </w:r>
      <w:r>
        <w:rPr>
          <w:sz w:val="20"/>
        </w:rPr>
        <w:t>by</w:t>
      </w:r>
      <w:r>
        <w:rPr>
          <w:spacing w:val="-9"/>
          <w:sz w:val="20"/>
        </w:rPr>
        <w:t xml:space="preserve"> </w:t>
      </w:r>
      <w:r>
        <w:rPr>
          <w:sz w:val="20"/>
        </w:rPr>
        <w:t>the</w:t>
      </w:r>
      <w:r>
        <w:rPr>
          <w:spacing w:val="-8"/>
          <w:sz w:val="20"/>
        </w:rPr>
        <w:t xml:space="preserve"> </w:t>
      </w:r>
      <w:r>
        <w:rPr>
          <w:sz w:val="20"/>
        </w:rPr>
        <w:t xml:space="preserve">EWI’s </w:t>
      </w:r>
      <w:r>
        <w:rPr>
          <w:spacing w:val="-8"/>
          <w:sz w:val="20"/>
        </w:rPr>
        <w:t> </w:t>
      </w:r>
      <w:r>
        <w:rPr>
          <w:sz w:val="20"/>
        </w:rPr>
        <w:t>General</w:t>
      </w:r>
      <w:r>
        <w:rPr>
          <w:spacing w:val="-5"/>
          <w:sz w:val="20"/>
        </w:rPr>
        <w:t xml:space="preserve"> </w:t>
      </w:r>
      <w:r>
        <w:rPr>
          <w:spacing w:val="-2"/>
          <w:sz w:val="20"/>
        </w:rPr>
        <w:t>Counsel.</w:t>
      </w:r>
    </w:p>
    <w:p>
      <w:pPr>
        <w:pStyle w:val="TextBody"/>
        <w:bidi w:val="0"/>
        <w:spacing w:before="246" w:after="0"/>
        <w:ind w:left="22" w:right="97" w:firstLine="718"/>
        <w:jc w:val="left"/>
        <w:rPr>
          <w:sz w:val="20"/>
        </w:rPr>
      </w:pPr>
      <w:r>
        <w:rPr>
          <w:sz w:val="20"/>
        </w:rPr>
        <w:t>You</w:t>
      </w:r>
      <w:r>
        <w:rPr>
          <w:spacing w:val="-9"/>
          <w:sz w:val="20"/>
        </w:rPr>
        <w:t xml:space="preserve"> </w:t>
      </w:r>
      <w:r>
        <w:rPr>
          <w:sz w:val="20"/>
        </w:rPr>
        <w:t>are</w:t>
      </w:r>
      <w:r>
        <w:rPr>
          <w:spacing w:val="-8"/>
          <w:sz w:val="20"/>
        </w:rPr>
        <w:t xml:space="preserve"> </w:t>
      </w:r>
      <w:r>
        <w:rPr>
          <w:sz w:val="20"/>
        </w:rPr>
        <w:t>responsible</w:t>
      </w:r>
      <w:r>
        <w:rPr>
          <w:spacing w:val="-6"/>
          <w:sz w:val="20"/>
        </w:rPr>
        <w:t xml:space="preserve"> </w:t>
      </w:r>
      <w:r>
        <w:rPr>
          <w:sz w:val="20"/>
        </w:rPr>
        <w:t>for</w:t>
      </w:r>
      <w:r>
        <w:rPr>
          <w:spacing w:val="-8"/>
          <w:sz w:val="20"/>
        </w:rPr>
        <w:t xml:space="preserve"> </w:t>
      </w:r>
      <w:r>
        <w:rPr>
          <w:sz w:val="20"/>
        </w:rPr>
        <w:t>the</w:t>
      </w:r>
      <w:r>
        <w:rPr>
          <w:spacing w:val="-11"/>
          <w:sz w:val="20"/>
        </w:rPr>
        <w:t xml:space="preserve"> </w:t>
      </w:r>
      <w:r>
        <w:rPr>
          <w:sz w:val="20"/>
        </w:rPr>
        <w:t>transactions</w:t>
      </w:r>
      <w:r>
        <w:rPr>
          <w:spacing w:val="-8"/>
          <w:sz w:val="20"/>
        </w:rPr>
        <w:t xml:space="preserve"> </w:t>
      </w:r>
      <w:r>
        <w:rPr>
          <w:sz w:val="20"/>
        </w:rPr>
        <w:t>of</w:t>
      </w:r>
      <w:r>
        <w:rPr>
          <w:spacing w:val="-8"/>
          <w:sz w:val="20"/>
        </w:rPr>
        <w:t xml:space="preserve"> </w:t>
      </w:r>
      <w:r>
        <w:rPr>
          <w:sz w:val="20"/>
        </w:rPr>
        <w:t>these</w:t>
      </w:r>
      <w:r>
        <w:rPr>
          <w:spacing w:val="-8"/>
          <w:sz w:val="20"/>
        </w:rPr>
        <w:t xml:space="preserve"> </w:t>
      </w:r>
      <w:r>
        <w:rPr>
          <w:sz w:val="20"/>
        </w:rPr>
        <w:t>other</w:t>
      </w:r>
      <w:r>
        <w:rPr>
          <w:spacing w:val="-10"/>
          <w:sz w:val="20"/>
        </w:rPr>
        <w:t xml:space="preserve"> </w:t>
      </w:r>
      <w:r>
        <w:rPr>
          <w:sz w:val="20"/>
        </w:rPr>
        <w:t>persons</w:t>
      </w:r>
      <w:r>
        <w:rPr>
          <w:spacing w:val="-8"/>
          <w:sz w:val="20"/>
        </w:rPr>
        <w:t xml:space="preserve"> </w:t>
      </w:r>
      <w:r>
        <w:rPr>
          <w:sz w:val="20"/>
        </w:rPr>
        <w:t>and</w:t>
      </w:r>
      <w:r>
        <w:rPr>
          <w:spacing w:val="-9"/>
          <w:sz w:val="20"/>
        </w:rPr>
        <w:t xml:space="preserve"> </w:t>
      </w:r>
      <w:r>
        <w:rPr>
          <w:sz w:val="20"/>
        </w:rPr>
        <w:t>entities</w:t>
      </w:r>
      <w:r>
        <w:rPr>
          <w:spacing w:val="-8"/>
          <w:sz w:val="20"/>
        </w:rPr>
        <w:t xml:space="preserve"> </w:t>
      </w:r>
      <w:r>
        <w:rPr>
          <w:sz w:val="20"/>
        </w:rPr>
        <w:t>and</w:t>
      </w:r>
      <w:r>
        <w:rPr>
          <w:spacing w:val="-9"/>
          <w:sz w:val="20"/>
        </w:rPr>
        <w:t xml:space="preserve"> </w:t>
      </w:r>
      <w:r>
        <w:rPr>
          <w:sz w:val="20"/>
        </w:rPr>
        <w:t>therefore</w:t>
      </w:r>
      <w:r>
        <w:rPr>
          <w:spacing w:val="-6"/>
          <w:sz w:val="20"/>
        </w:rPr>
        <w:t xml:space="preserve"> </w:t>
      </w:r>
      <w:r>
        <w:rPr>
          <w:sz w:val="20"/>
        </w:rPr>
        <w:t>you should make</w:t>
      </w:r>
      <w:r>
        <w:rPr>
          <w:spacing w:val="-1"/>
          <w:sz w:val="20"/>
        </w:rPr>
        <w:t xml:space="preserve"> </w:t>
      </w:r>
      <w:r>
        <w:rPr>
          <w:sz w:val="20"/>
        </w:rPr>
        <w:t>them aware of the need to confer with you before</w:t>
      </w:r>
      <w:r>
        <w:rPr>
          <w:spacing w:val="-1"/>
          <w:sz w:val="20"/>
        </w:rPr>
        <w:t xml:space="preserve"> </w:t>
      </w:r>
      <w:r>
        <w:rPr>
          <w:sz w:val="20"/>
        </w:rPr>
        <w:t>they purchase or sell or otherwise transfer the Company’s securities. As used below, “you” means anyone subject to this Policy.</w:t>
      </w:r>
    </w:p>
    <w:p>
      <w:pPr>
        <w:pStyle w:val="TextBody"/>
        <w:bidi w:val="0"/>
        <w:spacing w:before="239" w:after="120"/>
        <w:ind w:left="20" w:right="103" w:firstLine="720"/>
        <w:jc w:val="left"/>
        <w:rPr>
          <w:sz w:val="20"/>
        </w:rPr>
      </w:pPr>
      <w:r>
        <w:rPr>
          <w:sz w:val="20"/>
        </w:rPr>
        <w:t>Because of the opportunity to profit from</w:t>
      </w:r>
      <w:r>
        <w:rPr>
          <w:spacing w:val="-1"/>
          <w:sz w:val="20"/>
        </w:rPr>
        <w:t xml:space="preserve"> </w:t>
      </w:r>
      <w:r>
        <w:rPr>
          <w:sz w:val="20"/>
        </w:rPr>
        <w:t>information obtained while serving as a director, officer,</w:t>
      </w:r>
      <w:r>
        <w:rPr>
          <w:spacing w:val="-9"/>
          <w:sz w:val="20"/>
        </w:rPr>
        <w:t xml:space="preserve"> </w:t>
      </w:r>
      <w:r>
        <w:rPr>
          <w:sz w:val="20"/>
        </w:rPr>
        <w:t>employee,</w:t>
      </w:r>
      <w:r>
        <w:rPr>
          <w:spacing w:val="-6"/>
          <w:sz w:val="20"/>
        </w:rPr>
        <w:t xml:space="preserve"> </w:t>
      </w:r>
      <w:r>
        <w:rPr>
          <w:sz w:val="20"/>
        </w:rPr>
        <w:t>contractor,</w:t>
      </w:r>
      <w:r>
        <w:rPr>
          <w:spacing w:val="-9"/>
          <w:sz w:val="20"/>
        </w:rPr>
        <w:t xml:space="preserve"> </w:t>
      </w:r>
      <w:r>
        <w:rPr>
          <w:sz w:val="20"/>
        </w:rPr>
        <w:t>consultant</w:t>
      </w:r>
      <w:r>
        <w:rPr>
          <w:spacing w:val="-5"/>
          <w:sz w:val="20"/>
        </w:rPr>
        <w:t xml:space="preserve"> </w:t>
      </w:r>
      <w:r>
        <w:rPr>
          <w:sz w:val="20"/>
        </w:rPr>
        <w:t>or</w:t>
      </w:r>
      <w:r>
        <w:rPr>
          <w:spacing w:val="-10"/>
          <w:sz w:val="20"/>
        </w:rPr>
        <w:t xml:space="preserve"> </w:t>
      </w:r>
      <w:r>
        <w:rPr>
          <w:sz w:val="20"/>
        </w:rPr>
        <w:t>adviser</w:t>
      </w:r>
      <w:r>
        <w:rPr>
          <w:spacing w:val="-5"/>
          <w:sz w:val="20"/>
        </w:rPr>
        <w:t xml:space="preserve"> </w:t>
      </w:r>
      <w:r>
        <w:rPr>
          <w:sz w:val="20"/>
        </w:rPr>
        <w:t>of</w:t>
      </w:r>
      <w:r>
        <w:rPr>
          <w:spacing w:val="-10"/>
          <w:sz w:val="20"/>
        </w:rPr>
        <w:t xml:space="preserve"> </w:t>
      </w:r>
      <w:r>
        <w:rPr>
          <w:sz w:val="20"/>
        </w:rPr>
        <w:t>the</w:t>
      </w:r>
      <w:r>
        <w:rPr>
          <w:spacing w:val="-6"/>
          <w:sz w:val="20"/>
        </w:rPr>
        <w:t xml:space="preserve"> </w:t>
      </w:r>
      <w:r>
        <w:rPr>
          <w:sz w:val="20"/>
        </w:rPr>
        <w:t>Company,</w:t>
      </w:r>
      <w:r>
        <w:rPr>
          <w:spacing w:val="-9"/>
          <w:sz w:val="20"/>
        </w:rPr>
        <w:t xml:space="preserve"> </w:t>
      </w:r>
      <w:r>
        <w:rPr>
          <w:sz w:val="20"/>
        </w:rPr>
        <w:t>this</w:t>
      </w:r>
      <w:r>
        <w:rPr>
          <w:spacing w:val="-6"/>
          <w:sz w:val="20"/>
        </w:rPr>
        <w:t xml:space="preserve"> </w:t>
      </w:r>
      <w:r>
        <w:rPr>
          <w:sz w:val="20"/>
        </w:rPr>
        <w:t>Policy</w:t>
      </w:r>
      <w:r>
        <w:rPr>
          <w:spacing w:val="-11"/>
          <w:sz w:val="20"/>
        </w:rPr>
        <w:t xml:space="preserve"> </w:t>
      </w:r>
      <w:r>
        <w:rPr>
          <w:sz w:val="20"/>
        </w:rPr>
        <w:t>continues</w:t>
      </w:r>
      <w:r>
        <w:rPr>
          <w:spacing w:val="-8"/>
          <w:sz w:val="20"/>
        </w:rPr>
        <w:t xml:space="preserve"> </w:t>
      </w:r>
      <w:r>
        <w:rPr>
          <w:sz w:val="20"/>
        </w:rPr>
        <w:t>to</w:t>
      </w:r>
      <w:r>
        <w:rPr>
          <w:spacing w:val="-11"/>
          <w:sz w:val="20"/>
        </w:rPr>
        <w:t xml:space="preserve"> </w:t>
      </w:r>
      <w:r>
        <w:rPr>
          <w:sz w:val="20"/>
        </w:rPr>
        <w:t>apply</w:t>
      </w:r>
      <w:r>
        <w:rPr>
          <w:spacing w:val="-11"/>
          <w:sz w:val="20"/>
        </w:rPr>
        <w:t xml:space="preserve"> </w:t>
      </w:r>
      <w:r>
        <w:rPr>
          <w:sz w:val="20"/>
        </w:rPr>
        <w:t>to any</w:t>
      </w:r>
      <w:r>
        <w:rPr>
          <w:spacing w:val="-2"/>
          <w:sz w:val="20"/>
        </w:rPr>
        <w:t xml:space="preserve"> </w:t>
      </w:r>
      <w:r>
        <w:rPr>
          <w:sz w:val="20"/>
        </w:rPr>
        <w:t>director, officer, employee, contractor, consultant or adviser of</w:t>
      </w:r>
      <w:r>
        <w:rPr>
          <w:spacing w:val="-1"/>
          <w:sz w:val="20"/>
        </w:rPr>
        <w:t xml:space="preserve"> </w:t>
      </w:r>
      <w:r>
        <w:rPr>
          <w:sz w:val="20"/>
        </w:rPr>
        <w:t>the Company and their related persons described above for a period of six months after the director, officer, employee, contractor, consultant or adviser terminates his or her employment or affiliation with the Company, unless otherwise determined by</w:t>
      </w:r>
      <w:r>
        <w:rPr>
          <w:spacing w:val="-3"/>
          <w:sz w:val="20"/>
        </w:rPr>
        <w:t xml:space="preserve"> </w:t>
      </w:r>
      <w:r>
        <w:rPr>
          <w:sz w:val="20"/>
        </w:rPr>
        <w:t>EWI’s General Counsel. In addition, if such persons are in possession of material non-public information when their employment or affiliation with</w:t>
      </w:r>
      <w:r>
        <w:rPr>
          <w:spacing w:val="-1"/>
          <w:sz w:val="20"/>
        </w:rPr>
        <w:t xml:space="preserve"> </w:t>
      </w:r>
      <w:r>
        <w:rPr>
          <w:sz w:val="20"/>
        </w:rPr>
        <w:t>the Company</w:t>
      </w:r>
      <w:r>
        <w:rPr>
          <w:spacing w:val="-10"/>
          <w:sz w:val="20"/>
        </w:rPr>
        <w:t xml:space="preserve"> </w:t>
      </w:r>
      <w:r>
        <w:rPr>
          <w:sz w:val="20"/>
        </w:rPr>
        <w:t>terminates,</w:t>
      </w:r>
      <w:r>
        <w:rPr>
          <w:spacing w:val="-8"/>
          <w:sz w:val="20"/>
        </w:rPr>
        <w:t xml:space="preserve"> </w:t>
      </w:r>
      <w:r>
        <w:rPr>
          <w:sz w:val="20"/>
        </w:rPr>
        <w:t>they</w:t>
      </w:r>
      <w:r>
        <w:rPr>
          <w:spacing w:val="-10"/>
          <w:sz w:val="20"/>
        </w:rPr>
        <w:t xml:space="preserve"> </w:t>
      </w:r>
      <w:r>
        <w:rPr>
          <w:sz w:val="20"/>
        </w:rPr>
        <w:t>may</w:t>
      </w:r>
      <w:r>
        <w:rPr>
          <w:spacing w:val="-10"/>
          <w:sz w:val="20"/>
        </w:rPr>
        <w:t xml:space="preserve"> </w:t>
      </w:r>
      <w:r>
        <w:rPr>
          <w:sz w:val="20"/>
        </w:rPr>
        <w:t>not</w:t>
      </w:r>
      <w:r>
        <w:rPr>
          <w:spacing w:val="-3"/>
          <w:sz w:val="20"/>
        </w:rPr>
        <w:t xml:space="preserve"> </w:t>
      </w:r>
      <w:r>
        <w:rPr>
          <w:sz w:val="20"/>
        </w:rPr>
        <w:t>purchase</w:t>
      </w:r>
      <w:r>
        <w:rPr>
          <w:spacing w:val="-7"/>
          <w:sz w:val="20"/>
        </w:rPr>
        <w:t xml:space="preserve"> </w:t>
      </w:r>
      <w:r>
        <w:rPr>
          <w:sz w:val="20"/>
        </w:rPr>
        <w:t>or</w:t>
      </w:r>
      <w:r>
        <w:rPr>
          <w:spacing w:val="-9"/>
          <w:sz w:val="20"/>
        </w:rPr>
        <w:t xml:space="preserve"> </w:t>
      </w:r>
      <w:r>
        <w:rPr>
          <w:sz w:val="20"/>
        </w:rPr>
        <w:t>sell</w:t>
      </w:r>
      <w:r>
        <w:rPr>
          <w:spacing w:val="-4"/>
          <w:sz w:val="20"/>
        </w:rPr>
        <w:t xml:space="preserve"> </w:t>
      </w:r>
      <w:r>
        <w:rPr>
          <w:sz w:val="20"/>
        </w:rPr>
        <w:t>or</w:t>
      </w:r>
      <w:r>
        <w:rPr>
          <w:spacing w:val="-12"/>
          <w:sz w:val="20"/>
        </w:rPr>
        <w:t xml:space="preserve"> </w:t>
      </w:r>
      <w:r>
        <w:rPr>
          <w:sz w:val="20"/>
        </w:rPr>
        <w:t>otherwise</w:t>
      </w:r>
      <w:r>
        <w:rPr>
          <w:spacing w:val="-7"/>
          <w:sz w:val="20"/>
        </w:rPr>
        <w:t xml:space="preserve"> </w:t>
      </w:r>
      <w:r>
        <w:rPr>
          <w:sz w:val="20"/>
        </w:rPr>
        <w:t>transfer</w:t>
      </w:r>
      <w:r>
        <w:rPr>
          <w:spacing w:val="-4"/>
          <w:sz w:val="20"/>
        </w:rPr>
        <w:t xml:space="preserve"> </w:t>
      </w:r>
      <w:r>
        <w:rPr>
          <w:sz w:val="20"/>
        </w:rPr>
        <w:t>Company</w:t>
      </w:r>
      <w:r>
        <w:rPr>
          <w:spacing w:val="-8"/>
          <w:sz w:val="20"/>
        </w:rPr>
        <w:t xml:space="preserve"> </w:t>
      </w:r>
      <w:r>
        <w:rPr>
          <w:sz w:val="20"/>
        </w:rPr>
        <w:t>securities</w:t>
      </w:r>
      <w:r>
        <w:rPr>
          <w:spacing w:val="-7"/>
          <w:sz w:val="20"/>
        </w:rPr>
        <w:t xml:space="preserve"> </w:t>
      </w:r>
      <w:r>
        <w:rPr>
          <w:sz w:val="20"/>
        </w:rPr>
        <w:t>prior</w:t>
      </w:r>
      <w:r>
        <w:rPr>
          <w:spacing w:val="-9"/>
          <w:sz w:val="20"/>
        </w:rPr>
        <w:t xml:space="preserve"> </w:t>
      </w:r>
      <w:r>
        <w:rPr>
          <w:sz w:val="20"/>
        </w:rPr>
        <w:t>to the time that such information has become public or is no longer material.</w:t>
      </w:r>
    </w:p>
    <w:p>
      <w:pPr>
        <w:pStyle w:val="TextBody"/>
        <w:bidi w:val="0"/>
        <w:spacing w:before="0" w:after="0"/>
        <w:jc w:val="center"/>
        <w:rPr>
          <w:sz w:val="20"/>
        </w:rPr>
      </w:pPr>
      <w:r>
        <w:rPr>
          <w:sz w:val="20"/>
        </w:rPr>
        <w:t>1</w:t>
      </w:r>
    </w:p>
    <w:p>
      <w:pPr>
        <w:pStyle w:val="HorizontalLine"/>
        <w:pBdr>
          <w:bottom w:val="double" w:sz="2" w:space="0" w:color="808080"/>
        </w:pBdr>
        <w:bidi w:val="0"/>
        <w:ind w:left="22" w:right="103" w:hanging="0"/>
        <w:jc w:val="center"/>
        <w:rPr/>
      </w:pPr>
      <w:r>
        <w:rPr/>
      </w:r>
    </w:p>
    <w:p>
      <w:pPr>
        <w:pStyle w:val="TextBody"/>
        <w:bidi w:val="0"/>
        <w:spacing w:lineRule="auto" w:line="14" w:before="0" w:after="0"/>
        <w:ind w:left="22" w:right="103" w:hanging="0"/>
        <w:jc w:val="left"/>
        <w:rPr/>
      </w:pPr>
      <w:r>
        <w:drawing>
          <wp:anchor behindDoc="0" distT="1690370" distB="0" distL="3252470" distR="0" simplePos="0" locked="0" layoutInCell="1" allowOverlap="1" relativeHeight="3">
            <wp:simplePos x="0" y="0"/>
            <wp:positionH relativeFrom="character">
              <wp:align>left</wp:align>
            </wp:positionH>
            <wp:positionV relativeFrom="line">
              <wp:align>top</wp:align>
            </wp:positionV>
            <wp:extent cx="161925" cy="180975"/>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0"/>
                    <a:stretch>
                      <a:fillRect/>
                    </a:stretch>
                  </pic:blipFill>
                  <pic:spPr bwMode="auto">
                    <a:xfrm>
                      <a:off x="0" y="0"/>
                      <a:ext cx="161925" cy="180975"/>
                    </a:xfrm>
                    <a:prstGeom prst="rect">
                      <a:avLst/>
                    </a:prstGeom>
                  </pic:spPr>
                </pic:pic>
              </a:graphicData>
            </a:graphic>
          </wp:anchor>
        </w:drawing>
      </w:r>
      <w:r>
        <w:rPr/>
        <w:t> </w:t>
      </w:r>
    </w:p>
    <w:p>
      <w:pPr>
        <w:pStyle w:val="TextBody"/>
        <w:bidi w:val="0"/>
        <w:spacing w:before="74" w:after="0"/>
        <w:ind w:left="19" w:right="203" w:firstLine="723"/>
        <w:jc w:val="left"/>
        <w:rPr>
          <w:sz w:val="20"/>
        </w:rPr>
      </w:pPr>
      <w:r>
        <w:rPr>
          <w:sz w:val="20"/>
        </w:rPr>
        <w:t>2.</w:t>
      </w:r>
      <w:r>
        <w:rPr>
          <w:caps w:val="false"/>
          <w:smallCaps w:val="false"/>
          <w:sz w:val="20"/>
        </w:rPr>
        <w:t xml:space="preserve">                    </w:t>
      </w:r>
      <w:r>
        <w:rPr>
          <w:sz w:val="20"/>
          <w:u w:val="single"/>
        </w:rPr>
        <w:t>Prohibition Against Trading on or Disclosing</w:t>
      </w:r>
      <w:r>
        <w:rPr>
          <w:spacing w:val="-1"/>
          <w:sz w:val="20"/>
          <w:u w:val="single"/>
        </w:rPr>
        <w:t xml:space="preserve"> </w:t>
      </w:r>
      <w:r>
        <w:rPr>
          <w:sz w:val="20"/>
          <w:u w:val="single"/>
        </w:rPr>
        <w:t>Material Non-public Information</w:t>
      </w:r>
      <w:r>
        <w:rPr>
          <w:sz w:val="20"/>
        </w:rPr>
        <w:t>.</w:t>
      </w:r>
      <w:r>
        <w:rPr>
          <w:spacing w:val="40"/>
          <w:sz w:val="20"/>
        </w:rPr>
        <w:t xml:space="preserve"> </w:t>
      </w:r>
      <w:r>
        <w:rPr>
          <w:sz w:val="20"/>
        </w:rPr>
        <w:t>If you are aware of material non-public information relating to the Company or you are aware that the Company</w:t>
      </w:r>
      <w:r>
        <w:rPr>
          <w:spacing w:val="-12"/>
          <w:sz w:val="20"/>
        </w:rPr>
        <w:t xml:space="preserve"> </w:t>
      </w:r>
      <w:r>
        <w:rPr>
          <w:sz w:val="20"/>
        </w:rPr>
        <w:t>is</w:t>
      </w:r>
      <w:r>
        <w:rPr>
          <w:spacing w:val="-10"/>
          <w:sz w:val="20"/>
        </w:rPr>
        <w:t xml:space="preserve"> </w:t>
      </w:r>
      <w:r>
        <w:rPr>
          <w:sz w:val="20"/>
        </w:rPr>
        <w:t>in</w:t>
      </w:r>
      <w:r>
        <w:rPr>
          <w:spacing w:val="-11"/>
          <w:sz w:val="20"/>
        </w:rPr>
        <w:t xml:space="preserve"> </w:t>
      </w:r>
      <w:r>
        <w:rPr>
          <w:sz w:val="20"/>
        </w:rPr>
        <w:t>possession</w:t>
      </w:r>
      <w:r>
        <w:rPr>
          <w:spacing w:val="-8"/>
          <w:sz w:val="20"/>
        </w:rPr>
        <w:t xml:space="preserve"> </w:t>
      </w:r>
      <w:r>
        <w:rPr>
          <w:sz w:val="20"/>
        </w:rPr>
        <w:t>of</w:t>
      </w:r>
      <w:r>
        <w:rPr>
          <w:spacing w:val="-10"/>
          <w:sz w:val="20"/>
        </w:rPr>
        <w:t xml:space="preserve"> </w:t>
      </w:r>
      <w:r>
        <w:rPr>
          <w:sz w:val="20"/>
        </w:rPr>
        <w:t>material</w:t>
      </w:r>
      <w:r>
        <w:rPr>
          <w:spacing w:val="-10"/>
          <w:sz w:val="20"/>
        </w:rPr>
        <w:t xml:space="preserve"> </w:t>
      </w:r>
      <w:r>
        <w:rPr>
          <w:sz w:val="20"/>
        </w:rPr>
        <w:t>non-public</w:t>
      </w:r>
      <w:r>
        <w:rPr>
          <w:spacing w:val="-12"/>
          <w:sz w:val="20"/>
        </w:rPr>
        <w:t xml:space="preserve"> </w:t>
      </w:r>
      <w:r>
        <w:rPr>
          <w:sz w:val="20"/>
        </w:rPr>
        <w:t>information</w:t>
      </w:r>
      <w:r>
        <w:rPr>
          <w:spacing w:val="-11"/>
          <w:sz w:val="20"/>
        </w:rPr>
        <w:t xml:space="preserve"> </w:t>
      </w:r>
      <w:r>
        <w:rPr>
          <w:sz w:val="20"/>
        </w:rPr>
        <w:t>(often</w:t>
      </w:r>
      <w:r>
        <w:rPr>
          <w:spacing w:val="-8"/>
          <w:sz w:val="20"/>
        </w:rPr>
        <w:t xml:space="preserve"> </w:t>
      </w:r>
      <w:r>
        <w:rPr>
          <w:sz w:val="20"/>
        </w:rPr>
        <w:t>called</w:t>
      </w:r>
      <w:r>
        <w:rPr>
          <w:spacing w:val="-8"/>
          <w:sz w:val="20"/>
        </w:rPr>
        <w:t xml:space="preserve"> </w:t>
      </w:r>
      <w:r>
        <w:rPr>
          <w:sz w:val="20"/>
        </w:rPr>
        <w:t>“inside</w:t>
      </w:r>
      <w:r>
        <w:rPr>
          <w:spacing w:val="-12"/>
          <w:sz w:val="20"/>
        </w:rPr>
        <w:t xml:space="preserve"> </w:t>
      </w:r>
      <w:r>
        <w:rPr>
          <w:sz w:val="20"/>
        </w:rPr>
        <w:t>information”),</w:t>
      </w:r>
      <w:r>
        <w:rPr>
          <w:spacing w:val="-8"/>
          <w:sz w:val="20"/>
        </w:rPr>
        <w:t xml:space="preserve"> </w:t>
      </w:r>
      <w:r>
        <w:rPr>
          <w:sz w:val="20"/>
        </w:rPr>
        <w:t>you are prohibited from purchasing</w:t>
      </w:r>
      <w:r>
        <w:rPr>
          <w:spacing w:val="-1"/>
          <w:sz w:val="20"/>
        </w:rPr>
        <w:t xml:space="preserve"> </w:t>
      </w:r>
      <w:r>
        <w:rPr>
          <w:sz w:val="20"/>
        </w:rPr>
        <w:t>or selling or otherwise transferring</w:t>
      </w:r>
      <w:r>
        <w:rPr>
          <w:spacing w:val="-1"/>
          <w:sz w:val="20"/>
        </w:rPr>
        <w:t xml:space="preserve"> </w:t>
      </w:r>
      <w:r>
        <w:rPr>
          <w:sz w:val="20"/>
        </w:rPr>
        <w:t>our securities, directly or indirectly, and from disclosing</w:t>
      </w:r>
      <w:r>
        <w:rPr>
          <w:spacing w:val="-1"/>
          <w:sz w:val="20"/>
        </w:rPr>
        <w:t xml:space="preserve"> </w:t>
      </w:r>
      <w:r>
        <w:rPr>
          <w:sz w:val="20"/>
        </w:rPr>
        <w:t>such</w:t>
      </w:r>
      <w:r>
        <w:rPr>
          <w:spacing w:val="-4"/>
          <w:sz w:val="20"/>
        </w:rPr>
        <w:t xml:space="preserve"> </w:t>
      </w:r>
      <w:r>
        <w:rPr>
          <w:sz w:val="20"/>
        </w:rPr>
        <w:t>information to any</w:t>
      </w:r>
      <w:r>
        <w:rPr>
          <w:spacing w:val="-1"/>
          <w:sz w:val="20"/>
        </w:rPr>
        <w:t xml:space="preserve"> </w:t>
      </w:r>
      <w:r>
        <w:rPr>
          <w:sz w:val="20"/>
        </w:rPr>
        <w:t>other persons (including</w:t>
      </w:r>
      <w:r>
        <w:rPr>
          <w:spacing w:val="-1"/>
          <w:sz w:val="20"/>
        </w:rPr>
        <w:t xml:space="preserve"> </w:t>
      </w:r>
      <w:r>
        <w:rPr>
          <w:sz w:val="20"/>
        </w:rPr>
        <w:t>relatives, friends, brokers,</w:t>
      </w:r>
      <w:r>
        <w:rPr>
          <w:spacing w:val="-2"/>
          <w:sz w:val="20"/>
        </w:rPr>
        <w:t xml:space="preserve"> </w:t>
      </w:r>
      <w:r>
        <w:rPr>
          <w:sz w:val="20"/>
        </w:rPr>
        <w:t>investment advisers, etc.). You</w:t>
      </w:r>
      <w:r>
        <w:rPr>
          <w:spacing w:val="-2"/>
          <w:sz w:val="20"/>
        </w:rPr>
        <w:t xml:space="preserve"> </w:t>
      </w:r>
      <w:r>
        <w:rPr>
          <w:sz w:val="20"/>
        </w:rPr>
        <w:t>are subject</w:t>
      </w:r>
      <w:r>
        <w:rPr>
          <w:spacing w:val="-1"/>
          <w:sz w:val="20"/>
        </w:rPr>
        <w:t xml:space="preserve"> </w:t>
      </w:r>
      <w:r>
        <w:rPr>
          <w:sz w:val="20"/>
        </w:rPr>
        <w:t>to liability</w:t>
      </w:r>
      <w:r>
        <w:rPr>
          <w:spacing w:val="-2"/>
          <w:sz w:val="20"/>
        </w:rPr>
        <w:t xml:space="preserve"> </w:t>
      </w:r>
      <w:r>
        <w:rPr>
          <w:sz w:val="20"/>
        </w:rPr>
        <w:t>if you</w:t>
      </w:r>
      <w:r>
        <w:rPr>
          <w:spacing w:val="-2"/>
          <w:sz w:val="20"/>
        </w:rPr>
        <w:t xml:space="preserve"> </w:t>
      </w:r>
      <w:r>
        <w:rPr>
          <w:sz w:val="20"/>
        </w:rPr>
        <w:t>trade at the time you possess material non-public information, without regard to</w:t>
      </w:r>
      <w:r>
        <w:rPr>
          <w:spacing w:val="-1"/>
          <w:sz w:val="20"/>
        </w:rPr>
        <w:t xml:space="preserve"> </w:t>
      </w:r>
      <w:r>
        <w:rPr>
          <w:sz w:val="20"/>
        </w:rPr>
        <w:t>whether your decision</w:t>
      </w:r>
      <w:r>
        <w:rPr>
          <w:spacing w:val="-1"/>
          <w:sz w:val="20"/>
        </w:rPr>
        <w:t xml:space="preserve"> </w:t>
      </w:r>
      <w:r>
        <w:rPr>
          <w:sz w:val="20"/>
        </w:rPr>
        <w:t>to</w:t>
      </w:r>
      <w:r>
        <w:rPr>
          <w:spacing w:val="-1"/>
          <w:sz w:val="20"/>
        </w:rPr>
        <w:t xml:space="preserve"> </w:t>
      </w:r>
      <w:r>
        <w:rPr>
          <w:sz w:val="20"/>
        </w:rPr>
        <w:t>trade was based on that information. As</w:t>
      </w:r>
      <w:r>
        <w:rPr>
          <w:spacing w:val="-1"/>
          <w:sz w:val="20"/>
        </w:rPr>
        <w:t xml:space="preserve"> </w:t>
      </w:r>
      <w:r>
        <w:rPr>
          <w:sz w:val="20"/>
        </w:rPr>
        <w:t>used in</w:t>
      </w:r>
      <w:r>
        <w:rPr>
          <w:spacing w:val="-1"/>
          <w:sz w:val="20"/>
        </w:rPr>
        <w:t xml:space="preserve"> </w:t>
      </w:r>
      <w:r>
        <w:rPr>
          <w:sz w:val="20"/>
        </w:rPr>
        <w:t>this</w:t>
      </w:r>
      <w:r>
        <w:rPr>
          <w:spacing w:val="-1"/>
          <w:sz w:val="20"/>
        </w:rPr>
        <w:t xml:space="preserve"> </w:t>
      </w:r>
      <w:r>
        <w:rPr>
          <w:sz w:val="20"/>
        </w:rPr>
        <w:t>Policy, the term “securities” includes,</w:t>
      </w:r>
      <w:r>
        <w:rPr>
          <w:spacing w:val="-1"/>
          <w:sz w:val="20"/>
        </w:rPr>
        <w:t xml:space="preserve"> </w:t>
      </w:r>
      <w:r>
        <w:rPr>
          <w:sz w:val="20"/>
        </w:rPr>
        <w:t>(i) all securities</w:t>
      </w:r>
      <w:r>
        <w:rPr>
          <w:spacing w:val="-1"/>
          <w:sz w:val="20"/>
        </w:rPr>
        <w:t xml:space="preserve"> </w:t>
      </w:r>
      <w:r>
        <w:rPr>
          <w:sz w:val="20"/>
        </w:rPr>
        <w:t>issued by the Company,</w:t>
      </w:r>
      <w:r>
        <w:rPr>
          <w:spacing w:val="-7"/>
          <w:sz w:val="20"/>
        </w:rPr>
        <w:t xml:space="preserve"> </w:t>
      </w:r>
      <w:r>
        <w:rPr>
          <w:sz w:val="20"/>
        </w:rPr>
        <w:t>including</w:t>
      </w:r>
      <w:r>
        <w:rPr>
          <w:spacing w:val="-9"/>
          <w:sz w:val="20"/>
        </w:rPr>
        <w:t xml:space="preserve"> </w:t>
      </w:r>
      <w:r>
        <w:rPr>
          <w:sz w:val="20"/>
        </w:rPr>
        <w:t>common</w:t>
      </w:r>
      <w:r>
        <w:rPr>
          <w:spacing w:val="-7"/>
          <w:sz w:val="20"/>
        </w:rPr>
        <w:t xml:space="preserve"> </w:t>
      </w:r>
      <w:r>
        <w:rPr>
          <w:sz w:val="20"/>
        </w:rPr>
        <w:t>stock,</w:t>
      </w:r>
      <w:r>
        <w:rPr>
          <w:spacing w:val="-7"/>
          <w:sz w:val="20"/>
        </w:rPr>
        <w:t xml:space="preserve"> </w:t>
      </w:r>
      <w:r>
        <w:rPr>
          <w:sz w:val="20"/>
        </w:rPr>
        <w:t>options,</w:t>
      </w:r>
      <w:r>
        <w:rPr>
          <w:spacing w:val="-7"/>
          <w:sz w:val="20"/>
        </w:rPr>
        <w:t xml:space="preserve"> </w:t>
      </w:r>
      <w:r>
        <w:rPr>
          <w:sz w:val="20"/>
        </w:rPr>
        <w:t>preferred</w:t>
      </w:r>
      <w:r>
        <w:rPr>
          <w:spacing w:val="-9"/>
          <w:sz w:val="20"/>
        </w:rPr>
        <w:t xml:space="preserve"> </w:t>
      </w:r>
      <w:r>
        <w:rPr>
          <w:sz w:val="20"/>
        </w:rPr>
        <w:t>stock,</w:t>
      </w:r>
      <w:r>
        <w:rPr>
          <w:spacing w:val="-7"/>
          <w:sz w:val="20"/>
        </w:rPr>
        <w:t xml:space="preserve"> </w:t>
      </w:r>
      <w:r>
        <w:rPr>
          <w:sz w:val="20"/>
        </w:rPr>
        <w:t>notes,</w:t>
      </w:r>
      <w:r>
        <w:rPr>
          <w:spacing w:val="-9"/>
          <w:sz w:val="20"/>
        </w:rPr>
        <w:t xml:space="preserve"> </w:t>
      </w:r>
      <w:r>
        <w:rPr>
          <w:sz w:val="20"/>
        </w:rPr>
        <w:t>bonds</w:t>
      </w:r>
      <w:r>
        <w:rPr>
          <w:spacing w:val="-6"/>
          <w:sz w:val="20"/>
        </w:rPr>
        <w:t xml:space="preserve"> </w:t>
      </w:r>
      <w:r>
        <w:rPr>
          <w:sz w:val="20"/>
        </w:rPr>
        <w:t>and</w:t>
      </w:r>
      <w:r>
        <w:rPr>
          <w:spacing w:val="-7"/>
          <w:sz w:val="20"/>
        </w:rPr>
        <w:t xml:space="preserve"> </w:t>
      </w:r>
      <w:r>
        <w:rPr>
          <w:sz w:val="20"/>
        </w:rPr>
        <w:t>convertible</w:t>
      </w:r>
      <w:r>
        <w:rPr>
          <w:spacing w:val="-8"/>
          <w:sz w:val="20"/>
        </w:rPr>
        <w:t xml:space="preserve"> </w:t>
      </w:r>
      <w:r>
        <w:rPr>
          <w:sz w:val="20"/>
        </w:rPr>
        <w:t>securities, and (ii) in addition to securities issued by the Company, any put, call, straddle, option, derivative security</w:t>
      </w:r>
      <w:r>
        <w:rPr>
          <w:spacing w:val="-1"/>
          <w:sz w:val="20"/>
        </w:rPr>
        <w:t xml:space="preserve"> </w:t>
      </w:r>
      <w:r>
        <w:rPr>
          <w:sz w:val="20"/>
        </w:rPr>
        <w:t>or group or index of securities issued</w:t>
      </w:r>
      <w:r>
        <w:rPr>
          <w:spacing w:val="-1"/>
          <w:sz w:val="20"/>
        </w:rPr>
        <w:t xml:space="preserve"> </w:t>
      </w:r>
      <w:r>
        <w:rPr>
          <w:sz w:val="20"/>
        </w:rPr>
        <w:t>or created by</w:t>
      </w:r>
      <w:r>
        <w:rPr>
          <w:spacing w:val="-1"/>
          <w:sz w:val="20"/>
        </w:rPr>
        <w:t xml:space="preserve"> </w:t>
      </w:r>
      <w:r>
        <w:rPr>
          <w:sz w:val="20"/>
        </w:rPr>
        <w:t>a third party</w:t>
      </w:r>
      <w:r>
        <w:rPr>
          <w:spacing w:val="-3"/>
          <w:sz w:val="20"/>
        </w:rPr>
        <w:t xml:space="preserve"> </w:t>
      </w:r>
      <w:r>
        <w:rPr>
          <w:sz w:val="20"/>
        </w:rPr>
        <w:t>that relates to or includes Company securities, in each case whether or not publicly traded.</w:t>
      </w:r>
    </w:p>
    <w:p>
      <w:pPr>
        <w:pStyle w:val="TextBody"/>
        <w:bidi w:val="0"/>
        <w:spacing w:before="241" w:after="0"/>
        <w:ind w:left="742" w:right="195" w:firstLine="720"/>
        <w:jc w:val="left"/>
        <w:rPr>
          <w:sz w:val="20"/>
        </w:rPr>
      </w:pPr>
      <w:r>
        <w:rPr>
          <w:sz w:val="20"/>
        </w:rPr>
        <w:t>(a)</w:t>
      </w:r>
      <w:r>
        <w:rPr>
          <w:caps w:val="false"/>
          <w:smallCaps w:val="false"/>
          <w:sz w:val="20"/>
        </w:rPr>
        <w:t xml:space="preserve">                 </w:t>
      </w:r>
      <w:r>
        <w:rPr>
          <w:sz w:val="20"/>
          <w:u w:val="single"/>
        </w:rPr>
        <w:t>Material</w:t>
      </w:r>
      <w:r>
        <w:rPr>
          <w:spacing w:val="-8"/>
          <w:sz w:val="20"/>
          <w:u w:val="single"/>
        </w:rPr>
        <w:t xml:space="preserve"> </w:t>
      </w:r>
      <w:r>
        <w:rPr>
          <w:sz w:val="20"/>
          <w:u w:val="single"/>
        </w:rPr>
        <w:t>Information</w:t>
      </w:r>
      <w:r>
        <w:rPr>
          <w:sz w:val="20"/>
        </w:rPr>
        <w:t>.</w:t>
      </w:r>
      <w:r>
        <w:rPr>
          <w:spacing w:val="40"/>
          <w:sz w:val="20"/>
        </w:rPr>
        <w:t xml:space="preserve"> </w:t>
      </w:r>
      <w:r>
        <w:rPr>
          <w:sz w:val="20"/>
        </w:rPr>
        <w:t>Any</w:t>
      </w:r>
      <w:r>
        <w:rPr>
          <w:spacing w:val="-13"/>
          <w:sz w:val="20"/>
        </w:rPr>
        <w:t xml:space="preserve"> </w:t>
      </w:r>
      <w:r>
        <w:rPr>
          <w:sz w:val="20"/>
        </w:rPr>
        <w:t>information,</w:t>
      </w:r>
      <w:r>
        <w:rPr>
          <w:spacing w:val="-11"/>
          <w:sz w:val="20"/>
        </w:rPr>
        <w:t xml:space="preserve"> </w:t>
      </w:r>
      <w:r>
        <w:rPr>
          <w:sz w:val="20"/>
        </w:rPr>
        <w:t>positive</w:t>
      </w:r>
      <w:r>
        <w:rPr>
          <w:spacing w:val="-7"/>
          <w:sz w:val="20"/>
        </w:rPr>
        <w:t xml:space="preserve"> </w:t>
      </w:r>
      <w:r>
        <w:rPr>
          <w:sz w:val="20"/>
        </w:rPr>
        <w:t>or</w:t>
      </w:r>
      <w:r>
        <w:rPr>
          <w:spacing w:val="-8"/>
          <w:sz w:val="20"/>
        </w:rPr>
        <w:t xml:space="preserve"> </w:t>
      </w:r>
      <w:r>
        <w:rPr>
          <w:sz w:val="20"/>
        </w:rPr>
        <w:t>negative,</w:t>
      </w:r>
      <w:r>
        <w:rPr>
          <w:spacing w:val="-11"/>
          <w:sz w:val="20"/>
        </w:rPr>
        <w:t xml:space="preserve"> </w:t>
      </w:r>
      <w:r>
        <w:rPr>
          <w:sz w:val="20"/>
        </w:rPr>
        <w:t>is</w:t>
      </w:r>
      <w:r>
        <w:rPr>
          <w:spacing w:val="-7"/>
          <w:sz w:val="20"/>
        </w:rPr>
        <w:t xml:space="preserve"> </w:t>
      </w:r>
      <w:r>
        <w:rPr>
          <w:sz w:val="20"/>
        </w:rPr>
        <w:t>“material”</w:t>
      </w:r>
      <w:r>
        <w:rPr>
          <w:spacing w:val="-8"/>
          <w:sz w:val="20"/>
        </w:rPr>
        <w:t xml:space="preserve"> </w:t>
      </w:r>
      <w:r>
        <w:rPr>
          <w:sz w:val="20"/>
        </w:rPr>
        <w:t>if a</w:t>
      </w:r>
      <w:r>
        <w:rPr>
          <w:spacing w:val="-7"/>
          <w:sz w:val="20"/>
        </w:rPr>
        <w:t xml:space="preserve"> </w:t>
      </w:r>
      <w:r>
        <w:rPr>
          <w:sz w:val="20"/>
        </w:rPr>
        <w:t>reasonable</w:t>
      </w:r>
      <w:r>
        <w:rPr>
          <w:spacing w:val="-9"/>
          <w:sz w:val="20"/>
        </w:rPr>
        <w:t xml:space="preserve"> </w:t>
      </w:r>
      <w:r>
        <w:rPr>
          <w:sz w:val="20"/>
        </w:rPr>
        <w:t>investor</w:t>
      </w:r>
      <w:r>
        <w:rPr>
          <w:spacing w:val="-9"/>
          <w:sz w:val="20"/>
        </w:rPr>
        <w:t xml:space="preserve"> </w:t>
      </w:r>
      <w:r>
        <w:rPr>
          <w:sz w:val="20"/>
        </w:rPr>
        <w:t>is</w:t>
      </w:r>
      <w:r>
        <w:rPr>
          <w:spacing w:val="-11"/>
          <w:sz w:val="20"/>
        </w:rPr>
        <w:t xml:space="preserve"> </w:t>
      </w:r>
      <w:r>
        <w:rPr>
          <w:sz w:val="20"/>
        </w:rPr>
        <w:t>substantially</w:t>
      </w:r>
      <w:r>
        <w:rPr>
          <w:spacing w:val="-11"/>
          <w:sz w:val="20"/>
        </w:rPr>
        <w:t xml:space="preserve"> </w:t>
      </w:r>
      <w:r>
        <w:rPr>
          <w:sz w:val="20"/>
        </w:rPr>
        <w:t>likely</w:t>
      </w:r>
      <w:r>
        <w:rPr>
          <w:spacing w:val="-11"/>
          <w:sz w:val="20"/>
        </w:rPr>
        <w:t xml:space="preserve"> </w:t>
      </w:r>
      <w:r>
        <w:rPr>
          <w:sz w:val="20"/>
        </w:rPr>
        <w:t>to</w:t>
      </w:r>
      <w:r>
        <w:rPr>
          <w:spacing w:val="-10"/>
          <w:sz w:val="20"/>
        </w:rPr>
        <w:t xml:space="preserve"> </w:t>
      </w:r>
      <w:r>
        <w:rPr>
          <w:sz w:val="20"/>
        </w:rPr>
        <w:t>consider</w:t>
      </w:r>
      <w:r>
        <w:rPr>
          <w:spacing w:val="-10"/>
          <w:sz w:val="20"/>
        </w:rPr>
        <w:t xml:space="preserve"> </w:t>
      </w:r>
      <w:r>
        <w:rPr>
          <w:sz w:val="20"/>
        </w:rPr>
        <w:t>it</w:t>
      </w:r>
      <w:r>
        <w:rPr>
          <w:spacing w:val="-10"/>
          <w:sz w:val="20"/>
        </w:rPr>
        <w:t xml:space="preserve"> </w:t>
      </w:r>
      <w:r>
        <w:rPr>
          <w:sz w:val="20"/>
        </w:rPr>
        <w:t>important</w:t>
      </w:r>
      <w:r>
        <w:rPr>
          <w:spacing w:val="-6"/>
          <w:sz w:val="20"/>
        </w:rPr>
        <w:t xml:space="preserve"> </w:t>
      </w:r>
      <w:r>
        <w:rPr>
          <w:sz w:val="20"/>
        </w:rPr>
        <w:t>in</w:t>
      </w:r>
      <w:r>
        <w:rPr>
          <w:spacing w:val="-11"/>
          <w:sz w:val="20"/>
        </w:rPr>
        <w:t xml:space="preserve"> </w:t>
      </w:r>
      <w:r>
        <w:rPr>
          <w:sz w:val="20"/>
        </w:rPr>
        <w:t>determining</w:t>
      </w:r>
      <w:r>
        <w:rPr>
          <w:spacing w:val="-13"/>
          <w:sz w:val="20"/>
        </w:rPr>
        <w:t xml:space="preserve"> </w:t>
      </w:r>
      <w:r>
        <w:rPr>
          <w:sz w:val="20"/>
        </w:rPr>
        <w:t>whether</w:t>
      </w:r>
      <w:r>
        <w:rPr>
          <w:spacing w:val="-9"/>
          <w:sz w:val="20"/>
        </w:rPr>
        <w:t xml:space="preserve"> </w:t>
      </w:r>
      <w:r>
        <w:rPr>
          <w:sz w:val="20"/>
        </w:rPr>
        <w:t>to purchase, sell or hold our securities. Information is considered to be material if it would be expected to affect the market price of our securities. Information may be material for this purpose even if it would not alone determine the investor’s decision. Examples include:</w:t>
      </w:r>
    </w:p>
    <w:p>
      <w:pPr>
        <w:pStyle w:val="TextBody"/>
        <w:bidi w:val="0"/>
        <w:spacing w:before="233" w:after="0"/>
        <w:ind w:left="1823" w:right="0" w:hanging="360"/>
        <w:jc w:val="left"/>
        <w:rPr/>
      </w:pPr>
      <w:r>
        <w:rPr/>
        <w:t></w:t>
      </w:r>
      <w:r>
        <w:rPr>
          <w:caps w:val="false"/>
          <w:smallCaps w:val="false"/>
        </w:rPr>
        <w:t xml:space="preserve">         </w:t>
      </w:r>
      <w:r>
        <w:rPr>
          <w:sz w:val="20"/>
        </w:rPr>
        <w:t>a</w:t>
      </w:r>
      <w:r>
        <w:rPr>
          <w:spacing w:val="-10"/>
          <w:sz w:val="20"/>
        </w:rPr>
        <w:t xml:space="preserve"> </w:t>
      </w:r>
      <w:r>
        <w:rPr>
          <w:sz w:val="20"/>
        </w:rPr>
        <w:t>potential</w:t>
      </w:r>
      <w:r>
        <w:rPr>
          <w:spacing w:val="-10"/>
          <w:sz w:val="20"/>
        </w:rPr>
        <w:t xml:space="preserve"> </w:t>
      </w:r>
      <w:r>
        <w:rPr>
          <w:sz w:val="20"/>
        </w:rPr>
        <w:t>business</w:t>
      </w:r>
      <w:r>
        <w:rPr>
          <w:spacing w:val="-9"/>
          <w:sz w:val="20"/>
        </w:rPr>
        <w:t xml:space="preserve"> </w:t>
      </w:r>
      <w:r>
        <w:rPr>
          <w:sz w:val="20"/>
        </w:rPr>
        <w:t>acquisition</w:t>
      </w:r>
      <w:r>
        <w:rPr>
          <w:spacing w:val="-14"/>
          <w:sz w:val="20"/>
        </w:rPr>
        <w:t xml:space="preserve"> </w:t>
      </w:r>
      <w:r>
        <w:rPr>
          <w:sz w:val="20"/>
        </w:rPr>
        <w:t>or</w:t>
      </w:r>
      <w:r>
        <w:rPr>
          <w:spacing w:val="-10"/>
          <w:sz w:val="20"/>
        </w:rPr>
        <w:t xml:space="preserve"> </w:t>
      </w:r>
      <w:r>
        <w:rPr>
          <w:spacing w:val="-2"/>
          <w:sz w:val="20"/>
        </w:rPr>
        <w:t>disposition,</w:t>
      </w:r>
    </w:p>
    <w:p>
      <w:pPr>
        <w:pStyle w:val="TextBody"/>
        <w:bidi w:val="0"/>
        <w:spacing w:before="0" w:after="0"/>
        <w:ind w:left="1823" w:right="0" w:hanging="361"/>
        <w:jc w:val="left"/>
        <w:rPr/>
      </w:pPr>
      <w:r>
        <w:rPr/>
        <w:t></w:t>
      </w:r>
      <w:r>
        <w:rPr>
          <w:caps w:val="false"/>
          <w:smallCaps w:val="false"/>
        </w:rPr>
        <w:t xml:space="preserve">         </w:t>
      </w:r>
      <w:r>
        <w:rPr>
          <w:spacing w:val="-2"/>
          <w:sz w:val="20"/>
        </w:rPr>
        <w:t>financial</w:t>
      </w:r>
      <w:r>
        <w:rPr>
          <w:spacing w:val="1"/>
          <w:sz w:val="20"/>
        </w:rPr>
        <w:t xml:space="preserve"> </w:t>
      </w:r>
      <w:r>
        <w:rPr>
          <w:spacing w:val="-2"/>
          <w:sz w:val="20"/>
        </w:rPr>
        <w:t>projections,</w:t>
      </w:r>
      <w:r>
        <w:rPr>
          <w:spacing w:val="1"/>
          <w:sz w:val="20"/>
        </w:rPr>
        <w:t xml:space="preserve"> </w:t>
      </w:r>
      <w:r>
        <w:rPr>
          <w:spacing w:val="-2"/>
          <w:sz w:val="20"/>
        </w:rPr>
        <w:t>forecasts</w:t>
      </w:r>
      <w:r>
        <w:rPr>
          <w:spacing w:val="1"/>
          <w:sz w:val="20"/>
        </w:rPr>
        <w:t xml:space="preserve"> </w:t>
      </w:r>
      <w:r>
        <w:rPr>
          <w:spacing w:val="-2"/>
          <w:sz w:val="20"/>
        </w:rPr>
        <w:t>or</w:t>
      </w:r>
      <w:r>
        <w:rPr>
          <w:spacing w:val="4"/>
          <w:sz w:val="20"/>
        </w:rPr>
        <w:t xml:space="preserve"> </w:t>
      </w:r>
      <w:r>
        <w:rPr>
          <w:spacing w:val="-2"/>
          <w:sz w:val="20"/>
        </w:rPr>
        <w:t>budgets,</w:t>
      </w:r>
    </w:p>
    <w:p>
      <w:pPr>
        <w:pStyle w:val="TextBody"/>
        <w:bidi w:val="0"/>
        <w:spacing w:before="4" w:after="0"/>
        <w:ind w:left="1823" w:right="157" w:hanging="361"/>
        <w:jc w:val="left"/>
        <w:rPr/>
      </w:pPr>
      <w:r>
        <w:rPr/>
        <w:t></w:t>
      </w:r>
      <w:r>
        <w:rPr>
          <w:caps w:val="false"/>
          <w:smallCaps w:val="false"/>
        </w:rPr>
        <w:t xml:space="preserve">         </w:t>
      </w:r>
      <w:r>
        <w:rPr>
          <w:sz w:val="20"/>
        </w:rPr>
        <w:t>internal information about revenues, earnings or other aspects of financial performance</w:t>
      </w:r>
      <w:r>
        <w:rPr>
          <w:spacing w:val="-9"/>
          <w:sz w:val="20"/>
        </w:rPr>
        <w:t xml:space="preserve"> </w:t>
      </w:r>
      <w:r>
        <w:rPr>
          <w:sz w:val="20"/>
        </w:rPr>
        <w:t>which</w:t>
      </w:r>
      <w:r>
        <w:rPr>
          <w:spacing w:val="-7"/>
          <w:sz w:val="20"/>
        </w:rPr>
        <w:t xml:space="preserve"> </w:t>
      </w:r>
      <w:r>
        <w:rPr>
          <w:sz w:val="20"/>
        </w:rPr>
        <w:t>departs</w:t>
      </w:r>
      <w:r>
        <w:rPr>
          <w:spacing w:val="-11"/>
          <w:sz w:val="20"/>
        </w:rPr>
        <w:t xml:space="preserve"> </w:t>
      </w:r>
      <w:r>
        <w:rPr>
          <w:sz w:val="20"/>
        </w:rPr>
        <w:t>in</w:t>
      </w:r>
      <w:r>
        <w:rPr>
          <w:spacing w:val="-7"/>
          <w:sz w:val="20"/>
        </w:rPr>
        <w:t xml:space="preserve"> </w:t>
      </w:r>
      <w:r>
        <w:rPr>
          <w:sz w:val="20"/>
        </w:rPr>
        <w:t>any</w:t>
      </w:r>
      <w:r>
        <w:rPr>
          <w:spacing w:val="-11"/>
          <w:sz w:val="20"/>
        </w:rPr>
        <w:t xml:space="preserve"> </w:t>
      </w:r>
      <w:r>
        <w:rPr>
          <w:sz w:val="20"/>
        </w:rPr>
        <w:t>way</w:t>
      </w:r>
      <w:r>
        <w:rPr>
          <w:spacing w:val="-9"/>
          <w:sz w:val="20"/>
        </w:rPr>
        <w:t xml:space="preserve"> </w:t>
      </w:r>
      <w:r>
        <w:rPr>
          <w:sz w:val="20"/>
        </w:rPr>
        <w:t>from</w:t>
      </w:r>
      <w:r>
        <w:rPr>
          <w:spacing w:val="-10"/>
          <w:sz w:val="20"/>
        </w:rPr>
        <w:t xml:space="preserve"> </w:t>
      </w:r>
      <w:r>
        <w:rPr>
          <w:sz w:val="20"/>
        </w:rPr>
        <w:t>what</w:t>
      </w:r>
      <w:r>
        <w:rPr>
          <w:spacing w:val="-6"/>
          <w:sz w:val="20"/>
        </w:rPr>
        <w:t xml:space="preserve"> </w:t>
      </w:r>
      <w:r>
        <w:rPr>
          <w:sz w:val="20"/>
        </w:rPr>
        <w:t>the</w:t>
      </w:r>
      <w:r>
        <w:rPr>
          <w:spacing w:val="-11"/>
          <w:sz w:val="20"/>
        </w:rPr>
        <w:t xml:space="preserve"> </w:t>
      </w:r>
      <w:r>
        <w:rPr>
          <w:sz w:val="20"/>
        </w:rPr>
        <w:t>market</w:t>
      </w:r>
      <w:r>
        <w:rPr>
          <w:spacing w:val="-6"/>
          <w:sz w:val="20"/>
        </w:rPr>
        <w:t xml:space="preserve"> </w:t>
      </w:r>
      <w:r>
        <w:rPr>
          <w:sz w:val="20"/>
        </w:rPr>
        <w:t>would</w:t>
      </w:r>
      <w:r>
        <w:rPr>
          <w:spacing w:val="-7"/>
          <w:sz w:val="20"/>
        </w:rPr>
        <w:t xml:space="preserve"> </w:t>
      </w:r>
      <w:r>
        <w:rPr>
          <w:sz w:val="20"/>
        </w:rPr>
        <w:t>expect</w:t>
      </w:r>
      <w:r>
        <w:rPr>
          <w:spacing w:val="-6"/>
          <w:sz w:val="20"/>
        </w:rPr>
        <w:t xml:space="preserve"> </w:t>
      </w:r>
      <w:r>
        <w:rPr>
          <w:sz w:val="20"/>
        </w:rPr>
        <w:t>based upon prior disclosures,</w:t>
      </w:r>
    </w:p>
    <w:p>
      <w:pPr>
        <w:pStyle w:val="TextBody"/>
        <w:bidi w:val="0"/>
        <w:spacing w:before="0" w:after="0"/>
        <w:ind w:left="1823" w:right="0" w:hanging="360"/>
        <w:jc w:val="left"/>
        <w:rPr/>
      </w:pPr>
      <w:r>
        <w:rPr/>
        <w:t></w:t>
      </w:r>
      <w:r>
        <w:rPr>
          <w:caps w:val="false"/>
          <w:smallCaps w:val="false"/>
        </w:rPr>
        <w:t xml:space="preserve">         </w:t>
      </w:r>
      <w:r>
        <w:rPr>
          <w:sz w:val="20"/>
        </w:rPr>
        <w:t>important</w:t>
      </w:r>
      <w:r>
        <w:rPr>
          <w:spacing w:val="-14"/>
          <w:sz w:val="20"/>
        </w:rPr>
        <w:t xml:space="preserve"> </w:t>
      </w:r>
      <w:r>
        <w:rPr>
          <w:sz w:val="20"/>
        </w:rPr>
        <w:t>business</w:t>
      </w:r>
      <w:r>
        <w:rPr>
          <w:spacing w:val="-13"/>
          <w:sz w:val="20"/>
        </w:rPr>
        <w:t xml:space="preserve"> </w:t>
      </w:r>
      <w:r>
        <w:rPr>
          <w:spacing w:val="-2"/>
          <w:sz w:val="20"/>
        </w:rPr>
        <w:t>developments,</w:t>
      </w:r>
    </w:p>
    <w:p>
      <w:pPr>
        <w:pStyle w:val="TextBody"/>
        <w:bidi w:val="0"/>
        <w:spacing w:before="4" w:after="0"/>
        <w:ind w:left="1823" w:right="489" w:hanging="360"/>
        <w:jc w:val="left"/>
        <w:rPr/>
      </w:pPr>
      <w:r>
        <w:rPr/>
        <w:t></w:t>
      </w:r>
      <w:r>
        <w:rPr>
          <w:caps w:val="false"/>
          <w:smallCaps w:val="false"/>
        </w:rPr>
        <w:t xml:space="preserve">         </w:t>
      </w:r>
      <w:r>
        <w:rPr>
          <w:sz w:val="20"/>
        </w:rPr>
        <w:t>the</w:t>
      </w:r>
      <w:r>
        <w:rPr>
          <w:spacing w:val="-7"/>
          <w:sz w:val="20"/>
        </w:rPr>
        <w:t xml:space="preserve"> </w:t>
      </w:r>
      <w:r>
        <w:rPr>
          <w:sz w:val="20"/>
        </w:rPr>
        <w:t>acquisition</w:t>
      </w:r>
      <w:r>
        <w:rPr>
          <w:spacing w:val="-5"/>
          <w:sz w:val="20"/>
        </w:rPr>
        <w:t xml:space="preserve"> </w:t>
      </w:r>
      <w:r>
        <w:rPr>
          <w:sz w:val="20"/>
        </w:rPr>
        <w:t>or</w:t>
      </w:r>
      <w:r>
        <w:rPr>
          <w:spacing w:val="-8"/>
          <w:sz w:val="20"/>
        </w:rPr>
        <w:t xml:space="preserve"> </w:t>
      </w:r>
      <w:r>
        <w:rPr>
          <w:sz w:val="20"/>
        </w:rPr>
        <w:t>loss</w:t>
      </w:r>
      <w:r>
        <w:rPr>
          <w:spacing w:val="-5"/>
          <w:sz w:val="20"/>
        </w:rPr>
        <w:t xml:space="preserve"> </w:t>
      </w:r>
      <w:r>
        <w:rPr>
          <w:sz w:val="20"/>
        </w:rPr>
        <w:t>of,</w:t>
      </w:r>
      <w:r>
        <w:rPr>
          <w:spacing w:val="-5"/>
          <w:sz w:val="20"/>
        </w:rPr>
        <w:t xml:space="preserve"> </w:t>
      </w:r>
      <w:r>
        <w:rPr>
          <w:sz w:val="20"/>
        </w:rPr>
        <w:t>or</w:t>
      </w:r>
      <w:r>
        <w:rPr>
          <w:spacing w:val="-8"/>
          <w:sz w:val="20"/>
        </w:rPr>
        <w:t xml:space="preserve"> </w:t>
      </w:r>
      <w:r>
        <w:rPr>
          <w:sz w:val="20"/>
        </w:rPr>
        <w:t>change</w:t>
      </w:r>
      <w:r>
        <w:rPr>
          <w:spacing w:val="-7"/>
          <w:sz w:val="20"/>
        </w:rPr>
        <w:t xml:space="preserve"> </w:t>
      </w:r>
      <w:r>
        <w:rPr>
          <w:sz w:val="20"/>
        </w:rPr>
        <w:t>in</w:t>
      </w:r>
      <w:r>
        <w:rPr>
          <w:spacing w:val="-8"/>
          <w:sz w:val="20"/>
        </w:rPr>
        <w:t xml:space="preserve"> </w:t>
      </w:r>
      <w:r>
        <w:rPr>
          <w:sz w:val="20"/>
        </w:rPr>
        <w:t>the</w:t>
      </w:r>
      <w:r>
        <w:rPr>
          <w:spacing w:val="-7"/>
          <w:sz w:val="20"/>
        </w:rPr>
        <w:t xml:space="preserve"> </w:t>
      </w:r>
      <w:r>
        <w:rPr>
          <w:sz w:val="20"/>
        </w:rPr>
        <w:t>terms</w:t>
      </w:r>
      <w:r>
        <w:rPr>
          <w:spacing w:val="-5"/>
          <w:sz w:val="20"/>
        </w:rPr>
        <w:t xml:space="preserve"> </w:t>
      </w:r>
      <w:r>
        <w:rPr>
          <w:sz w:val="20"/>
        </w:rPr>
        <w:t>of</w:t>
      </w:r>
      <w:r>
        <w:rPr>
          <w:spacing w:val="-7"/>
          <w:sz w:val="20"/>
        </w:rPr>
        <w:t xml:space="preserve"> </w:t>
      </w:r>
      <w:r>
        <w:rPr>
          <w:sz w:val="20"/>
        </w:rPr>
        <w:t>any</w:t>
      </w:r>
      <w:r>
        <w:rPr>
          <w:spacing w:val="-9"/>
          <w:sz w:val="20"/>
        </w:rPr>
        <w:t xml:space="preserve"> </w:t>
      </w:r>
      <w:r>
        <w:rPr>
          <w:sz w:val="20"/>
        </w:rPr>
        <w:t>contract</w:t>
      </w:r>
      <w:r>
        <w:rPr>
          <w:spacing w:val="-4"/>
          <w:sz w:val="20"/>
        </w:rPr>
        <w:t xml:space="preserve"> </w:t>
      </w:r>
      <w:r>
        <w:rPr>
          <w:sz w:val="20"/>
        </w:rPr>
        <w:t>with,</w:t>
      </w:r>
      <w:r>
        <w:rPr>
          <w:spacing w:val="-5"/>
          <w:sz w:val="20"/>
        </w:rPr>
        <w:t xml:space="preserve"> </w:t>
      </w:r>
      <w:r>
        <w:rPr>
          <w:sz w:val="20"/>
        </w:rPr>
        <w:t>a</w:t>
      </w:r>
      <w:r>
        <w:rPr>
          <w:spacing w:val="-9"/>
          <w:sz w:val="20"/>
        </w:rPr>
        <w:t xml:space="preserve"> </w:t>
      </w:r>
      <w:r>
        <w:rPr>
          <w:sz w:val="20"/>
        </w:rPr>
        <w:t xml:space="preserve">major </w:t>
      </w:r>
      <w:r>
        <w:rPr>
          <w:spacing w:val="-2"/>
          <w:sz w:val="20"/>
        </w:rPr>
        <w:t>customer,</w:t>
      </w:r>
    </w:p>
    <w:p>
      <w:pPr>
        <w:pStyle w:val="TextBody"/>
        <w:bidi w:val="0"/>
        <w:spacing w:before="0" w:after="0"/>
        <w:ind w:left="1823" w:right="0" w:hanging="360"/>
        <w:jc w:val="left"/>
        <w:rPr/>
      </w:pPr>
      <w:r>
        <w:rPr/>
        <w:t></w:t>
      </w:r>
      <w:r>
        <w:rPr>
          <w:caps w:val="false"/>
          <w:smallCaps w:val="false"/>
        </w:rPr>
        <w:t xml:space="preserve">         </w:t>
      </w:r>
      <w:r>
        <w:rPr>
          <w:sz w:val="20"/>
        </w:rPr>
        <w:t>changes</w:t>
      </w:r>
      <w:r>
        <w:rPr>
          <w:spacing w:val="-8"/>
          <w:sz w:val="20"/>
        </w:rPr>
        <w:t xml:space="preserve"> </w:t>
      </w:r>
      <w:r>
        <w:rPr>
          <w:sz w:val="20"/>
        </w:rPr>
        <w:t>in</w:t>
      </w:r>
      <w:r>
        <w:rPr>
          <w:spacing w:val="-10"/>
          <w:sz w:val="20"/>
        </w:rPr>
        <w:t xml:space="preserve"> </w:t>
      </w:r>
      <w:r>
        <w:rPr>
          <w:sz w:val="20"/>
        </w:rPr>
        <w:t>senior</w:t>
      </w:r>
      <w:r>
        <w:rPr>
          <w:spacing w:val="-8"/>
          <w:sz w:val="20"/>
        </w:rPr>
        <w:t xml:space="preserve"> </w:t>
      </w:r>
      <w:r>
        <w:rPr>
          <w:spacing w:val="-2"/>
          <w:sz w:val="20"/>
        </w:rPr>
        <w:t>management,</w:t>
      </w:r>
    </w:p>
    <w:p>
      <w:pPr>
        <w:pStyle w:val="TextBody"/>
        <w:bidi w:val="0"/>
        <w:spacing w:before="4" w:after="0"/>
        <w:ind w:left="1823" w:right="526" w:hanging="360"/>
        <w:jc w:val="left"/>
        <w:rPr/>
      </w:pPr>
      <w:r>
        <w:rPr/>
        <w:t></w:t>
      </w:r>
      <w:r>
        <w:rPr>
          <w:caps w:val="false"/>
          <w:smallCaps w:val="false"/>
        </w:rPr>
        <w:t xml:space="preserve">         </w:t>
      </w:r>
      <w:r>
        <w:rPr>
          <w:sz w:val="20"/>
        </w:rPr>
        <w:t>major</w:t>
      </w:r>
      <w:r>
        <w:rPr>
          <w:spacing w:val="-10"/>
          <w:sz w:val="20"/>
        </w:rPr>
        <w:t xml:space="preserve"> </w:t>
      </w:r>
      <w:r>
        <w:rPr>
          <w:sz w:val="20"/>
        </w:rPr>
        <w:t>events</w:t>
      </w:r>
      <w:r>
        <w:rPr>
          <w:spacing w:val="-10"/>
          <w:sz w:val="20"/>
        </w:rPr>
        <w:t xml:space="preserve"> </w:t>
      </w:r>
      <w:r>
        <w:rPr>
          <w:sz w:val="20"/>
        </w:rPr>
        <w:t>regarding</w:t>
      </w:r>
      <w:r>
        <w:rPr>
          <w:spacing w:val="-11"/>
          <w:sz w:val="20"/>
        </w:rPr>
        <w:t xml:space="preserve"> </w:t>
      </w:r>
      <w:r>
        <w:rPr>
          <w:sz w:val="20"/>
        </w:rPr>
        <w:t>the</w:t>
      </w:r>
      <w:r>
        <w:rPr>
          <w:spacing w:val="-11"/>
          <w:sz w:val="20"/>
        </w:rPr>
        <w:t xml:space="preserve"> </w:t>
      </w:r>
      <w:r>
        <w:rPr>
          <w:sz w:val="20"/>
        </w:rPr>
        <w:t>Company’s</w:t>
      </w:r>
      <w:r>
        <w:rPr>
          <w:spacing w:val="-8"/>
          <w:sz w:val="20"/>
        </w:rPr>
        <w:t xml:space="preserve"> </w:t>
      </w:r>
      <w:r>
        <w:rPr>
          <w:sz w:val="20"/>
        </w:rPr>
        <w:t>securities,</w:t>
      </w:r>
      <w:r>
        <w:rPr>
          <w:spacing w:val="-9"/>
          <w:sz w:val="20"/>
        </w:rPr>
        <w:t xml:space="preserve"> </w:t>
      </w:r>
      <w:r>
        <w:rPr>
          <w:sz w:val="20"/>
        </w:rPr>
        <w:t>such</w:t>
      </w:r>
      <w:r>
        <w:rPr>
          <w:spacing w:val="-11"/>
          <w:sz w:val="20"/>
        </w:rPr>
        <w:t xml:space="preserve"> </w:t>
      </w:r>
      <w:r>
        <w:rPr>
          <w:sz w:val="20"/>
        </w:rPr>
        <w:t>as</w:t>
      </w:r>
      <w:r>
        <w:rPr>
          <w:spacing w:val="-7"/>
          <w:sz w:val="20"/>
        </w:rPr>
        <w:t xml:space="preserve"> </w:t>
      </w:r>
      <w:r>
        <w:rPr>
          <w:sz w:val="20"/>
        </w:rPr>
        <w:t>a</w:t>
      </w:r>
      <w:r>
        <w:rPr>
          <w:spacing w:val="-8"/>
          <w:sz w:val="20"/>
        </w:rPr>
        <w:t xml:space="preserve"> </w:t>
      </w:r>
      <w:r>
        <w:rPr>
          <w:sz w:val="20"/>
        </w:rPr>
        <w:t>dividend</w:t>
      </w:r>
      <w:r>
        <w:rPr>
          <w:spacing w:val="-8"/>
          <w:sz w:val="20"/>
        </w:rPr>
        <w:t xml:space="preserve"> </w:t>
      </w:r>
      <w:r>
        <w:rPr>
          <w:sz w:val="20"/>
        </w:rPr>
        <w:t>or</w:t>
      </w:r>
      <w:r>
        <w:rPr>
          <w:spacing w:val="-8"/>
          <w:sz w:val="20"/>
        </w:rPr>
        <w:t xml:space="preserve"> </w:t>
      </w:r>
      <w:r>
        <w:rPr>
          <w:sz w:val="20"/>
        </w:rPr>
        <w:t xml:space="preserve">stock </w:t>
      </w:r>
      <w:r>
        <w:rPr>
          <w:spacing w:val="-2"/>
          <w:sz w:val="20"/>
        </w:rPr>
        <w:t>split,</w:t>
      </w:r>
    </w:p>
    <w:p>
      <w:pPr>
        <w:pStyle w:val="TextBody"/>
        <w:bidi w:val="0"/>
        <w:spacing w:before="0" w:after="0"/>
        <w:ind w:left="1823" w:right="0" w:hanging="360"/>
        <w:jc w:val="left"/>
        <w:rPr/>
      </w:pPr>
      <w:r>
        <w:rPr/>
        <w:t></w:t>
      </w:r>
      <w:r>
        <w:rPr>
          <w:caps w:val="false"/>
          <w:smallCaps w:val="false"/>
        </w:rPr>
        <w:t xml:space="preserve">         </w:t>
      </w:r>
      <w:r>
        <w:rPr>
          <w:sz w:val="20"/>
        </w:rPr>
        <w:t>actual</w:t>
      </w:r>
      <w:r>
        <w:rPr>
          <w:spacing w:val="-8"/>
          <w:sz w:val="20"/>
        </w:rPr>
        <w:t xml:space="preserve"> </w:t>
      </w:r>
      <w:r>
        <w:rPr>
          <w:sz w:val="20"/>
        </w:rPr>
        <w:t>or</w:t>
      </w:r>
      <w:r>
        <w:rPr>
          <w:spacing w:val="-12"/>
          <w:sz w:val="20"/>
        </w:rPr>
        <w:t xml:space="preserve"> </w:t>
      </w:r>
      <w:r>
        <w:rPr>
          <w:sz w:val="20"/>
        </w:rPr>
        <w:t>threatened</w:t>
      </w:r>
      <w:r>
        <w:rPr>
          <w:spacing w:val="-11"/>
          <w:sz w:val="20"/>
        </w:rPr>
        <w:t xml:space="preserve"> </w:t>
      </w:r>
      <w:r>
        <w:rPr>
          <w:sz w:val="20"/>
        </w:rPr>
        <w:t>major</w:t>
      </w:r>
      <w:r>
        <w:rPr>
          <w:spacing w:val="-12"/>
          <w:sz w:val="20"/>
        </w:rPr>
        <w:t xml:space="preserve"> </w:t>
      </w:r>
      <w:r>
        <w:rPr>
          <w:sz w:val="20"/>
        </w:rPr>
        <w:t>litigation,</w:t>
      </w:r>
      <w:r>
        <w:rPr>
          <w:spacing w:val="-8"/>
          <w:sz w:val="20"/>
        </w:rPr>
        <w:t xml:space="preserve"> </w:t>
      </w:r>
      <w:r>
        <w:rPr>
          <w:sz w:val="20"/>
        </w:rPr>
        <w:t>or</w:t>
      </w:r>
      <w:r>
        <w:rPr>
          <w:spacing w:val="-12"/>
          <w:sz w:val="20"/>
        </w:rPr>
        <w:t xml:space="preserve"> </w:t>
      </w:r>
      <w:r>
        <w:rPr>
          <w:sz w:val="20"/>
        </w:rPr>
        <w:t>the</w:t>
      </w:r>
      <w:r>
        <w:rPr>
          <w:spacing w:val="-13"/>
          <w:sz w:val="20"/>
        </w:rPr>
        <w:t xml:space="preserve"> </w:t>
      </w:r>
      <w:r>
        <w:rPr>
          <w:sz w:val="20"/>
        </w:rPr>
        <w:t>resolution</w:t>
      </w:r>
      <w:r>
        <w:rPr>
          <w:spacing w:val="-9"/>
          <w:sz w:val="20"/>
        </w:rPr>
        <w:t xml:space="preserve"> </w:t>
      </w:r>
      <w:r>
        <w:rPr>
          <w:sz w:val="20"/>
        </w:rPr>
        <w:t>of</w:t>
      </w:r>
      <w:r>
        <w:rPr>
          <w:spacing w:val="-11"/>
          <w:sz w:val="20"/>
        </w:rPr>
        <w:t xml:space="preserve"> </w:t>
      </w:r>
      <w:r>
        <w:rPr>
          <w:sz w:val="20"/>
        </w:rPr>
        <w:t>such</w:t>
      </w:r>
      <w:r>
        <w:rPr>
          <w:spacing w:val="-11"/>
          <w:sz w:val="20"/>
        </w:rPr>
        <w:t xml:space="preserve"> </w:t>
      </w:r>
      <w:r>
        <w:rPr>
          <w:sz w:val="20"/>
        </w:rPr>
        <w:t>litigation,</w:t>
      </w:r>
      <w:r>
        <w:rPr>
          <w:spacing w:val="-11"/>
          <w:sz w:val="20"/>
        </w:rPr>
        <w:t xml:space="preserve"> </w:t>
      </w:r>
      <w:r>
        <w:rPr>
          <w:spacing w:val="-5"/>
          <w:sz w:val="20"/>
        </w:rPr>
        <w:t>or</w:t>
      </w:r>
    </w:p>
    <w:p>
      <w:pPr>
        <w:pStyle w:val="TextBody"/>
        <w:bidi w:val="0"/>
        <w:spacing w:before="2" w:after="0"/>
        <w:ind w:left="1823" w:right="0" w:hanging="360"/>
        <w:jc w:val="left"/>
        <w:rPr/>
      </w:pPr>
      <w:r>
        <w:rPr/>
        <w:t></w:t>
      </w:r>
      <w:r>
        <w:rPr>
          <w:caps w:val="false"/>
          <w:smallCaps w:val="false"/>
        </w:rPr>
        <w:t xml:space="preserve">         </w:t>
      </w:r>
      <w:r>
        <w:rPr>
          <w:sz w:val="20"/>
        </w:rPr>
        <w:t>an</w:t>
      </w:r>
      <w:r>
        <w:rPr>
          <w:spacing w:val="-11"/>
          <w:sz w:val="20"/>
        </w:rPr>
        <w:t xml:space="preserve"> </w:t>
      </w:r>
      <w:r>
        <w:rPr>
          <w:sz w:val="20"/>
        </w:rPr>
        <w:t>important</w:t>
      </w:r>
      <w:r>
        <w:rPr>
          <w:spacing w:val="-10"/>
          <w:sz w:val="20"/>
        </w:rPr>
        <w:t xml:space="preserve"> </w:t>
      </w:r>
      <w:r>
        <w:rPr>
          <w:spacing w:val="-2"/>
          <w:sz w:val="20"/>
        </w:rPr>
        <w:t>transaction.</w:t>
      </w:r>
    </w:p>
    <w:p>
      <w:pPr>
        <w:pStyle w:val="TextBody"/>
        <w:bidi w:val="0"/>
        <w:spacing w:before="243" w:after="0"/>
        <w:ind w:left="742" w:right="97" w:hanging="0"/>
        <w:jc w:val="left"/>
        <w:rPr>
          <w:sz w:val="20"/>
        </w:rPr>
      </w:pPr>
      <w:r>
        <w:rPr>
          <w:sz w:val="20"/>
        </w:rPr>
        <w:t>We emphasize that this list is merely illustrative. In addition to historical information, information which is forward-looking or contingent may be material. If you are unsure whether information is material, you should</w:t>
      </w:r>
      <w:r>
        <w:rPr>
          <w:spacing w:val="-1"/>
          <w:sz w:val="20"/>
        </w:rPr>
        <w:t xml:space="preserve"> </w:t>
      </w:r>
      <w:r>
        <w:rPr>
          <w:sz w:val="20"/>
        </w:rPr>
        <w:t>consult with the Company's General Counsel before</w:t>
      </w:r>
      <w:r>
        <w:rPr>
          <w:spacing w:val="-11"/>
          <w:sz w:val="20"/>
        </w:rPr>
        <w:t xml:space="preserve"> </w:t>
      </w:r>
      <w:r>
        <w:rPr>
          <w:sz w:val="20"/>
        </w:rPr>
        <w:t>taking</w:t>
      </w:r>
      <w:r>
        <w:rPr>
          <w:spacing w:val="-9"/>
          <w:sz w:val="20"/>
        </w:rPr>
        <w:t xml:space="preserve"> </w:t>
      </w:r>
      <w:r>
        <w:rPr>
          <w:sz w:val="20"/>
        </w:rPr>
        <w:t>any</w:t>
      </w:r>
      <w:r>
        <w:rPr>
          <w:spacing w:val="-9"/>
          <w:sz w:val="20"/>
        </w:rPr>
        <w:t xml:space="preserve"> </w:t>
      </w:r>
      <w:r>
        <w:rPr>
          <w:sz w:val="20"/>
        </w:rPr>
        <w:t>action.</w:t>
      </w:r>
      <w:r>
        <w:rPr>
          <w:spacing w:val="-7"/>
          <w:sz w:val="20"/>
        </w:rPr>
        <w:t xml:space="preserve"> </w:t>
      </w:r>
      <w:r>
        <w:rPr>
          <w:sz w:val="20"/>
        </w:rPr>
        <w:t>When</w:t>
      </w:r>
      <w:r>
        <w:rPr>
          <w:spacing w:val="-7"/>
          <w:sz w:val="20"/>
        </w:rPr>
        <w:t xml:space="preserve"> </w:t>
      </w:r>
      <w:r>
        <w:rPr>
          <w:sz w:val="20"/>
        </w:rPr>
        <w:t>in</w:t>
      </w:r>
      <w:r>
        <w:rPr>
          <w:spacing w:val="-11"/>
          <w:sz w:val="20"/>
        </w:rPr>
        <w:t xml:space="preserve"> </w:t>
      </w:r>
      <w:r>
        <w:rPr>
          <w:sz w:val="20"/>
        </w:rPr>
        <w:t>doubt,</w:t>
      </w:r>
      <w:r>
        <w:rPr>
          <w:spacing w:val="-9"/>
          <w:sz w:val="20"/>
        </w:rPr>
        <w:t xml:space="preserve"> </w:t>
      </w:r>
      <w:r>
        <w:rPr>
          <w:sz w:val="20"/>
        </w:rPr>
        <w:t>information</w:t>
      </w:r>
      <w:r>
        <w:rPr>
          <w:spacing w:val="-7"/>
          <w:sz w:val="20"/>
        </w:rPr>
        <w:t xml:space="preserve"> </w:t>
      </w:r>
      <w:r>
        <w:rPr>
          <w:sz w:val="20"/>
        </w:rPr>
        <w:t>should</w:t>
      </w:r>
      <w:r>
        <w:rPr>
          <w:spacing w:val="-7"/>
          <w:sz w:val="20"/>
        </w:rPr>
        <w:t xml:space="preserve"> </w:t>
      </w:r>
      <w:r>
        <w:rPr>
          <w:sz w:val="20"/>
        </w:rPr>
        <w:t>be</w:t>
      </w:r>
      <w:r>
        <w:rPr>
          <w:spacing w:val="-11"/>
          <w:sz w:val="20"/>
        </w:rPr>
        <w:t xml:space="preserve"> </w:t>
      </w:r>
      <w:r>
        <w:rPr>
          <w:sz w:val="20"/>
        </w:rPr>
        <w:t>presumed</w:t>
      </w:r>
      <w:r>
        <w:rPr>
          <w:spacing w:val="-7"/>
          <w:sz w:val="20"/>
        </w:rPr>
        <w:t xml:space="preserve"> </w:t>
      </w:r>
      <w:r>
        <w:rPr>
          <w:sz w:val="20"/>
        </w:rPr>
        <w:t>to</w:t>
      </w:r>
      <w:r>
        <w:rPr>
          <w:spacing w:val="-7"/>
          <w:sz w:val="20"/>
        </w:rPr>
        <w:t xml:space="preserve"> </w:t>
      </w:r>
      <w:r>
        <w:rPr>
          <w:sz w:val="20"/>
        </w:rPr>
        <w:t>be</w:t>
      </w:r>
      <w:r>
        <w:rPr>
          <w:spacing w:val="-7"/>
          <w:sz w:val="20"/>
        </w:rPr>
        <w:t xml:space="preserve"> </w:t>
      </w:r>
      <w:r>
        <w:rPr>
          <w:sz w:val="20"/>
        </w:rPr>
        <w:t>“material.”</w:t>
      </w:r>
    </w:p>
    <w:p>
      <w:pPr>
        <w:pStyle w:val="TextBody"/>
        <w:bidi w:val="0"/>
        <w:spacing w:before="239" w:after="0"/>
        <w:ind w:left="740" w:right="123" w:firstLine="722"/>
        <w:jc w:val="left"/>
        <w:rPr>
          <w:sz w:val="20"/>
        </w:rPr>
      </w:pPr>
      <w:r>
        <w:rPr>
          <w:sz w:val="20"/>
        </w:rPr>
        <w:t>(b)</w:t>
      </w:r>
      <w:r>
        <w:rPr>
          <w:caps w:val="false"/>
          <w:smallCaps w:val="false"/>
          <w:sz w:val="20"/>
        </w:rPr>
        <w:t xml:space="preserve">                 </w:t>
      </w:r>
      <w:r>
        <w:rPr>
          <w:sz w:val="20"/>
          <w:u w:val="single"/>
        </w:rPr>
        <w:t>Non-Public Information</w:t>
      </w:r>
      <w:r>
        <w:rPr>
          <w:sz w:val="20"/>
        </w:rPr>
        <w:t>.</w:t>
      </w:r>
      <w:r>
        <w:rPr>
          <w:spacing w:val="40"/>
          <w:sz w:val="20"/>
        </w:rPr>
        <w:t xml:space="preserve"> </w:t>
      </w:r>
      <w:r>
        <w:rPr>
          <w:sz w:val="20"/>
        </w:rPr>
        <w:t>Information may be considered “non-public” if it has</w:t>
      </w:r>
      <w:r>
        <w:rPr>
          <w:spacing w:val="-4"/>
          <w:sz w:val="20"/>
        </w:rPr>
        <w:t xml:space="preserve"> </w:t>
      </w:r>
      <w:r>
        <w:rPr>
          <w:sz w:val="20"/>
        </w:rPr>
        <w:t>not</w:t>
      </w:r>
      <w:r>
        <w:rPr>
          <w:spacing w:val="-3"/>
          <w:sz w:val="20"/>
        </w:rPr>
        <w:t xml:space="preserve"> </w:t>
      </w:r>
      <w:r>
        <w:rPr>
          <w:sz w:val="20"/>
        </w:rPr>
        <w:t>been</w:t>
      </w:r>
      <w:r>
        <w:rPr>
          <w:spacing w:val="-7"/>
          <w:sz w:val="20"/>
        </w:rPr>
        <w:t xml:space="preserve"> </w:t>
      </w:r>
      <w:r>
        <w:rPr>
          <w:sz w:val="20"/>
        </w:rPr>
        <w:t>disseminated</w:t>
      </w:r>
      <w:r>
        <w:rPr>
          <w:spacing w:val="-9"/>
          <w:sz w:val="20"/>
        </w:rPr>
        <w:t xml:space="preserve"> </w:t>
      </w:r>
      <w:r>
        <w:rPr>
          <w:sz w:val="20"/>
        </w:rPr>
        <w:t>in</w:t>
      </w:r>
      <w:r>
        <w:rPr>
          <w:spacing w:val="-4"/>
          <w:sz w:val="20"/>
        </w:rPr>
        <w:t xml:space="preserve"> </w:t>
      </w:r>
      <w:r>
        <w:rPr>
          <w:sz w:val="20"/>
        </w:rPr>
        <w:t>the</w:t>
      </w:r>
      <w:r>
        <w:rPr>
          <w:spacing w:val="-4"/>
          <w:sz w:val="20"/>
        </w:rPr>
        <w:t xml:space="preserve"> </w:t>
      </w:r>
      <w:r>
        <w:rPr>
          <w:sz w:val="20"/>
        </w:rPr>
        <w:t>Company’s</w:t>
      </w:r>
      <w:r>
        <w:rPr>
          <w:spacing w:val="-4"/>
          <w:sz w:val="20"/>
        </w:rPr>
        <w:t xml:space="preserve"> </w:t>
      </w:r>
      <w:r>
        <w:rPr>
          <w:sz w:val="20"/>
        </w:rPr>
        <w:t>SEC</w:t>
      </w:r>
      <w:r>
        <w:rPr>
          <w:spacing w:val="-8"/>
          <w:sz w:val="20"/>
        </w:rPr>
        <w:t xml:space="preserve"> </w:t>
      </w:r>
      <w:r>
        <w:rPr>
          <w:sz w:val="20"/>
        </w:rPr>
        <w:t>filings</w:t>
      </w:r>
      <w:r>
        <w:rPr>
          <w:spacing w:val="-6"/>
          <w:sz w:val="20"/>
        </w:rPr>
        <w:t xml:space="preserve"> </w:t>
      </w:r>
      <w:r>
        <w:rPr>
          <w:sz w:val="20"/>
        </w:rPr>
        <w:t>or</w:t>
      </w:r>
      <w:r>
        <w:rPr>
          <w:spacing w:val="-3"/>
          <w:sz w:val="20"/>
        </w:rPr>
        <w:t xml:space="preserve"> </w:t>
      </w:r>
      <w:r>
        <w:rPr>
          <w:sz w:val="20"/>
        </w:rPr>
        <w:t>has</w:t>
      </w:r>
      <w:r>
        <w:rPr>
          <w:spacing w:val="-6"/>
          <w:sz w:val="20"/>
        </w:rPr>
        <w:t xml:space="preserve"> </w:t>
      </w:r>
      <w:r>
        <w:rPr>
          <w:sz w:val="20"/>
        </w:rPr>
        <w:t>not</w:t>
      </w:r>
      <w:r>
        <w:rPr>
          <w:spacing w:val="-3"/>
          <w:sz w:val="20"/>
        </w:rPr>
        <w:t xml:space="preserve"> </w:t>
      </w:r>
      <w:r>
        <w:rPr>
          <w:sz w:val="20"/>
        </w:rPr>
        <w:t>been</w:t>
      </w:r>
      <w:r>
        <w:rPr>
          <w:spacing w:val="-9"/>
          <w:sz w:val="20"/>
        </w:rPr>
        <w:t xml:space="preserve"> </w:t>
      </w:r>
      <w:r>
        <w:rPr>
          <w:sz w:val="20"/>
        </w:rPr>
        <w:t>the</w:t>
      </w:r>
      <w:r>
        <w:rPr>
          <w:spacing w:val="-9"/>
          <w:sz w:val="20"/>
        </w:rPr>
        <w:t xml:space="preserve"> </w:t>
      </w:r>
      <w:r>
        <w:rPr>
          <w:sz w:val="20"/>
        </w:rPr>
        <w:t>subject</w:t>
      </w:r>
      <w:r>
        <w:rPr>
          <w:spacing w:val="-3"/>
          <w:sz w:val="20"/>
        </w:rPr>
        <w:t xml:space="preserve"> </w:t>
      </w:r>
      <w:r>
        <w:rPr>
          <w:sz w:val="20"/>
        </w:rPr>
        <w:t>of</w:t>
      </w:r>
      <w:r>
        <w:rPr>
          <w:spacing w:val="-6"/>
          <w:sz w:val="20"/>
        </w:rPr>
        <w:t xml:space="preserve"> </w:t>
      </w:r>
      <w:r>
        <w:rPr>
          <w:sz w:val="20"/>
        </w:rPr>
        <w:t>a</w:t>
      </w:r>
      <w:r>
        <w:rPr>
          <w:spacing w:val="-6"/>
          <w:sz w:val="20"/>
        </w:rPr>
        <w:t xml:space="preserve"> </w:t>
      </w:r>
      <w:r>
        <w:rPr>
          <w:sz w:val="20"/>
        </w:rPr>
        <w:t>prior widely-disseminated</w:t>
      </w:r>
      <w:r>
        <w:rPr>
          <w:spacing w:val="-9"/>
          <w:sz w:val="20"/>
        </w:rPr>
        <w:t xml:space="preserve"> </w:t>
      </w:r>
      <w:r>
        <w:rPr>
          <w:sz w:val="20"/>
        </w:rPr>
        <w:t>Company</w:t>
      </w:r>
      <w:r>
        <w:rPr>
          <w:spacing w:val="-10"/>
          <w:sz w:val="20"/>
        </w:rPr>
        <w:t xml:space="preserve"> </w:t>
      </w:r>
      <w:r>
        <w:rPr>
          <w:sz w:val="20"/>
        </w:rPr>
        <w:t>press</w:t>
      </w:r>
      <w:r>
        <w:rPr>
          <w:spacing w:val="-12"/>
          <w:sz w:val="20"/>
        </w:rPr>
        <w:t xml:space="preserve"> </w:t>
      </w:r>
      <w:r>
        <w:rPr>
          <w:sz w:val="20"/>
        </w:rPr>
        <w:t>release.</w:t>
      </w:r>
      <w:r>
        <w:rPr>
          <w:spacing w:val="-10"/>
          <w:sz w:val="20"/>
        </w:rPr>
        <w:t xml:space="preserve"> </w:t>
      </w:r>
      <w:r>
        <w:rPr>
          <w:sz w:val="20"/>
        </w:rPr>
        <w:t>The</w:t>
      </w:r>
      <w:r>
        <w:rPr>
          <w:spacing w:val="-7"/>
          <w:sz w:val="20"/>
        </w:rPr>
        <w:t xml:space="preserve"> </w:t>
      </w:r>
      <w:r>
        <w:rPr>
          <w:sz w:val="20"/>
        </w:rPr>
        <w:t>fact</w:t>
      </w:r>
      <w:r>
        <w:rPr>
          <w:spacing w:val="-11"/>
          <w:sz w:val="20"/>
        </w:rPr>
        <w:t xml:space="preserve"> </w:t>
      </w:r>
      <w:r>
        <w:rPr>
          <w:sz w:val="20"/>
        </w:rPr>
        <w:t>that</w:t>
      </w:r>
      <w:r>
        <w:rPr>
          <w:spacing w:val="-11"/>
          <w:sz w:val="20"/>
        </w:rPr>
        <w:t xml:space="preserve"> </w:t>
      </w:r>
      <w:r>
        <w:rPr>
          <w:sz w:val="20"/>
        </w:rPr>
        <w:t>information</w:t>
      </w:r>
      <w:r>
        <w:rPr>
          <w:spacing w:val="-9"/>
          <w:sz w:val="20"/>
        </w:rPr>
        <w:t xml:space="preserve"> </w:t>
      </w:r>
      <w:r>
        <w:rPr>
          <w:sz w:val="20"/>
        </w:rPr>
        <w:t>has</w:t>
      </w:r>
      <w:r>
        <w:rPr>
          <w:spacing w:val="-9"/>
          <w:sz w:val="20"/>
        </w:rPr>
        <w:t xml:space="preserve"> </w:t>
      </w:r>
      <w:r>
        <w:rPr>
          <w:sz w:val="20"/>
        </w:rPr>
        <w:t>been</w:t>
      </w:r>
      <w:r>
        <w:rPr>
          <w:spacing w:val="-7"/>
          <w:sz w:val="20"/>
        </w:rPr>
        <w:t xml:space="preserve"> </w:t>
      </w:r>
      <w:r>
        <w:rPr>
          <w:sz w:val="20"/>
        </w:rPr>
        <w:t>disclosed</w:t>
      </w:r>
      <w:r>
        <w:rPr>
          <w:spacing w:val="-12"/>
          <w:sz w:val="20"/>
        </w:rPr>
        <w:t xml:space="preserve"> </w:t>
      </w:r>
      <w:r>
        <w:rPr>
          <w:sz w:val="20"/>
        </w:rPr>
        <w:t>to</w:t>
      </w:r>
      <w:r>
        <w:rPr>
          <w:spacing w:val="-7"/>
          <w:sz w:val="20"/>
        </w:rPr>
        <w:t xml:space="preserve"> </w:t>
      </w:r>
      <w:r>
        <w:rPr>
          <w:sz w:val="20"/>
        </w:rPr>
        <w:t xml:space="preserve">a few members of the public or appears on the Company's website does not make it public for insider trading purposes. Unless the Company publicly confirms information reported by the news media, analysts or other third-party sources, such information may still be considered non-public. You should be aware that it is the Company’s policy not to comment on such </w:t>
      </w:r>
      <w:r>
        <w:rPr>
          <w:spacing w:val="-2"/>
          <w:sz w:val="20"/>
        </w:rPr>
        <w:t>information.</w:t>
      </w:r>
    </w:p>
    <w:p>
      <w:pPr>
        <w:pStyle w:val="TextBody"/>
        <w:bidi w:val="0"/>
        <w:spacing w:before="239" w:after="0"/>
        <w:ind w:left="742" w:right="103" w:firstLine="720"/>
        <w:jc w:val="left"/>
        <w:rPr>
          <w:sz w:val="20"/>
        </w:rPr>
      </w:pPr>
      <w:r>
        <w:rPr>
          <w:sz w:val="20"/>
        </w:rPr>
        <w:t>Once</w:t>
      </w:r>
      <w:r>
        <w:rPr>
          <w:spacing w:val="-8"/>
          <w:sz w:val="20"/>
        </w:rPr>
        <w:t xml:space="preserve"> </w:t>
      </w:r>
      <w:r>
        <w:rPr>
          <w:sz w:val="20"/>
        </w:rPr>
        <w:t>all</w:t>
      </w:r>
      <w:r>
        <w:rPr>
          <w:spacing w:val="-8"/>
          <w:sz w:val="20"/>
        </w:rPr>
        <w:t xml:space="preserve"> </w:t>
      </w:r>
      <w:r>
        <w:rPr>
          <w:sz w:val="20"/>
        </w:rPr>
        <w:t>material</w:t>
      </w:r>
      <w:r>
        <w:rPr>
          <w:spacing w:val="-6"/>
          <w:sz w:val="20"/>
        </w:rPr>
        <w:t xml:space="preserve"> </w:t>
      </w:r>
      <w:r>
        <w:rPr>
          <w:sz w:val="20"/>
        </w:rPr>
        <w:t>information</w:t>
      </w:r>
      <w:r>
        <w:rPr>
          <w:spacing w:val="-9"/>
          <w:sz w:val="20"/>
        </w:rPr>
        <w:t xml:space="preserve"> </w:t>
      </w:r>
      <w:r>
        <w:rPr>
          <w:sz w:val="20"/>
        </w:rPr>
        <w:t>is</w:t>
      </w:r>
      <w:r>
        <w:rPr>
          <w:spacing w:val="-11"/>
          <w:sz w:val="20"/>
        </w:rPr>
        <w:t xml:space="preserve"> </w:t>
      </w:r>
      <w:r>
        <w:rPr>
          <w:sz w:val="20"/>
        </w:rPr>
        <w:t>publicly</w:t>
      </w:r>
      <w:r>
        <w:rPr>
          <w:spacing w:val="-11"/>
          <w:sz w:val="20"/>
        </w:rPr>
        <w:t xml:space="preserve"> </w:t>
      </w:r>
      <w:r>
        <w:rPr>
          <w:sz w:val="20"/>
        </w:rPr>
        <w:t>disseminated,</w:t>
      </w:r>
      <w:r>
        <w:rPr>
          <w:spacing w:val="-9"/>
          <w:sz w:val="20"/>
        </w:rPr>
        <w:t xml:space="preserve"> </w:t>
      </w:r>
      <w:r>
        <w:rPr>
          <w:sz w:val="20"/>
        </w:rPr>
        <w:t>trading</w:t>
      </w:r>
      <w:r>
        <w:rPr>
          <w:spacing w:val="-11"/>
          <w:sz w:val="20"/>
        </w:rPr>
        <w:t xml:space="preserve"> </w:t>
      </w:r>
      <w:r>
        <w:rPr>
          <w:sz w:val="20"/>
        </w:rPr>
        <w:t>can</w:t>
      </w:r>
      <w:r>
        <w:rPr>
          <w:spacing w:val="-9"/>
          <w:sz w:val="20"/>
        </w:rPr>
        <w:t xml:space="preserve"> </w:t>
      </w:r>
      <w:r>
        <w:rPr>
          <w:sz w:val="20"/>
        </w:rPr>
        <w:t>occur</w:t>
      </w:r>
      <w:r>
        <w:rPr>
          <w:spacing w:val="-8"/>
          <w:sz w:val="20"/>
        </w:rPr>
        <w:t xml:space="preserve"> </w:t>
      </w:r>
      <w:r>
        <w:rPr>
          <w:sz w:val="20"/>
        </w:rPr>
        <w:t>after</w:t>
      </w:r>
      <w:r>
        <w:rPr>
          <w:spacing w:val="-6"/>
          <w:sz w:val="20"/>
        </w:rPr>
        <w:t xml:space="preserve"> </w:t>
      </w:r>
      <w:r>
        <w:rPr>
          <w:sz w:val="20"/>
        </w:rPr>
        <w:t>a</w:t>
      </w:r>
      <w:r>
        <w:rPr>
          <w:spacing w:val="-8"/>
          <w:sz w:val="20"/>
        </w:rPr>
        <w:t xml:space="preserve"> </w:t>
      </w:r>
      <w:r>
        <w:rPr>
          <w:sz w:val="20"/>
        </w:rPr>
        <w:t>lapse of two</w:t>
      </w:r>
      <w:r>
        <w:rPr>
          <w:spacing w:val="-2"/>
          <w:sz w:val="20"/>
        </w:rPr>
        <w:t xml:space="preserve"> </w:t>
      </w:r>
      <w:r>
        <w:rPr>
          <w:sz w:val="20"/>
        </w:rPr>
        <w:t>full trading days, unless the Company determines that a shorter period is sufficient.</w:t>
      </w:r>
    </w:p>
    <w:p>
      <w:pPr>
        <w:pStyle w:val="TextBody"/>
        <w:bidi w:val="0"/>
        <w:spacing w:before="1" w:after="120"/>
        <w:ind w:left="738" w:right="103" w:firstLine="3"/>
        <w:jc w:val="left"/>
        <w:rPr>
          <w:sz w:val="20"/>
        </w:rPr>
      </w:pPr>
      <w:r>
        <w:rPr>
          <w:sz w:val="20"/>
        </w:rPr>
        <w:t>Therefore,</w:t>
      </w:r>
      <w:r>
        <w:rPr>
          <w:spacing w:val="-2"/>
          <w:sz w:val="20"/>
        </w:rPr>
        <w:t xml:space="preserve"> </w:t>
      </w:r>
      <w:r>
        <w:rPr>
          <w:sz w:val="20"/>
        </w:rPr>
        <w:t>if an</w:t>
      </w:r>
      <w:r>
        <w:rPr>
          <w:spacing w:val="-4"/>
          <w:sz w:val="20"/>
        </w:rPr>
        <w:t xml:space="preserve"> </w:t>
      </w:r>
      <w:r>
        <w:rPr>
          <w:sz w:val="20"/>
        </w:rPr>
        <w:t>announcement</w:t>
      </w:r>
      <w:r>
        <w:rPr>
          <w:spacing w:val="-3"/>
          <w:sz w:val="20"/>
        </w:rPr>
        <w:t xml:space="preserve"> </w:t>
      </w:r>
      <w:r>
        <w:rPr>
          <w:sz w:val="20"/>
        </w:rPr>
        <w:t>is</w:t>
      </w:r>
      <w:r>
        <w:rPr>
          <w:spacing w:val="-1"/>
          <w:sz w:val="20"/>
        </w:rPr>
        <w:t xml:space="preserve"> </w:t>
      </w:r>
      <w:r>
        <w:rPr>
          <w:sz w:val="20"/>
        </w:rPr>
        <w:t>made</w:t>
      </w:r>
      <w:r>
        <w:rPr>
          <w:spacing w:val="-1"/>
          <w:sz w:val="20"/>
        </w:rPr>
        <w:t xml:space="preserve"> </w:t>
      </w:r>
      <w:r>
        <w:rPr>
          <w:sz w:val="20"/>
        </w:rPr>
        <w:t>before</w:t>
      </w:r>
      <w:r>
        <w:rPr>
          <w:spacing w:val="-4"/>
          <w:sz w:val="20"/>
        </w:rPr>
        <w:t xml:space="preserve"> </w:t>
      </w:r>
      <w:r>
        <w:rPr>
          <w:sz w:val="20"/>
        </w:rPr>
        <w:t>the</w:t>
      </w:r>
      <w:r>
        <w:rPr>
          <w:spacing w:val="-1"/>
          <w:sz w:val="20"/>
        </w:rPr>
        <w:t xml:space="preserve"> </w:t>
      </w:r>
      <w:r>
        <w:rPr>
          <w:sz w:val="20"/>
        </w:rPr>
        <w:t>commencement of</w:t>
      </w:r>
      <w:r>
        <w:rPr>
          <w:spacing w:val="-1"/>
          <w:sz w:val="20"/>
        </w:rPr>
        <w:t xml:space="preserve"> </w:t>
      </w:r>
      <w:r>
        <w:rPr>
          <w:sz w:val="20"/>
        </w:rPr>
        <w:t>trading</w:t>
      </w:r>
      <w:r>
        <w:rPr>
          <w:spacing w:val="-2"/>
          <w:sz w:val="20"/>
        </w:rPr>
        <w:t xml:space="preserve"> </w:t>
      </w:r>
      <w:r>
        <w:rPr>
          <w:sz w:val="20"/>
        </w:rPr>
        <w:t>on</w:t>
      </w:r>
      <w:r>
        <w:rPr>
          <w:spacing w:val="-2"/>
          <w:sz w:val="20"/>
        </w:rPr>
        <w:t xml:space="preserve"> </w:t>
      </w:r>
      <w:r>
        <w:rPr>
          <w:sz w:val="20"/>
        </w:rPr>
        <w:t>a</w:t>
      </w:r>
      <w:r>
        <w:rPr>
          <w:spacing w:val="-4"/>
          <w:sz w:val="20"/>
        </w:rPr>
        <w:t xml:space="preserve"> </w:t>
      </w:r>
      <w:r>
        <w:rPr>
          <w:sz w:val="20"/>
        </w:rPr>
        <w:t>Monday,</w:t>
      </w:r>
      <w:r>
        <w:rPr>
          <w:spacing w:val="-2"/>
          <w:sz w:val="20"/>
        </w:rPr>
        <w:t xml:space="preserve"> </w:t>
      </w:r>
      <w:r>
        <w:rPr>
          <w:sz w:val="20"/>
        </w:rPr>
        <w:t>a covered person may trade in the Company’s stock</w:t>
      </w:r>
      <w:r>
        <w:rPr>
          <w:spacing w:val="-2"/>
          <w:sz w:val="20"/>
        </w:rPr>
        <w:t xml:space="preserve"> </w:t>
      </w:r>
      <w:r>
        <w:rPr>
          <w:sz w:val="20"/>
        </w:rPr>
        <w:t>starting on the Wednesday of that week, because</w:t>
      </w:r>
      <w:r>
        <w:rPr>
          <w:spacing w:val="-9"/>
          <w:sz w:val="20"/>
        </w:rPr>
        <w:t xml:space="preserve"> </w:t>
      </w:r>
      <w:r>
        <w:rPr>
          <w:sz w:val="20"/>
        </w:rPr>
        <w:t>two</w:t>
      </w:r>
      <w:r>
        <w:rPr>
          <w:spacing w:val="-8"/>
          <w:sz w:val="20"/>
        </w:rPr>
        <w:t xml:space="preserve"> </w:t>
      </w:r>
      <w:r>
        <w:rPr>
          <w:sz w:val="20"/>
        </w:rPr>
        <w:t>full</w:t>
      </w:r>
      <w:r>
        <w:rPr>
          <w:spacing w:val="-9"/>
          <w:sz w:val="20"/>
        </w:rPr>
        <w:t xml:space="preserve"> </w:t>
      </w:r>
      <w:r>
        <w:rPr>
          <w:sz w:val="20"/>
        </w:rPr>
        <w:t>trading</w:t>
      </w:r>
      <w:r>
        <w:rPr>
          <w:spacing w:val="-8"/>
          <w:sz w:val="20"/>
        </w:rPr>
        <w:t xml:space="preserve"> </w:t>
      </w:r>
      <w:r>
        <w:rPr>
          <w:sz w:val="20"/>
        </w:rPr>
        <w:t>days</w:t>
      </w:r>
      <w:r>
        <w:rPr>
          <w:spacing w:val="-7"/>
          <w:sz w:val="20"/>
        </w:rPr>
        <w:t xml:space="preserve"> </w:t>
      </w:r>
      <w:r>
        <w:rPr>
          <w:sz w:val="20"/>
        </w:rPr>
        <w:t>would</w:t>
      </w:r>
      <w:r>
        <w:rPr>
          <w:spacing w:val="-8"/>
          <w:sz w:val="20"/>
        </w:rPr>
        <w:t xml:space="preserve"> </w:t>
      </w:r>
      <w:r>
        <w:rPr>
          <w:sz w:val="20"/>
        </w:rPr>
        <w:t>have</w:t>
      </w:r>
      <w:r>
        <w:rPr>
          <w:spacing w:val="-7"/>
          <w:sz w:val="20"/>
        </w:rPr>
        <w:t xml:space="preserve"> </w:t>
      </w:r>
      <w:r>
        <w:rPr>
          <w:sz w:val="20"/>
        </w:rPr>
        <w:t>elapsed</w:t>
      </w:r>
      <w:r>
        <w:rPr>
          <w:spacing w:val="-5"/>
          <w:sz w:val="20"/>
        </w:rPr>
        <w:t xml:space="preserve"> </w:t>
      </w:r>
      <w:r>
        <w:rPr>
          <w:sz w:val="20"/>
        </w:rPr>
        <w:t>by</w:t>
      </w:r>
      <w:r>
        <w:rPr>
          <w:spacing w:val="-12"/>
          <w:sz w:val="20"/>
        </w:rPr>
        <w:t xml:space="preserve"> </w:t>
      </w:r>
      <w:r>
        <w:rPr>
          <w:sz w:val="20"/>
        </w:rPr>
        <w:t>then</w:t>
      </w:r>
      <w:r>
        <w:rPr>
          <w:spacing w:val="-8"/>
          <w:sz w:val="20"/>
        </w:rPr>
        <w:t xml:space="preserve"> </w:t>
      </w:r>
      <w:r>
        <w:rPr>
          <w:sz w:val="20"/>
        </w:rPr>
        <w:t>(all</w:t>
      </w:r>
      <w:r>
        <w:rPr>
          <w:spacing w:val="-4"/>
          <w:sz w:val="20"/>
        </w:rPr>
        <w:t xml:space="preserve"> </w:t>
      </w:r>
      <w:r>
        <w:rPr>
          <w:sz w:val="20"/>
        </w:rPr>
        <w:t>of</w:t>
      </w:r>
      <w:r>
        <w:rPr>
          <w:spacing w:val="-9"/>
          <w:sz w:val="20"/>
        </w:rPr>
        <w:t xml:space="preserve"> </w:t>
      </w:r>
      <w:r>
        <w:rPr>
          <w:sz w:val="20"/>
        </w:rPr>
        <w:t>Monday</w:t>
      </w:r>
      <w:r>
        <w:rPr>
          <w:spacing w:val="-8"/>
          <w:sz w:val="20"/>
        </w:rPr>
        <w:t xml:space="preserve"> </w:t>
      </w:r>
      <w:r>
        <w:rPr>
          <w:sz w:val="20"/>
        </w:rPr>
        <w:t>and</w:t>
      </w:r>
      <w:r>
        <w:rPr>
          <w:spacing w:val="-9"/>
          <w:sz w:val="20"/>
        </w:rPr>
        <w:t xml:space="preserve"> </w:t>
      </w:r>
      <w:r>
        <w:rPr>
          <w:sz w:val="20"/>
        </w:rPr>
        <w:t>Tuesday).</w:t>
      </w:r>
      <w:r>
        <w:rPr>
          <w:spacing w:val="-5"/>
          <w:sz w:val="20"/>
        </w:rPr>
        <w:t xml:space="preserve"> </w:t>
      </w:r>
      <w:r>
        <w:rPr>
          <w:sz w:val="20"/>
        </w:rPr>
        <w:t>If</w:t>
      </w:r>
      <w:r>
        <w:rPr>
          <w:spacing w:val="-7"/>
          <w:sz w:val="20"/>
        </w:rPr>
        <w:t xml:space="preserve"> </w:t>
      </w:r>
      <w:r>
        <w:rPr>
          <w:sz w:val="20"/>
        </w:rPr>
        <w:t>the announcement is</w:t>
      </w:r>
      <w:r>
        <w:rPr>
          <w:spacing w:val="-1"/>
          <w:sz w:val="20"/>
        </w:rPr>
        <w:t xml:space="preserve"> </w:t>
      </w:r>
      <w:r>
        <w:rPr>
          <w:sz w:val="20"/>
        </w:rPr>
        <w:t>made on</w:t>
      </w:r>
      <w:r>
        <w:rPr>
          <w:spacing w:val="-4"/>
          <w:sz w:val="20"/>
        </w:rPr>
        <w:t xml:space="preserve"> </w:t>
      </w:r>
      <w:r>
        <w:rPr>
          <w:sz w:val="20"/>
        </w:rPr>
        <w:t>Monday</w:t>
      </w:r>
      <w:r>
        <w:rPr>
          <w:spacing w:val="-7"/>
          <w:sz w:val="20"/>
        </w:rPr>
        <w:t xml:space="preserve"> </w:t>
      </w:r>
      <w:r>
        <w:rPr>
          <w:sz w:val="20"/>
        </w:rPr>
        <w:t>after</w:t>
      </w:r>
      <w:r>
        <w:rPr>
          <w:spacing w:val="-1"/>
          <w:sz w:val="20"/>
        </w:rPr>
        <w:t xml:space="preserve"> </w:t>
      </w:r>
      <w:r>
        <w:rPr>
          <w:sz w:val="20"/>
        </w:rPr>
        <w:t>trading</w:t>
      </w:r>
      <w:r>
        <w:rPr>
          <w:spacing w:val="-4"/>
          <w:sz w:val="20"/>
        </w:rPr>
        <w:t xml:space="preserve"> </w:t>
      </w:r>
      <w:r>
        <w:rPr>
          <w:sz w:val="20"/>
        </w:rPr>
        <w:t>begins,</w:t>
      </w:r>
      <w:r>
        <w:rPr>
          <w:spacing w:val="-2"/>
          <w:sz w:val="20"/>
        </w:rPr>
        <w:t xml:space="preserve"> </w:t>
      </w:r>
      <w:r>
        <w:rPr>
          <w:sz w:val="20"/>
        </w:rPr>
        <w:t>covered</w:t>
      </w:r>
      <w:r>
        <w:rPr>
          <w:spacing w:val="-4"/>
          <w:sz w:val="20"/>
        </w:rPr>
        <w:t xml:space="preserve"> </w:t>
      </w:r>
      <w:r>
        <w:rPr>
          <w:sz w:val="20"/>
        </w:rPr>
        <w:t>persons may</w:t>
      </w:r>
      <w:r>
        <w:rPr>
          <w:spacing w:val="-4"/>
          <w:sz w:val="20"/>
        </w:rPr>
        <w:t xml:space="preserve"> </w:t>
      </w:r>
      <w:r>
        <w:rPr>
          <w:sz w:val="20"/>
        </w:rPr>
        <w:t>not</w:t>
      </w:r>
      <w:r>
        <w:rPr>
          <w:spacing w:val="-3"/>
          <w:sz w:val="20"/>
        </w:rPr>
        <w:t xml:space="preserve"> </w:t>
      </w:r>
      <w:r>
        <w:rPr>
          <w:sz w:val="20"/>
        </w:rPr>
        <w:t>trade</w:t>
      </w:r>
      <w:r>
        <w:rPr>
          <w:spacing w:val="-1"/>
          <w:sz w:val="20"/>
        </w:rPr>
        <w:t xml:space="preserve"> </w:t>
      </w:r>
      <w:r>
        <w:rPr>
          <w:sz w:val="20"/>
        </w:rPr>
        <w:t>in</w:t>
      </w:r>
      <w:r>
        <w:rPr>
          <w:spacing w:val="-4"/>
          <w:sz w:val="20"/>
        </w:rPr>
        <w:t xml:space="preserve"> </w:t>
      </w:r>
      <w:r>
        <w:rPr>
          <w:sz w:val="20"/>
        </w:rPr>
        <w:t>the Company’s stock until Thursday. Release of some material information does not allow insiders to trade if other material information remains undisclosed.</w:t>
      </w:r>
    </w:p>
    <w:p>
      <w:pPr>
        <w:pStyle w:val="TextBody"/>
        <w:bidi w:val="0"/>
        <w:spacing w:before="0" w:after="0"/>
        <w:ind w:left="360" w:right="0" w:hanging="36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ind w:left="22" w:right="0" w:hanging="0"/>
        <w:jc w:val="center"/>
        <w:rPr/>
      </w:pPr>
      <w:r>
        <w:rPr/>
      </w:r>
    </w:p>
    <w:p>
      <w:pPr>
        <w:pStyle w:val="TextBody"/>
        <w:bidi w:val="0"/>
        <w:spacing w:lineRule="auto" w:line="14" w:before="0" w:after="0"/>
        <w:ind w:left="22" w:right="0" w:hanging="0"/>
        <w:jc w:val="left"/>
        <w:rPr/>
      </w:pPr>
      <w:r>
        <w:drawing>
          <wp:anchor behindDoc="0" distT="2367280" distB="0" distL="3252470" distR="0" simplePos="0" locked="0" layoutInCell="1" allowOverlap="1" relativeHeight="4">
            <wp:simplePos x="0" y="0"/>
            <wp:positionH relativeFrom="character">
              <wp:align>left</wp:align>
            </wp:positionH>
            <wp:positionV relativeFrom="line">
              <wp:align>top</wp:align>
            </wp:positionV>
            <wp:extent cx="161925" cy="180975"/>
            <wp:effectExtent l="0" t="0" r="0" b="0"/>
            <wp:wrapNone/>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1"/>
                    <a:stretch>
                      <a:fillRect/>
                    </a:stretch>
                  </pic:blipFill>
                  <pic:spPr bwMode="auto">
                    <a:xfrm>
                      <a:off x="0" y="0"/>
                      <a:ext cx="161925" cy="180975"/>
                    </a:xfrm>
                    <a:prstGeom prst="rect">
                      <a:avLst/>
                    </a:prstGeom>
                  </pic:spPr>
                </pic:pic>
              </a:graphicData>
            </a:graphic>
          </wp:anchor>
        </w:drawing>
      </w:r>
      <w:r>
        <w:rPr/>
        <w:t> </w:t>
      </w:r>
    </w:p>
    <w:p>
      <w:pPr>
        <w:pStyle w:val="TextBody"/>
        <w:bidi w:val="0"/>
        <w:spacing w:before="0" w:after="0"/>
        <w:ind w:left="741" w:right="97" w:firstLine="721"/>
        <w:jc w:val="left"/>
        <w:rPr>
          <w:sz w:val="20"/>
        </w:rPr>
      </w:pPr>
      <w:r>
        <w:rPr>
          <w:sz w:val="20"/>
        </w:rPr>
        <w:t>Please consult the General Counsel of EWI  if you are uncertain whether information has been made public and when trading may commence following</w:t>
      </w:r>
      <w:r>
        <w:rPr>
          <w:spacing w:val="-11"/>
          <w:sz w:val="20"/>
        </w:rPr>
        <w:t xml:space="preserve"> </w:t>
      </w:r>
      <w:r>
        <w:rPr>
          <w:sz w:val="20"/>
        </w:rPr>
        <w:t>a</w:t>
      </w:r>
      <w:r>
        <w:rPr>
          <w:spacing w:val="-6"/>
          <w:sz w:val="20"/>
        </w:rPr>
        <w:t xml:space="preserve"> </w:t>
      </w:r>
      <w:r>
        <w:rPr>
          <w:sz w:val="20"/>
        </w:rPr>
        <w:t>public</w:t>
      </w:r>
      <w:r>
        <w:rPr>
          <w:spacing w:val="-8"/>
          <w:sz w:val="20"/>
        </w:rPr>
        <w:t xml:space="preserve"> </w:t>
      </w:r>
      <w:r>
        <w:rPr>
          <w:sz w:val="20"/>
        </w:rPr>
        <w:t>announcement</w:t>
      </w:r>
      <w:r>
        <w:rPr>
          <w:spacing w:val="-5"/>
          <w:sz w:val="20"/>
        </w:rPr>
        <w:t xml:space="preserve"> </w:t>
      </w:r>
      <w:r>
        <w:rPr>
          <w:sz w:val="20"/>
        </w:rPr>
        <w:t>by</w:t>
      </w:r>
      <w:r>
        <w:rPr>
          <w:spacing w:val="-11"/>
          <w:sz w:val="20"/>
        </w:rPr>
        <w:t xml:space="preserve"> </w:t>
      </w:r>
      <w:r>
        <w:rPr>
          <w:sz w:val="20"/>
        </w:rPr>
        <w:t>the</w:t>
      </w:r>
      <w:r>
        <w:rPr>
          <w:spacing w:val="-6"/>
          <w:sz w:val="20"/>
        </w:rPr>
        <w:t xml:space="preserve"> </w:t>
      </w:r>
      <w:r>
        <w:rPr>
          <w:sz w:val="20"/>
        </w:rPr>
        <w:t>Company.</w:t>
      </w:r>
      <w:r>
        <w:rPr>
          <w:spacing w:val="-9"/>
          <w:sz w:val="20"/>
        </w:rPr>
        <w:t xml:space="preserve"> </w:t>
      </w:r>
      <w:r>
        <w:rPr>
          <w:sz w:val="20"/>
        </w:rPr>
        <w:t>When</w:t>
      </w:r>
      <w:r>
        <w:rPr>
          <w:spacing w:val="-6"/>
          <w:sz w:val="20"/>
        </w:rPr>
        <w:t xml:space="preserve"> </w:t>
      </w:r>
      <w:r>
        <w:rPr>
          <w:sz w:val="20"/>
        </w:rPr>
        <w:t>in</w:t>
      </w:r>
      <w:r>
        <w:rPr>
          <w:spacing w:val="-11"/>
          <w:sz w:val="20"/>
        </w:rPr>
        <w:t xml:space="preserve"> </w:t>
      </w:r>
      <w:r>
        <w:rPr>
          <w:sz w:val="20"/>
        </w:rPr>
        <w:t>doubt,</w:t>
      </w:r>
      <w:r>
        <w:rPr>
          <w:spacing w:val="-9"/>
          <w:sz w:val="20"/>
        </w:rPr>
        <w:t xml:space="preserve"> </w:t>
      </w:r>
      <w:r>
        <w:rPr>
          <w:sz w:val="20"/>
        </w:rPr>
        <w:t>information</w:t>
      </w:r>
      <w:r>
        <w:rPr>
          <w:spacing w:val="-9"/>
          <w:sz w:val="20"/>
        </w:rPr>
        <w:t xml:space="preserve"> </w:t>
      </w:r>
      <w:r>
        <w:rPr>
          <w:sz w:val="20"/>
        </w:rPr>
        <w:t>should</w:t>
      </w:r>
      <w:r>
        <w:rPr>
          <w:spacing w:val="-6"/>
          <w:sz w:val="20"/>
        </w:rPr>
        <w:t xml:space="preserve"> </w:t>
      </w:r>
      <w:r>
        <w:rPr>
          <w:sz w:val="20"/>
        </w:rPr>
        <w:t>be presumed to be “non-public” and treated as confidential.</w:t>
      </w:r>
    </w:p>
    <w:p>
      <w:pPr>
        <w:pStyle w:val="TextBody"/>
        <w:bidi w:val="0"/>
        <w:spacing w:before="241" w:after="0"/>
        <w:ind w:left="20" w:right="97" w:firstLine="722"/>
        <w:jc w:val="left"/>
        <w:rPr>
          <w:sz w:val="20"/>
        </w:rPr>
      </w:pPr>
      <w:r>
        <w:rPr>
          <w:sz w:val="20"/>
        </w:rPr>
        <w:t>3.</w:t>
      </w:r>
      <w:r>
        <w:rPr>
          <w:caps w:val="false"/>
          <w:smallCaps w:val="false"/>
          <w:sz w:val="20"/>
        </w:rPr>
        <w:t xml:space="preserve">                    </w:t>
      </w:r>
      <w:r>
        <w:rPr>
          <w:sz w:val="20"/>
          <w:u w:val="single"/>
        </w:rPr>
        <w:t>Compliance</w:t>
      </w:r>
      <w:r>
        <w:rPr>
          <w:spacing w:val="-5"/>
          <w:sz w:val="20"/>
          <w:u w:val="single"/>
        </w:rPr>
        <w:t xml:space="preserve"> </w:t>
      </w:r>
      <w:r>
        <w:rPr>
          <w:sz w:val="20"/>
          <w:u w:val="single"/>
        </w:rPr>
        <w:t>with</w:t>
      </w:r>
      <w:r>
        <w:rPr>
          <w:spacing w:val="-5"/>
          <w:sz w:val="20"/>
          <w:u w:val="single"/>
        </w:rPr>
        <w:t xml:space="preserve"> </w:t>
      </w:r>
      <w:r>
        <w:rPr>
          <w:sz w:val="20"/>
          <w:u w:val="single"/>
        </w:rPr>
        <w:t>Restrictions</w:t>
      </w:r>
      <w:r>
        <w:rPr>
          <w:sz w:val="20"/>
        </w:rPr>
        <w:t>.</w:t>
      </w:r>
      <w:r>
        <w:rPr>
          <w:spacing w:val="40"/>
          <w:sz w:val="20"/>
        </w:rPr>
        <w:t xml:space="preserve"> </w:t>
      </w:r>
      <w:r>
        <w:rPr>
          <w:sz w:val="20"/>
        </w:rPr>
        <w:t>The</w:t>
      </w:r>
      <w:r>
        <w:rPr>
          <w:spacing w:val="-9"/>
          <w:sz w:val="20"/>
        </w:rPr>
        <w:t xml:space="preserve"> </w:t>
      </w:r>
      <w:r>
        <w:rPr>
          <w:sz w:val="20"/>
        </w:rPr>
        <w:t>above</w:t>
      </w:r>
      <w:r>
        <w:rPr>
          <w:spacing w:val="-7"/>
          <w:sz w:val="20"/>
        </w:rPr>
        <w:t xml:space="preserve"> </w:t>
      </w:r>
      <w:r>
        <w:rPr>
          <w:sz w:val="20"/>
        </w:rPr>
        <w:t>prohibition</w:t>
      </w:r>
      <w:r>
        <w:rPr>
          <w:spacing w:val="-9"/>
          <w:sz w:val="20"/>
        </w:rPr>
        <w:t xml:space="preserve"> </w:t>
      </w:r>
      <w:r>
        <w:rPr>
          <w:sz w:val="20"/>
        </w:rPr>
        <w:t>against</w:t>
      </w:r>
      <w:r>
        <w:rPr>
          <w:spacing w:val="-7"/>
          <w:sz w:val="20"/>
        </w:rPr>
        <w:t xml:space="preserve"> </w:t>
      </w:r>
      <w:r>
        <w:rPr>
          <w:sz w:val="20"/>
        </w:rPr>
        <w:t>trading</w:t>
      </w:r>
      <w:r>
        <w:rPr>
          <w:spacing w:val="-9"/>
          <w:sz w:val="20"/>
        </w:rPr>
        <w:t xml:space="preserve"> </w:t>
      </w:r>
      <w:r>
        <w:rPr>
          <w:sz w:val="20"/>
        </w:rPr>
        <w:t>on</w:t>
      </w:r>
      <w:r>
        <w:rPr>
          <w:spacing w:val="-5"/>
          <w:sz w:val="20"/>
        </w:rPr>
        <w:t xml:space="preserve"> </w:t>
      </w:r>
      <w:r>
        <w:rPr>
          <w:sz w:val="20"/>
        </w:rPr>
        <w:t>or</w:t>
      </w:r>
      <w:r>
        <w:rPr>
          <w:spacing w:val="-4"/>
          <w:sz w:val="20"/>
        </w:rPr>
        <w:t xml:space="preserve"> </w:t>
      </w:r>
      <w:r>
        <w:rPr>
          <w:sz w:val="20"/>
        </w:rPr>
        <w:t>disclosing inside information generally</w:t>
      </w:r>
      <w:r>
        <w:rPr>
          <w:spacing w:val="-1"/>
          <w:sz w:val="20"/>
        </w:rPr>
        <w:t xml:space="preserve"> </w:t>
      </w:r>
      <w:r>
        <w:rPr>
          <w:sz w:val="20"/>
        </w:rPr>
        <w:t>reflects the requirements of law as well as the Company’s Policy. It is impossible to overstate the</w:t>
      </w:r>
      <w:r>
        <w:rPr>
          <w:spacing w:val="-2"/>
          <w:sz w:val="20"/>
        </w:rPr>
        <w:t xml:space="preserve"> </w:t>
      </w:r>
      <w:r>
        <w:rPr>
          <w:sz w:val="20"/>
        </w:rPr>
        <w:t>importance of understanding</w:t>
      </w:r>
      <w:r>
        <w:rPr>
          <w:spacing w:val="-2"/>
          <w:sz w:val="20"/>
        </w:rPr>
        <w:t xml:space="preserve"> </w:t>
      </w:r>
      <w:r>
        <w:rPr>
          <w:sz w:val="20"/>
        </w:rPr>
        <w:t>and complying with the</w:t>
      </w:r>
      <w:r>
        <w:rPr>
          <w:spacing w:val="-2"/>
          <w:sz w:val="20"/>
        </w:rPr>
        <w:t xml:space="preserve"> </w:t>
      </w:r>
      <w:r>
        <w:rPr>
          <w:sz w:val="20"/>
        </w:rPr>
        <w:t>insider</w:t>
      </w:r>
      <w:r>
        <w:rPr>
          <w:spacing w:val="-1"/>
          <w:sz w:val="20"/>
        </w:rPr>
        <w:t xml:space="preserve"> </w:t>
      </w:r>
      <w:r>
        <w:rPr>
          <w:sz w:val="20"/>
        </w:rPr>
        <w:t>trading</w:t>
      </w:r>
      <w:r>
        <w:rPr>
          <w:spacing w:val="-5"/>
          <w:sz w:val="20"/>
        </w:rPr>
        <w:t xml:space="preserve"> </w:t>
      </w:r>
      <w:r>
        <w:rPr>
          <w:sz w:val="20"/>
        </w:rPr>
        <w:t>laws. You need not be an officer or senior executive of the Company</w:t>
      </w:r>
      <w:r>
        <w:rPr>
          <w:spacing w:val="-1"/>
          <w:sz w:val="20"/>
        </w:rPr>
        <w:t xml:space="preserve"> </w:t>
      </w:r>
      <w:r>
        <w:rPr>
          <w:sz w:val="20"/>
        </w:rPr>
        <w:t>to be subject to</w:t>
      </w:r>
      <w:r>
        <w:rPr>
          <w:spacing w:val="-1"/>
          <w:sz w:val="20"/>
        </w:rPr>
        <w:t xml:space="preserve"> </w:t>
      </w:r>
      <w:r>
        <w:rPr>
          <w:sz w:val="20"/>
        </w:rPr>
        <w:t>the</w:t>
      </w:r>
      <w:r>
        <w:rPr>
          <w:spacing w:val="-1"/>
          <w:sz w:val="20"/>
        </w:rPr>
        <w:t xml:space="preserve"> </w:t>
      </w:r>
      <w:r>
        <w:rPr>
          <w:sz w:val="20"/>
        </w:rPr>
        <w:t>insider trading laws. Any</w:t>
      </w:r>
      <w:r>
        <w:rPr>
          <w:spacing w:val="-3"/>
          <w:sz w:val="20"/>
        </w:rPr>
        <w:t xml:space="preserve"> </w:t>
      </w:r>
      <w:r>
        <w:rPr>
          <w:sz w:val="20"/>
        </w:rPr>
        <w:t>employee or other person with access to</w:t>
      </w:r>
      <w:r>
        <w:rPr>
          <w:spacing w:val="-4"/>
          <w:sz w:val="20"/>
        </w:rPr>
        <w:t xml:space="preserve"> </w:t>
      </w:r>
      <w:r>
        <w:rPr>
          <w:sz w:val="20"/>
        </w:rPr>
        <w:t>inside information is subject to prosecution for a violation. As more</w:t>
      </w:r>
      <w:r>
        <w:rPr>
          <w:spacing w:val="-1"/>
          <w:sz w:val="20"/>
        </w:rPr>
        <w:t xml:space="preserve"> </w:t>
      </w:r>
      <w:r>
        <w:rPr>
          <w:sz w:val="20"/>
        </w:rPr>
        <w:t>fully</w:t>
      </w:r>
      <w:r>
        <w:rPr>
          <w:spacing w:val="-1"/>
          <w:sz w:val="20"/>
        </w:rPr>
        <w:t xml:space="preserve"> </w:t>
      </w:r>
      <w:r>
        <w:rPr>
          <w:sz w:val="20"/>
        </w:rPr>
        <w:t>discussed below, a breach of this Policy will subject you to disciplinary action by</w:t>
      </w:r>
      <w:r>
        <w:rPr>
          <w:spacing w:val="-2"/>
          <w:sz w:val="20"/>
        </w:rPr>
        <w:t xml:space="preserve"> </w:t>
      </w:r>
      <w:r>
        <w:rPr>
          <w:sz w:val="20"/>
        </w:rPr>
        <w:t>the Company and probably</w:t>
      </w:r>
      <w:r>
        <w:rPr>
          <w:spacing w:val="-2"/>
          <w:sz w:val="20"/>
        </w:rPr>
        <w:t xml:space="preserve"> </w:t>
      </w:r>
      <w:r>
        <w:rPr>
          <w:sz w:val="20"/>
        </w:rPr>
        <w:t>will constitute a serious</w:t>
      </w:r>
      <w:r>
        <w:rPr>
          <w:spacing w:val="-2"/>
          <w:sz w:val="20"/>
        </w:rPr>
        <w:t xml:space="preserve"> </w:t>
      </w:r>
      <w:r>
        <w:rPr>
          <w:sz w:val="20"/>
        </w:rPr>
        <w:t>legal violation as well. In all</w:t>
      </w:r>
      <w:r>
        <w:rPr>
          <w:spacing w:val="-1"/>
          <w:sz w:val="20"/>
        </w:rPr>
        <w:t xml:space="preserve"> </w:t>
      </w:r>
      <w:r>
        <w:rPr>
          <w:sz w:val="20"/>
        </w:rPr>
        <w:t>cases,</w:t>
      </w:r>
      <w:r>
        <w:rPr>
          <w:spacing w:val="-2"/>
          <w:sz w:val="20"/>
        </w:rPr>
        <w:t xml:space="preserve"> </w:t>
      </w:r>
      <w:r>
        <w:rPr>
          <w:sz w:val="20"/>
        </w:rPr>
        <w:t>the responsibility</w:t>
      </w:r>
      <w:r>
        <w:rPr>
          <w:spacing w:val="-11"/>
          <w:sz w:val="20"/>
        </w:rPr>
        <w:t xml:space="preserve"> </w:t>
      </w:r>
      <w:r>
        <w:rPr>
          <w:sz w:val="20"/>
        </w:rPr>
        <w:t>for</w:t>
      </w:r>
      <w:r>
        <w:rPr>
          <w:spacing w:val="-9"/>
          <w:sz w:val="20"/>
        </w:rPr>
        <w:t xml:space="preserve"> </w:t>
      </w:r>
      <w:r>
        <w:rPr>
          <w:sz w:val="20"/>
        </w:rPr>
        <w:t>determining</w:t>
      </w:r>
      <w:r>
        <w:rPr>
          <w:spacing w:val="-11"/>
          <w:sz w:val="20"/>
        </w:rPr>
        <w:t xml:space="preserve"> </w:t>
      </w:r>
      <w:r>
        <w:rPr>
          <w:sz w:val="20"/>
        </w:rPr>
        <w:t>whether</w:t>
      </w:r>
      <w:r>
        <w:rPr>
          <w:spacing w:val="-6"/>
          <w:sz w:val="20"/>
        </w:rPr>
        <w:t xml:space="preserve"> </w:t>
      </w:r>
      <w:r>
        <w:rPr>
          <w:sz w:val="20"/>
        </w:rPr>
        <w:t>you</w:t>
      </w:r>
      <w:r>
        <w:rPr>
          <w:spacing w:val="-7"/>
          <w:sz w:val="20"/>
        </w:rPr>
        <w:t xml:space="preserve"> </w:t>
      </w:r>
      <w:r>
        <w:rPr>
          <w:sz w:val="20"/>
        </w:rPr>
        <w:t>are</w:t>
      </w:r>
      <w:r>
        <w:rPr>
          <w:spacing w:val="-9"/>
          <w:sz w:val="20"/>
        </w:rPr>
        <w:t xml:space="preserve"> </w:t>
      </w:r>
      <w:r>
        <w:rPr>
          <w:sz w:val="20"/>
        </w:rPr>
        <w:t>in</w:t>
      </w:r>
      <w:r>
        <w:rPr>
          <w:spacing w:val="-7"/>
          <w:sz w:val="20"/>
        </w:rPr>
        <w:t xml:space="preserve"> </w:t>
      </w:r>
      <w:r>
        <w:rPr>
          <w:sz w:val="20"/>
        </w:rPr>
        <w:t>possession</w:t>
      </w:r>
      <w:r>
        <w:rPr>
          <w:spacing w:val="-7"/>
          <w:sz w:val="20"/>
        </w:rPr>
        <w:t xml:space="preserve"> </w:t>
      </w:r>
      <w:r>
        <w:rPr>
          <w:sz w:val="20"/>
        </w:rPr>
        <w:t>of</w:t>
      </w:r>
      <w:r>
        <w:rPr>
          <w:spacing w:val="-10"/>
          <w:sz w:val="20"/>
        </w:rPr>
        <w:t xml:space="preserve"> </w:t>
      </w:r>
      <w:r>
        <w:rPr>
          <w:sz w:val="20"/>
        </w:rPr>
        <w:t>material</w:t>
      </w:r>
      <w:r>
        <w:rPr>
          <w:spacing w:val="-9"/>
          <w:sz w:val="20"/>
        </w:rPr>
        <w:t xml:space="preserve"> </w:t>
      </w:r>
      <w:r>
        <w:rPr>
          <w:sz w:val="20"/>
        </w:rPr>
        <w:t>non-public</w:t>
      </w:r>
      <w:r>
        <w:rPr>
          <w:spacing w:val="-9"/>
          <w:sz w:val="20"/>
        </w:rPr>
        <w:t xml:space="preserve"> </w:t>
      </w:r>
      <w:r>
        <w:rPr>
          <w:sz w:val="20"/>
        </w:rPr>
        <w:t>information</w:t>
      </w:r>
      <w:r>
        <w:rPr>
          <w:spacing w:val="-10"/>
          <w:sz w:val="20"/>
        </w:rPr>
        <w:t xml:space="preserve"> </w:t>
      </w:r>
      <w:r>
        <w:rPr>
          <w:sz w:val="20"/>
        </w:rPr>
        <w:t>and</w:t>
      </w:r>
      <w:r>
        <w:rPr>
          <w:spacing w:val="-10"/>
          <w:sz w:val="20"/>
        </w:rPr>
        <w:t xml:space="preserve"> </w:t>
      </w:r>
      <w:r>
        <w:rPr>
          <w:sz w:val="20"/>
        </w:rPr>
        <w:t>in compliance with</w:t>
      </w:r>
      <w:r>
        <w:rPr>
          <w:spacing w:val="-4"/>
          <w:sz w:val="20"/>
        </w:rPr>
        <w:t xml:space="preserve"> </w:t>
      </w:r>
      <w:r>
        <w:rPr>
          <w:sz w:val="20"/>
        </w:rPr>
        <w:t>this Policy rests with you, and any</w:t>
      </w:r>
      <w:r>
        <w:rPr>
          <w:spacing w:val="-2"/>
          <w:sz w:val="20"/>
        </w:rPr>
        <w:t xml:space="preserve"> </w:t>
      </w:r>
      <w:r>
        <w:rPr>
          <w:sz w:val="20"/>
        </w:rPr>
        <w:t>action on</w:t>
      </w:r>
      <w:r>
        <w:rPr>
          <w:spacing w:val="-2"/>
          <w:sz w:val="20"/>
        </w:rPr>
        <w:t xml:space="preserve"> </w:t>
      </w:r>
      <w:r>
        <w:rPr>
          <w:sz w:val="20"/>
        </w:rPr>
        <w:t>the part of</w:t>
      </w:r>
      <w:r>
        <w:rPr>
          <w:spacing w:val="-1"/>
          <w:sz w:val="20"/>
        </w:rPr>
        <w:t xml:space="preserve"> </w:t>
      </w:r>
      <w:r>
        <w:rPr>
          <w:sz w:val="20"/>
        </w:rPr>
        <w:t>the Company, EWI’s General Counsel or any</w:t>
      </w:r>
      <w:r>
        <w:rPr>
          <w:spacing w:val="-2"/>
          <w:sz w:val="20"/>
        </w:rPr>
        <w:t xml:space="preserve"> </w:t>
      </w:r>
      <w:r>
        <w:rPr>
          <w:sz w:val="20"/>
        </w:rPr>
        <w:t>other employee or director pursuant</w:t>
      </w:r>
      <w:r>
        <w:rPr>
          <w:spacing w:val="-1"/>
          <w:sz w:val="20"/>
        </w:rPr>
        <w:t xml:space="preserve"> </w:t>
      </w:r>
      <w:r>
        <w:rPr>
          <w:sz w:val="20"/>
        </w:rPr>
        <w:t>to this Policy (or otherwise) does not in any way constitute legal advice or insulate you from liability under applicable securities laws.</w:t>
      </w:r>
    </w:p>
    <w:p>
      <w:pPr>
        <w:pStyle w:val="TextBody"/>
        <w:bidi w:val="0"/>
        <w:spacing w:before="239" w:after="0"/>
        <w:ind w:left="22" w:right="161" w:firstLine="720"/>
        <w:jc w:val="left"/>
        <w:rPr>
          <w:sz w:val="20"/>
        </w:rPr>
      </w:pPr>
      <w:r>
        <w:rPr>
          <w:sz w:val="20"/>
        </w:rPr>
        <w:t>4.</w:t>
      </w:r>
      <w:r>
        <w:rPr>
          <w:caps w:val="false"/>
          <w:smallCaps w:val="false"/>
          <w:sz w:val="20"/>
        </w:rPr>
        <w:t xml:space="preserve">                    </w:t>
      </w:r>
      <w:r>
        <w:rPr>
          <w:sz w:val="20"/>
          <w:u w:val="single"/>
        </w:rPr>
        <w:t>Confidentiality Generally</w:t>
      </w:r>
      <w:r>
        <w:rPr>
          <w:sz w:val="20"/>
        </w:rPr>
        <w:t>.</w:t>
      </w:r>
      <w:r>
        <w:rPr>
          <w:spacing w:val="40"/>
          <w:sz w:val="20"/>
        </w:rPr>
        <w:t xml:space="preserve"> </w:t>
      </w:r>
      <w:r>
        <w:rPr>
          <w:sz w:val="20"/>
        </w:rPr>
        <w:t>Serious problems could be caused for the Company by unauthorized</w:t>
      </w:r>
      <w:r>
        <w:rPr>
          <w:spacing w:val="-13"/>
          <w:sz w:val="20"/>
        </w:rPr>
        <w:t xml:space="preserve"> </w:t>
      </w:r>
      <w:r>
        <w:rPr>
          <w:sz w:val="20"/>
        </w:rPr>
        <w:t>disclosure</w:t>
      </w:r>
      <w:r>
        <w:rPr>
          <w:spacing w:val="-11"/>
          <w:sz w:val="20"/>
        </w:rPr>
        <w:t xml:space="preserve"> </w:t>
      </w:r>
      <w:r>
        <w:rPr>
          <w:sz w:val="20"/>
        </w:rPr>
        <w:t>of</w:t>
      </w:r>
      <w:r>
        <w:rPr>
          <w:spacing w:val="-11"/>
          <w:sz w:val="20"/>
        </w:rPr>
        <w:t xml:space="preserve"> </w:t>
      </w:r>
      <w:r>
        <w:rPr>
          <w:sz w:val="20"/>
        </w:rPr>
        <w:t>internal</w:t>
      </w:r>
      <w:r>
        <w:rPr>
          <w:spacing w:val="-13"/>
          <w:sz w:val="20"/>
        </w:rPr>
        <w:t xml:space="preserve"> </w:t>
      </w:r>
      <w:r>
        <w:rPr>
          <w:sz w:val="20"/>
        </w:rPr>
        <w:t>information</w:t>
      </w:r>
      <w:r>
        <w:rPr>
          <w:spacing w:val="-9"/>
          <w:sz w:val="20"/>
        </w:rPr>
        <w:t xml:space="preserve"> </w:t>
      </w:r>
      <w:r>
        <w:rPr>
          <w:sz w:val="20"/>
        </w:rPr>
        <w:t>about</w:t>
      </w:r>
      <w:r>
        <w:rPr>
          <w:spacing w:val="-13"/>
          <w:sz w:val="20"/>
        </w:rPr>
        <w:t xml:space="preserve"> </w:t>
      </w:r>
      <w:r>
        <w:rPr>
          <w:sz w:val="20"/>
        </w:rPr>
        <w:t>the</w:t>
      </w:r>
      <w:r>
        <w:rPr>
          <w:spacing w:val="-9"/>
          <w:sz w:val="20"/>
        </w:rPr>
        <w:t xml:space="preserve"> </w:t>
      </w:r>
      <w:r>
        <w:rPr>
          <w:sz w:val="20"/>
        </w:rPr>
        <w:t>Company</w:t>
      </w:r>
      <w:r>
        <w:rPr>
          <w:spacing w:val="-14"/>
          <w:sz w:val="20"/>
        </w:rPr>
        <w:t xml:space="preserve"> </w:t>
      </w:r>
      <w:r>
        <w:rPr>
          <w:sz w:val="20"/>
        </w:rPr>
        <w:t>(or</w:t>
      </w:r>
      <w:r>
        <w:rPr>
          <w:spacing w:val="-11"/>
          <w:sz w:val="20"/>
        </w:rPr>
        <w:t xml:space="preserve"> </w:t>
      </w:r>
      <w:r>
        <w:rPr>
          <w:sz w:val="20"/>
        </w:rPr>
        <w:t>confidential</w:t>
      </w:r>
      <w:r>
        <w:rPr>
          <w:spacing w:val="-11"/>
          <w:sz w:val="20"/>
        </w:rPr>
        <w:t xml:space="preserve"> </w:t>
      </w:r>
      <w:r>
        <w:rPr>
          <w:sz w:val="20"/>
        </w:rPr>
        <w:t>information</w:t>
      </w:r>
      <w:r>
        <w:rPr>
          <w:spacing w:val="-14"/>
          <w:sz w:val="20"/>
        </w:rPr>
        <w:t xml:space="preserve"> </w:t>
      </w:r>
      <w:r>
        <w:rPr>
          <w:sz w:val="20"/>
        </w:rPr>
        <w:t>about our</w:t>
      </w:r>
      <w:r>
        <w:rPr>
          <w:spacing w:val="-6"/>
          <w:sz w:val="20"/>
        </w:rPr>
        <w:t xml:space="preserve"> </w:t>
      </w:r>
      <w:r>
        <w:rPr>
          <w:sz w:val="20"/>
        </w:rPr>
        <w:t>customers</w:t>
      </w:r>
      <w:r>
        <w:rPr>
          <w:spacing w:val="-6"/>
          <w:sz w:val="20"/>
        </w:rPr>
        <w:t xml:space="preserve"> </w:t>
      </w:r>
      <w:r>
        <w:rPr>
          <w:sz w:val="20"/>
        </w:rPr>
        <w:t>or</w:t>
      </w:r>
      <w:r>
        <w:rPr>
          <w:spacing w:val="-6"/>
          <w:sz w:val="20"/>
        </w:rPr>
        <w:t xml:space="preserve"> </w:t>
      </w:r>
      <w:r>
        <w:rPr>
          <w:sz w:val="20"/>
        </w:rPr>
        <w:t>vendors),</w:t>
      </w:r>
      <w:r>
        <w:rPr>
          <w:spacing w:val="-9"/>
          <w:sz w:val="20"/>
        </w:rPr>
        <w:t xml:space="preserve"> </w:t>
      </w:r>
      <w:r>
        <w:rPr>
          <w:sz w:val="20"/>
        </w:rPr>
        <w:t>whether</w:t>
      </w:r>
      <w:r>
        <w:rPr>
          <w:spacing w:val="-3"/>
          <w:sz w:val="20"/>
        </w:rPr>
        <w:t xml:space="preserve"> </w:t>
      </w:r>
      <w:r>
        <w:rPr>
          <w:sz w:val="20"/>
        </w:rPr>
        <w:t>or</w:t>
      </w:r>
      <w:r>
        <w:rPr>
          <w:spacing w:val="-6"/>
          <w:sz w:val="20"/>
        </w:rPr>
        <w:t xml:space="preserve"> </w:t>
      </w:r>
      <w:r>
        <w:rPr>
          <w:sz w:val="20"/>
        </w:rPr>
        <w:t>not</w:t>
      </w:r>
      <w:r>
        <w:rPr>
          <w:spacing w:val="-8"/>
          <w:sz w:val="20"/>
        </w:rPr>
        <w:t xml:space="preserve"> </w:t>
      </w:r>
      <w:r>
        <w:rPr>
          <w:sz w:val="20"/>
        </w:rPr>
        <w:t>for</w:t>
      </w:r>
      <w:r>
        <w:rPr>
          <w:spacing w:val="-6"/>
          <w:sz w:val="20"/>
        </w:rPr>
        <w:t xml:space="preserve"> </w:t>
      </w:r>
      <w:r>
        <w:rPr>
          <w:sz w:val="20"/>
        </w:rPr>
        <w:t>the</w:t>
      </w:r>
      <w:r>
        <w:rPr>
          <w:spacing w:val="-4"/>
          <w:sz w:val="20"/>
        </w:rPr>
        <w:t xml:space="preserve"> </w:t>
      </w:r>
      <w:r>
        <w:rPr>
          <w:sz w:val="20"/>
        </w:rPr>
        <w:t>purpose</w:t>
      </w:r>
      <w:r>
        <w:rPr>
          <w:spacing w:val="-4"/>
          <w:sz w:val="20"/>
        </w:rPr>
        <w:t xml:space="preserve"> </w:t>
      </w:r>
      <w:r>
        <w:rPr>
          <w:sz w:val="20"/>
        </w:rPr>
        <w:t>of</w:t>
      </w:r>
      <w:r>
        <w:rPr>
          <w:spacing w:val="-8"/>
          <w:sz w:val="20"/>
        </w:rPr>
        <w:t xml:space="preserve"> </w:t>
      </w:r>
      <w:r>
        <w:rPr>
          <w:sz w:val="20"/>
        </w:rPr>
        <w:t>facilitating</w:t>
      </w:r>
      <w:r>
        <w:rPr>
          <w:spacing w:val="-11"/>
          <w:sz w:val="20"/>
        </w:rPr>
        <w:t xml:space="preserve"> </w:t>
      </w:r>
      <w:r>
        <w:rPr>
          <w:sz w:val="20"/>
        </w:rPr>
        <w:t>improper</w:t>
      </w:r>
      <w:r>
        <w:rPr>
          <w:spacing w:val="-8"/>
          <w:sz w:val="20"/>
        </w:rPr>
        <w:t xml:space="preserve"> </w:t>
      </w:r>
      <w:r>
        <w:rPr>
          <w:sz w:val="20"/>
        </w:rPr>
        <w:t>trading</w:t>
      </w:r>
      <w:r>
        <w:rPr>
          <w:spacing w:val="-9"/>
          <w:sz w:val="20"/>
        </w:rPr>
        <w:t xml:space="preserve"> </w:t>
      </w:r>
      <w:r>
        <w:rPr>
          <w:sz w:val="20"/>
        </w:rPr>
        <w:t>in</w:t>
      </w:r>
      <w:r>
        <w:rPr>
          <w:spacing w:val="-7"/>
          <w:sz w:val="20"/>
        </w:rPr>
        <w:t xml:space="preserve"> </w:t>
      </w:r>
      <w:r>
        <w:rPr>
          <w:sz w:val="20"/>
        </w:rPr>
        <w:t>our</w:t>
      </w:r>
      <w:r>
        <w:rPr>
          <w:spacing w:val="-3"/>
          <w:sz w:val="20"/>
        </w:rPr>
        <w:t xml:space="preserve"> </w:t>
      </w:r>
      <w:r>
        <w:rPr>
          <w:sz w:val="20"/>
        </w:rPr>
        <w:t>stock or other securities. You should not discuss internal Company matters or developments with</w:t>
      </w:r>
      <w:r>
        <w:rPr>
          <w:spacing w:val="-1"/>
          <w:sz w:val="20"/>
        </w:rPr>
        <w:t xml:space="preserve"> </w:t>
      </w:r>
      <w:r>
        <w:rPr>
          <w:sz w:val="20"/>
        </w:rPr>
        <w:t>anyone outside of the Company</w:t>
      </w:r>
      <w:r>
        <w:rPr>
          <w:spacing w:val="-1"/>
          <w:sz w:val="20"/>
        </w:rPr>
        <w:t xml:space="preserve"> </w:t>
      </w:r>
      <w:r>
        <w:rPr>
          <w:sz w:val="20"/>
        </w:rPr>
        <w:t>or with co-workers who are not involved</w:t>
      </w:r>
      <w:r>
        <w:rPr>
          <w:spacing w:val="-3"/>
          <w:sz w:val="20"/>
        </w:rPr>
        <w:t xml:space="preserve"> </w:t>
      </w:r>
      <w:r>
        <w:rPr>
          <w:sz w:val="20"/>
        </w:rPr>
        <w:t>in</w:t>
      </w:r>
      <w:r>
        <w:rPr>
          <w:spacing w:val="-1"/>
          <w:sz w:val="20"/>
        </w:rPr>
        <w:t xml:space="preserve"> </w:t>
      </w:r>
      <w:r>
        <w:rPr>
          <w:sz w:val="20"/>
        </w:rPr>
        <w:t>such</w:t>
      </w:r>
      <w:r>
        <w:rPr>
          <w:spacing w:val="-3"/>
          <w:sz w:val="20"/>
        </w:rPr>
        <w:t xml:space="preserve"> </w:t>
      </w:r>
      <w:r>
        <w:rPr>
          <w:sz w:val="20"/>
        </w:rPr>
        <w:t>matters,</w:t>
      </w:r>
      <w:r>
        <w:rPr>
          <w:spacing w:val="-3"/>
          <w:sz w:val="20"/>
        </w:rPr>
        <w:t xml:space="preserve"> </w:t>
      </w:r>
      <w:r>
        <w:rPr>
          <w:sz w:val="20"/>
        </w:rPr>
        <w:t>except as required in the performance of your regular duties on behalf of the Company.</w:t>
      </w:r>
    </w:p>
    <w:p>
      <w:pPr>
        <w:pStyle w:val="TextBody"/>
        <w:bidi w:val="0"/>
        <w:spacing w:before="241" w:after="0"/>
        <w:ind w:left="19" w:right="103" w:firstLine="720"/>
        <w:jc w:val="left"/>
        <w:rPr>
          <w:sz w:val="20"/>
        </w:rPr>
      </w:pPr>
      <w:r>
        <w:rPr>
          <w:sz w:val="20"/>
        </w:rPr>
        <w:t>This prohibition on disclosing confidential information applies specifically (but not exclusively) to inquiries about the Company which may</w:t>
      </w:r>
      <w:r>
        <w:rPr>
          <w:spacing w:val="-1"/>
          <w:sz w:val="20"/>
        </w:rPr>
        <w:t xml:space="preserve"> </w:t>
      </w:r>
      <w:r>
        <w:rPr>
          <w:sz w:val="20"/>
        </w:rPr>
        <w:t>be made by</w:t>
      </w:r>
      <w:r>
        <w:rPr>
          <w:spacing w:val="-1"/>
          <w:sz w:val="20"/>
        </w:rPr>
        <w:t xml:space="preserve"> </w:t>
      </w:r>
      <w:r>
        <w:rPr>
          <w:sz w:val="20"/>
        </w:rPr>
        <w:t>the financial press, investment analysts or</w:t>
      </w:r>
      <w:r>
        <w:rPr>
          <w:spacing w:val="-2"/>
          <w:sz w:val="20"/>
        </w:rPr>
        <w:t xml:space="preserve"> </w:t>
      </w:r>
      <w:r>
        <w:rPr>
          <w:sz w:val="20"/>
        </w:rPr>
        <w:t>others</w:t>
      </w:r>
      <w:r>
        <w:rPr>
          <w:spacing w:val="-5"/>
          <w:sz w:val="20"/>
        </w:rPr>
        <w:t xml:space="preserve"> </w:t>
      </w:r>
      <w:r>
        <w:rPr>
          <w:sz w:val="20"/>
        </w:rPr>
        <w:t>in</w:t>
      </w:r>
      <w:r>
        <w:rPr>
          <w:spacing w:val="-5"/>
          <w:sz w:val="20"/>
        </w:rPr>
        <w:t xml:space="preserve"> </w:t>
      </w:r>
      <w:r>
        <w:rPr>
          <w:sz w:val="20"/>
        </w:rPr>
        <w:t>the</w:t>
      </w:r>
      <w:r>
        <w:rPr>
          <w:spacing w:val="-2"/>
          <w:sz w:val="20"/>
        </w:rPr>
        <w:t xml:space="preserve"> </w:t>
      </w:r>
      <w:r>
        <w:rPr>
          <w:sz w:val="20"/>
        </w:rPr>
        <w:t>financial</w:t>
      </w:r>
      <w:r>
        <w:rPr>
          <w:spacing w:val="-1"/>
          <w:sz w:val="20"/>
        </w:rPr>
        <w:t xml:space="preserve"> </w:t>
      </w:r>
      <w:r>
        <w:rPr>
          <w:sz w:val="20"/>
        </w:rPr>
        <w:t>community. It</w:t>
      </w:r>
      <w:r>
        <w:rPr>
          <w:spacing w:val="-2"/>
          <w:sz w:val="20"/>
        </w:rPr>
        <w:t xml:space="preserve"> </w:t>
      </w:r>
      <w:r>
        <w:rPr>
          <w:sz w:val="20"/>
        </w:rPr>
        <w:t>is</w:t>
      </w:r>
      <w:r>
        <w:rPr>
          <w:spacing w:val="-2"/>
          <w:sz w:val="20"/>
        </w:rPr>
        <w:t xml:space="preserve"> </w:t>
      </w:r>
      <w:r>
        <w:rPr>
          <w:sz w:val="20"/>
        </w:rPr>
        <w:t>important that all</w:t>
      </w:r>
      <w:r>
        <w:rPr>
          <w:spacing w:val="-2"/>
          <w:sz w:val="20"/>
        </w:rPr>
        <w:t xml:space="preserve"> </w:t>
      </w:r>
      <w:r>
        <w:rPr>
          <w:sz w:val="20"/>
        </w:rPr>
        <w:t>such</w:t>
      </w:r>
      <w:r>
        <w:rPr>
          <w:spacing w:val="-5"/>
          <w:sz w:val="20"/>
        </w:rPr>
        <w:t xml:space="preserve"> </w:t>
      </w:r>
      <w:r>
        <w:rPr>
          <w:sz w:val="20"/>
        </w:rPr>
        <w:t>communications on</w:t>
      </w:r>
      <w:r>
        <w:rPr>
          <w:spacing w:val="-3"/>
          <w:sz w:val="20"/>
        </w:rPr>
        <w:t xml:space="preserve"> </w:t>
      </w:r>
      <w:r>
        <w:rPr>
          <w:sz w:val="20"/>
        </w:rPr>
        <w:t>behalf of the Company be made only pursuant to the Company’s Disclosure Policy. The Company is required under Regulation</w:t>
      </w:r>
      <w:r>
        <w:rPr>
          <w:spacing w:val="-4"/>
          <w:sz w:val="20"/>
        </w:rPr>
        <w:t xml:space="preserve"> </w:t>
      </w:r>
      <w:r>
        <w:rPr>
          <w:sz w:val="20"/>
        </w:rPr>
        <w:t>FD of the U.S. federal securities laws to avoid</w:t>
      </w:r>
      <w:r>
        <w:rPr>
          <w:spacing w:val="-1"/>
          <w:sz w:val="20"/>
        </w:rPr>
        <w:t xml:space="preserve"> </w:t>
      </w:r>
      <w:r>
        <w:rPr>
          <w:sz w:val="20"/>
        </w:rPr>
        <w:t>the selective disclosure of material non-public</w:t>
      </w:r>
      <w:r>
        <w:rPr>
          <w:spacing w:val="-2"/>
          <w:sz w:val="20"/>
        </w:rPr>
        <w:t xml:space="preserve"> </w:t>
      </w:r>
      <w:r>
        <w:rPr>
          <w:sz w:val="20"/>
        </w:rPr>
        <w:t>information.</w:t>
      </w:r>
      <w:r>
        <w:rPr>
          <w:spacing w:val="-5"/>
          <w:sz w:val="20"/>
        </w:rPr>
        <w:t xml:space="preserve"> </w:t>
      </w:r>
      <w:r>
        <w:rPr>
          <w:sz w:val="20"/>
        </w:rPr>
        <w:t>The Company</w:t>
      </w:r>
      <w:r>
        <w:rPr>
          <w:spacing w:val="-3"/>
          <w:sz w:val="20"/>
        </w:rPr>
        <w:t xml:space="preserve"> </w:t>
      </w:r>
      <w:r>
        <w:rPr>
          <w:sz w:val="20"/>
        </w:rPr>
        <w:t>has</w:t>
      </w:r>
      <w:r>
        <w:rPr>
          <w:spacing w:val="-2"/>
          <w:sz w:val="20"/>
        </w:rPr>
        <w:t xml:space="preserve"> </w:t>
      </w:r>
      <w:r>
        <w:rPr>
          <w:sz w:val="20"/>
        </w:rPr>
        <w:t>established</w:t>
      </w:r>
      <w:r>
        <w:rPr>
          <w:spacing w:val="-5"/>
          <w:sz w:val="20"/>
        </w:rPr>
        <w:t xml:space="preserve"> </w:t>
      </w:r>
      <w:r>
        <w:rPr>
          <w:sz w:val="20"/>
        </w:rPr>
        <w:t>procedures</w:t>
      </w:r>
      <w:r>
        <w:rPr>
          <w:spacing w:val="-4"/>
          <w:sz w:val="20"/>
        </w:rPr>
        <w:t xml:space="preserve"> </w:t>
      </w:r>
      <w:r>
        <w:rPr>
          <w:sz w:val="20"/>
        </w:rPr>
        <w:t>for</w:t>
      </w:r>
      <w:r>
        <w:rPr>
          <w:spacing w:val="-2"/>
          <w:sz w:val="20"/>
        </w:rPr>
        <w:t xml:space="preserve"> </w:t>
      </w:r>
      <w:r>
        <w:rPr>
          <w:sz w:val="20"/>
        </w:rPr>
        <w:t>releasing</w:t>
      </w:r>
      <w:r>
        <w:rPr>
          <w:spacing w:val="-5"/>
          <w:sz w:val="20"/>
        </w:rPr>
        <w:t xml:space="preserve"> </w:t>
      </w:r>
      <w:r>
        <w:rPr>
          <w:sz w:val="20"/>
        </w:rPr>
        <w:t>information in</w:t>
      </w:r>
      <w:r>
        <w:rPr>
          <w:spacing w:val="-6"/>
          <w:sz w:val="20"/>
        </w:rPr>
        <w:t xml:space="preserve"> </w:t>
      </w:r>
      <w:r>
        <w:rPr>
          <w:sz w:val="20"/>
        </w:rPr>
        <w:t>a</w:t>
      </w:r>
      <w:r>
        <w:rPr>
          <w:spacing w:val="-7"/>
          <w:sz w:val="20"/>
        </w:rPr>
        <w:t xml:space="preserve"> </w:t>
      </w:r>
      <w:r>
        <w:rPr>
          <w:sz w:val="20"/>
        </w:rPr>
        <w:t>manner</w:t>
      </w:r>
      <w:r>
        <w:rPr>
          <w:spacing w:val="-9"/>
          <w:sz w:val="20"/>
        </w:rPr>
        <w:t xml:space="preserve"> </w:t>
      </w:r>
      <w:r>
        <w:rPr>
          <w:sz w:val="20"/>
        </w:rPr>
        <w:t>that</w:t>
      </w:r>
      <w:r>
        <w:rPr>
          <w:spacing w:val="-7"/>
          <w:sz w:val="20"/>
        </w:rPr>
        <w:t xml:space="preserve"> </w:t>
      </w:r>
      <w:r>
        <w:rPr>
          <w:sz w:val="20"/>
        </w:rPr>
        <w:t>is</w:t>
      </w:r>
      <w:r>
        <w:rPr>
          <w:spacing w:val="-6"/>
          <w:sz w:val="20"/>
        </w:rPr>
        <w:t xml:space="preserve"> </w:t>
      </w:r>
      <w:r>
        <w:rPr>
          <w:sz w:val="20"/>
        </w:rPr>
        <w:t>designed</w:t>
      </w:r>
      <w:r>
        <w:rPr>
          <w:spacing w:val="-8"/>
          <w:sz w:val="20"/>
        </w:rPr>
        <w:t xml:space="preserve"> </w:t>
      </w:r>
      <w:r>
        <w:rPr>
          <w:sz w:val="20"/>
        </w:rPr>
        <w:t>to</w:t>
      </w:r>
      <w:r>
        <w:rPr>
          <w:spacing w:val="-7"/>
          <w:sz w:val="20"/>
        </w:rPr>
        <w:t xml:space="preserve"> </w:t>
      </w:r>
      <w:r>
        <w:rPr>
          <w:sz w:val="20"/>
        </w:rPr>
        <w:t>achieve</w:t>
      </w:r>
      <w:r>
        <w:rPr>
          <w:spacing w:val="-6"/>
          <w:sz w:val="20"/>
        </w:rPr>
        <w:t xml:space="preserve"> </w:t>
      </w:r>
      <w:r>
        <w:rPr>
          <w:sz w:val="20"/>
        </w:rPr>
        <w:t>broad</w:t>
      </w:r>
      <w:r>
        <w:rPr>
          <w:spacing w:val="-10"/>
          <w:sz w:val="20"/>
        </w:rPr>
        <w:t xml:space="preserve"> </w:t>
      </w:r>
      <w:r>
        <w:rPr>
          <w:sz w:val="20"/>
        </w:rPr>
        <w:t>public</w:t>
      </w:r>
      <w:r>
        <w:rPr>
          <w:spacing w:val="-7"/>
          <w:sz w:val="20"/>
        </w:rPr>
        <w:t xml:space="preserve"> </w:t>
      </w:r>
      <w:r>
        <w:rPr>
          <w:sz w:val="20"/>
        </w:rPr>
        <w:t>dissemination</w:t>
      </w:r>
      <w:r>
        <w:rPr>
          <w:spacing w:val="-6"/>
          <w:sz w:val="20"/>
        </w:rPr>
        <w:t xml:space="preserve"> </w:t>
      </w:r>
      <w:r>
        <w:rPr>
          <w:sz w:val="20"/>
        </w:rPr>
        <w:t>of</w:t>
      </w:r>
      <w:r>
        <w:rPr>
          <w:spacing w:val="-9"/>
          <w:sz w:val="20"/>
        </w:rPr>
        <w:t xml:space="preserve"> </w:t>
      </w:r>
      <w:r>
        <w:rPr>
          <w:sz w:val="20"/>
        </w:rPr>
        <w:t>the</w:t>
      </w:r>
      <w:r>
        <w:rPr>
          <w:spacing w:val="-7"/>
          <w:sz w:val="20"/>
        </w:rPr>
        <w:t xml:space="preserve"> </w:t>
      </w:r>
      <w:r>
        <w:rPr>
          <w:sz w:val="20"/>
        </w:rPr>
        <w:t>information.</w:t>
      </w:r>
      <w:r>
        <w:rPr>
          <w:spacing w:val="-6"/>
          <w:sz w:val="20"/>
        </w:rPr>
        <w:t xml:space="preserve"> </w:t>
      </w:r>
      <w:r>
        <w:rPr>
          <w:sz w:val="20"/>
        </w:rPr>
        <w:t>Unless</w:t>
      </w:r>
      <w:r>
        <w:rPr>
          <w:spacing w:val="-7"/>
          <w:sz w:val="20"/>
        </w:rPr>
        <w:t xml:space="preserve"> </w:t>
      </w:r>
      <w:r>
        <w:rPr>
          <w:sz w:val="20"/>
        </w:rPr>
        <w:t>you</w:t>
      </w:r>
      <w:r>
        <w:rPr>
          <w:spacing w:val="-8"/>
          <w:sz w:val="20"/>
        </w:rPr>
        <w:t xml:space="preserve"> </w:t>
      </w:r>
      <w:r>
        <w:rPr>
          <w:sz w:val="20"/>
        </w:rPr>
        <w:t>are expressly authorized to the contrary, if you receive any</w:t>
      </w:r>
      <w:r>
        <w:rPr>
          <w:spacing w:val="-2"/>
          <w:sz w:val="20"/>
        </w:rPr>
        <w:t xml:space="preserve"> </w:t>
      </w:r>
      <w:r>
        <w:rPr>
          <w:sz w:val="20"/>
        </w:rPr>
        <w:t>inquires of this nature, you should decline comment and refer the inquiry to the Head of Investor Relations or the General Counsel of EWI</w:t>
      </w:r>
      <w:r>
        <w:rPr>
          <w:spacing w:val="-2"/>
          <w:sz w:val="20"/>
        </w:rPr>
        <w:t>.</w:t>
      </w:r>
    </w:p>
    <w:p>
      <w:pPr>
        <w:pStyle w:val="TextBody"/>
        <w:bidi w:val="0"/>
        <w:spacing w:before="243" w:after="0"/>
        <w:ind w:left="20" w:right="107" w:firstLine="722"/>
        <w:jc w:val="left"/>
        <w:rPr>
          <w:sz w:val="20"/>
        </w:rPr>
      </w:pPr>
      <w:r>
        <w:rPr>
          <w:sz w:val="20"/>
        </w:rPr>
        <w:t>5.</w:t>
      </w:r>
      <w:r>
        <w:rPr>
          <w:caps w:val="false"/>
          <w:smallCaps w:val="false"/>
          <w:sz w:val="20"/>
        </w:rPr>
        <w:t xml:space="preserve">                    </w:t>
      </w:r>
      <w:r>
        <w:rPr>
          <w:sz w:val="20"/>
          <w:u w:val="single"/>
        </w:rPr>
        <w:t>Information</w:t>
      </w:r>
      <w:r>
        <w:rPr>
          <w:spacing w:val="-7"/>
          <w:sz w:val="20"/>
          <w:u w:val="single"/>
        </w:rPr>
        <w:t xml:space="preserve"> </w:t>
      </w:r>
      <w:r>
        <w:rPr>
          <w:sz w:val="20"/>
          <w:u w:val="single"/>
        </w:rPr>
        <w:t>About</w:t>
      </w:r>
      <w:r>
        <w:rPr>
          <w:spacing w:val="-6"/>
          <w:sz w:val="20"/>
          <w:u w:val="single"/>
        </w:rPr>
        <w:t xml:space="preserve"> </w:t>
      </w:r>
      <w:r>
        <w:rPr>
          <w:sz w:val="20"/>
          <w:u w:val="single"/>
        </w:rPr>
        <w:t>Other</w:t>
      </w:r>
      <w:r>
        <w:rPr>
          <w:spacing w:val="-6"/>
          <w:sz w:val="20"/>
          <w:u w:val="single"/>
        </w:rPr>
        <w:t xml:space="preserve"> </w:t>
      </w:r>
      <w:r>
        <w:rPr>
          <w:sz w:val="20"/>
          <w:u w:val="single"/>
        </w:rPr>
        <w:t>Companies</w:t>
      </w:r>
      <w:r>
        <w:rPr>
          <w:sz w:val="20"/>
        </w:rPr>
        <w:t>.</w:t>
      </w:r>
      <w:r>
        <w:rPr>
          <w:spacing w:val="38"/>
          <w:sz w:val="20"/>
        </w:rPr>
        <w:t xml:space="preserve"> </w:t>
      </w:r>
      <w:r>
        <w:rPr>
          <w:sz w:val="20"/>
        </w:rPr>
        <w:t>In</w:t>
      </w:r>
      <w:r>
        <w:rPr>
          <w:spacing w:val="-10"/>
          <w:sz w:val="20"/>
        </w:rPr>
        <w:t xml:space="preserve"> </w:t>
      </w:r>
      <w:r>
        <w:rPr>
          <w:sz w:val="20"/>
        </w:rPr>
        <w:t>the</w:t>
      </w:r>
      <w:r>
        <w:rPr>
          <w:spacing w:val="-9"/>
          <w:sz w:val="20"/>
        </w:rPr>
        <w:t xml:space="preserve"> </w:t>
      </w:r>
      <w:r>
        <w:rPr>
          <w:sz w:val="20"/>
        </w:rPr>
        <w:t>course</w:t>
      </w:r>
      <w:r>
        <w:rPr>
          <w:spacing w:val="-9"/>
          <w:sz w:val="20"/>
        </w:rPr>
        <w:t xml:space="preserve"> </w:t>
      </w:r>
      <w:r>
        <w:rPr>
          <w:sz w:val="20"/>
        </w:rPr>
        <w:t>of</w:t>
      </w:r>
      <w:r>
        <w:rPr>
          <w:spacing w:val="-11"/>
          <w:sz w:val="20"/>
        </w:rPr>
        <w:t xml:space="preserve"> </w:t>
      </w:r>
      <w:r>
        <w:rPr>
          <w:sz w:val="20"/>
        </w:rPr>
        <w:t>your</w:t>
      </w:r>
      <w:r>
        <w:rPr>
          <w:spacing w:val="-6"/>
          <w:sz w:val="20"/>
        </w:rPr>
        <w:t xml:space="preserve"> </w:t>
      </w:r>
      <w:r>
        <w:rPr>
          <w:sz w:val="20"/>
        </w:rPr>
        <w:t>employment</w:t>
      </w:r>
      <w:r>
        <w:rPr>
          <w:spacing w:val="-6"/>
          <w:sz w:val="20"/>
        </w:rPr>
        <w:t xml:space="preserve"> </w:t>
      </w:r>
      <w:r>
        <w:rPr>
          <w:sz w:val="20"/>
        </w:rPr>
        <w:t>or</w:t>
      </w:r>
      <w:r>
        <w:rPr>
          <w:spacing w:val="-9"/>
          <w:sz w:val="20"/>
        </w:rPr>
        <w:t xml:space="preserve"> </w:t>
      </w:r>
      <w:r>
        <w:rPr>
          <w:sz w:val="20"/>
        </w:rPr>
        <w:t>affiliation with the Company, you may become aware of material non-public information about other public companies --</w:t>
      </w:r>
      <w:r>
        <w:rPr>
          <w:spacing w:val="-3"/>
          <w:sz w:val="20"/>
        </w:rPr>
        <w:t xml:space="preserve"> </w:t>
      </w:r>
      <w:r>
        <w:rPr>
          <w:sz w:val="20"/>
        </w:rPr>
        <w:t>for example, other companies with which</w:t>
      </w:r>
      <w:r>
        <w:rPr>
          <w:spacing w:val="-1"/>
          <w:sz w:val="20"/>
        </w:rPr>
        <w:t xml:space="preserve"> </w:t>
      </w:r>
      <w:r>
        <w:rPr>
          <w:sz w:val="20"/>
        </w:rPr>
        <w:t>our Company has business dealings. You are prohibited from purchasing or selling or otherwise transferring the securities of any</w:t>
      </w:r>
      <w:r>
        <w:rPr>
          <w:spacing w:val="-3"/>
          <w:sz w:val="20"/>
        </w:rPr>
        <w:t xml:space="preserve"> </w:t>
      </w:r>
      <w:r>
        <w:rPr>
          <w:sz w:val="20"/>
        </w:rPr>
        <w:t>other public company at a time when you are in possession of material non-public information about such company. You are also prohibited from disclosing such information to another person who trades in such company's stock or other securities.</w:t>
      </w:r>
    </w:p>
    <w:p>
      <w:pPr>
        <w:pStyle w:val="TextBody"/>
        <w:bidi w:val="0"/>
        <w:spacing w:before="238" w:after="120"/>
        <w:ind w:left="18" w:right="97" w:firstLine="724"/>
        <w:jc w:val="left"/>
        <w:rPr>
          <w:sz w:val="20"/>
        </w:rPr>
      </w:pPr>
      <w:r>
        <w:rPr>
          <w:sz w:val="20"/>
        </w:rPr>
        <w:t>6.</w:t>
      </w:r>
      <w:r>
        <w:rPr>
          <w:caps w:val="false"/>
          <w:smallCaps w:val="false"/>
          <w:sz w:val="20"/>
        </w:rPr>
        <w:t xml:space="preserve">                    </w:t>
      </w:r>
      <w:r>
        <w:rPr>
          <w:sz w:val="20"/>
          <w:u w:val="single"/>
        </w:rPr>
        <w:t>Tipping</w:t>
      </w:r>
      <w:r>
        <w:rPr>
          <w:sz w:val="20"/>
        </w:rPr>
        <w:t>.</w:t>
      </w:r>
      <w:r>
        <w:rPr>
          <w:spacing w:val="40"/>
          <w:sz w:val="20"/>
        </w:rPr>
        <w:t xml:space="preserve"> </w:t>
      </w:r>
      <w:r>
        <w:rPr>
          <w:sz w:val="20"/>
        </w:rPr>
        <w:t>Improper disclosure of material non-public information to another person who trades</w:t>
      </w:r>
      <w:r>
        <w:rPr>
          <w:spacing w:val="-1"/>
          <w:sz w:val="20"/>
        </w:rPr>
        <w:t xml:space="preserve"> </w:t>
      </w:r>
      <w:r>
        <w:rPr>
          <w:sz w:val="20"/>
        </w:rPr>
        <w:t>in</w:t>
      </w:r>
      <w:r>
        <w:rPr>
          <w:spacing w:val="-1"/>
          <w:sz w:val="20"/>
        </w:rPr>
        <w:t xml:space="preserve"> </w:t>
      </w:r>
      <w:r>
        <w:rPr>
          <w:sz w:val="20"/>
        </w:rPr>
        <w:t>the</w:t>
      </w:r>
      <w:r>
        <w:rPr>
          <w:spacing w:val="-1"/>
          <w:sz w:val="20"/>
        </w:rPr>
        <w:t xml:space="preserve"> </w:t>
      </w:r>
      <w:r>
        <w:rPr>
          <w:sz w:val="20"/>
        </w:rPr>
        <w:t>stock or other securities (so-called “tipping”) is also a serious</w:t>
      </w:r>
      <w:r>
        <w:rPr>
          <w:spacing w:val="-1"/>
          <w:sz w:val="20"/>
        </w:rPr>
        <w:t xml:space="preserve"> </w:t>
      </w:r>
      <w:r>
        <w:rPr>
          <w:sz w:val="20"/>
        </w:rPr>
        <w:t>legal offense by</w:t>
      </w:r>
      <w:r>
        <w:rPr>
          <w:spacing w:val="-1"/>
          <w:sz w:val="20"/>
        </w:rPr>
        <w:t xml:space="preserve"> </w:t>
      </w:r>
      <w:r>
        <w:rPr>
          <w:sz w:val="20"/>
        </w:rPr>
        <w:t>the tipper</w:t>
      </w:r>
      <w:r>
        <w:rPr>
          <w:spacing w:val="-7"/>
          <w:sz w:val="20"/>
        </w:rPr>
        <w:t xml:space="preserve"> </w:t>
      </w:r>
      <w:r>
        <w:rPr>
          <w:sz w:val="20"/>
        </w:rPr>
        <w:t>and</w:t>
      </w:r>
      <w:r>
        <w:rPr>
          <w:spacing w:val="-8"/>
          <w:sz w:val="20"/>
        </w:rPr>
        <w:t xml:space="preserve"> </w:t>
      </w:r>
      <w:r>
        <w:rPr>
          <w:sz w:val="20"/>
        </w:rPr>
        <w:t>a</w:t>
      </w:r>
      <w:r>
        <w:rPr>
          <w:spacing w:val="-5"/>
          <w:sz w:val="20"/>
        </w:rPr>
        <w:t xml:space="preserve"> </w:t>
      </w:r>
      <w:r>
        <w:rPr>
          <w:sz w:val="20"/>
        </w:rPr>
        <w:t>violation</w:t>
      </w:r>
      <w:r>
        <w:rPr>
          <w:spacing w:val="-7"/>
          <w:sz w:val="20"/>
        </w:rPr>
        <w:t xml:space="preserve"> </w:t>
      </w:r>
      <w:r>
        <w:rPr>
          <w:sz w:val="20"/>
        </w:rPr>
        <w:t>of</w:t>
      </w:r>
      <w:r>
        <w:rPr>
          <w:spacing w:val="-7"/>
          <w:sz w:val="20"/>
        </w:rPr>
        <w:t xml:space="preserve"> </w:t>
      </w:r>
      <w:r>
        <w:rPr>
          <w:sz w:val="20"/>
        </w:rPr>
        <w:t>the</w:t>
      </w:r>
      <w:r>
        <w:rPr>
          <w:spacing w:val="-10"/>
          <w:sz w:val="20"/>
        </w:rPr>
        <w:t xml:space="preserve"> </w:t>
      </w:r>
      <w:r>
        <w:rPr>
          <w:sz w:val="20"/>
        </w:rPr>
        <w:t>terms</w:t>
      </w:r>
      <w:r>
        <w:rPr>
          <w:spacing w:val="-7"/>
          <w:sz w:val="20"/>
        </w:rPr>
        <w:t xml:space="preserve"> </w:t>
      </w:r>
      <w:r>
        <w:rPr>
          <w:sz w:val="20"/>
        </w:rPr>
        <w:t>of</w:t>
      </w:r>
      <w:r>
        <w:rPr>
          <w:spacing w:val="-9"/>
          <w:sz w:val="20"/>
        </w:rPr>
        <w:t xml:space="preserve"> </w:t>
      </w:r>
      <w:r>
        <w:rPr>
          <w:sz w:val="20"/>
        </w:rPr>
        <w:t>this</w:t>
      </w:r>
      <w:r>
        <w:rPr>
          <w:spacing w:val="-7"/>
          <w:sz w:val="20"/>
        </w:rPr>
        <w:t xml:space="preserve"> </w:t>
      </w:r>
      <w:r>
        <w:rPr>
          <w:sz w:val="20"/>
        </w:rPr>
        <w:t>Policy.</w:t>
      </w:r>
      <w:r>
        <w:rPr>
          <w:spacing w:val="-5"/>
          <w:sz w:val="20"/>
        </w:rPr>
        <w:t xml:space="preserve"> </w:t>
      </w:r>
      <w:r>
        <w:rPr>
          <w:sz w:val="20"/>
        </w:rPr>
        <w:t>If</w:t>
      </w:r>
      <w:r>
        <w:rPr>
          <w:spacing w:val="-7"/>
          <w:sz w:val="20"/>
        </w:rPr>
        <w:t xml:space="preserve"> </w:t>
      </w:r>
      <w:r>
        <w:rPr>
          <w:sz w:val="20"/>
        </w:rPr>
        <w:t>you</w:t>
      </w:r>
      <w:r>
        <w:rPr>
          <w:spacing w:val="-8"/>
          <w:sz w:val="20"/>
        </w:rPr>
        <w:t xml:space="preserve"> </w:t>
      </w:r>
      <w:r>
        <w:rPr>
          <w:sz w:val="20"/>
        </w:rPr>
        <w:t>disclose</w:t>
      </w:r>
      <w:r>
        <w:rPr>
          <w:spacing w:val="-7"/>
          <w:sz w:val="20"/>
        </w:rPr>
        <w:t xml:space="preserve"> </w:t>
      </w:r>
      <w:r>
        <w:rPr>
          <w:sz w:val="20"/>
        </w:rPr>
        <w:t>material</w:t>
      </w:r>
      <w:r>
        <w:rPr>
          <w:spacing w:val="-4"/>
          <w:sz w:val="20"/>
        </w:rPr>
        <w:t xml:space="preserve"> </w:t>
      </w:r>
      <w:r>
        <w:rPr>
          <w:sz w:val="20"/>
        </w:rPr>
        <w:t>non-public</w:t>
      </w:r>
      <w:r>
        <w:rPr>
          <w:spacing w:val="-7"/>
          <w:sz w:val="20"/>
        </w:rPr>
        <w:t xml:space="preserve"> </w:t>
      </w:r>
      <w:r>
        <w:rPr>
          <w:sz w:val="20"/>
        </w:rPr>
        <w:t>information</w:t>
      </w:r>
      <w:r>
        <w:rPr>
          <w:spacing w:val="-5"/>
          <w:sz w:val="20"/>
        </w:rPr>
        <w:t xml:space="preserve"> </w:t>
      </w:r>
      <w:r>
        <w:rPr>
          <w:sz w:val="20"/>
        </w:rPr>
        <w:t>about our Company, or</w:t>
      </w:r>
      <w:r>
        <w:rPr>
          <w:spacing w:val="-2"/>
          <w:sz w:val="20"/>
        </w:rPr>
        <w:t xml:space="preserve"> </w:t>
      </w:r>
      <w:r>
        <w:rPr>
          <w:sz w:val="20"/>
        </w:rPr>
        <w:t>material non-public</w:t>
      </w:r>
      <w:r>
        <w:rPr>
          <w:spacing w:val="-5"/>
          <w:sz w:val="20"/>
        </w:rPr>
        <w:t xml:space="preserve"> </w:t>
      </w:r>
      <w:r>
        <w:rPr>
          <w:sz w:val="20"/>
        </w:rPr>
        <w:t>information</w:t>
      </w:r>
      <w:r>
        <w:rPr>
          <w:spacing w:val="-3"/>
          <w:sz w:val="20"/>
        </w:rPr>
        <w:t xml:space="preserve"> </w:t>
      </w:r>
      <w:r>
        <w:rPr>
          <w:sz w:val="20"/>
        </w:rPr>
        <w:t>about</w:t>
      </w:r>
      <w:r>
        <w:rPr>
          <w:spacing w:val="-1"/>
          <w:sz w:val="20"/>
        </w:rPr>
        <w:t xml:space="preserve"> </w:t>
      </w:r>
      <w:r>
        <w:rPr>
          <w:sz w:val="20"/>
        </w:rPr>
        <w:t>any</w:t>
      </w:r>
      <w:r>
        <w:rPr>
          <w:spacing w:val="-3"/>
          <w:sz w:val="20"/>
        </w:rPr>
        <w:t xml:space="preserve"> </w:t>
      </w:r>
      <w:r>
        <w:rPr>
          <w:sz w:val="20"/>
        </w:rPr>
        <w:t>other public</w:t>
      </w:r>
      <w:r>
        <w:rPr>
          <w:spacing w:val="-2"/>
          <w:sz w:val="20"/>
        </w:rPr>
        <w:t xml:space="preserve"> </w:t>
      </w:r>
      <w:r>
        <w:rPr>
          <w:sz w:val="20"/>
        </w:rPr>
        <w:t>company</w:t>
      </w:r>
      <w:r>
        <w:rPr>
          <w:spacing w:val="-5"/>
          <w:sz w:val="20"/>
        </w:rPr>
        <w:t xml:space="preserve"> </w:t>
      </w:r>
      <w:r>
        <w:rPr>
          <w:sz w:val="20"/>
        </w:rPr>
        <w:t>which</w:t>
      </w:r>
      <w:r>
        <w:rPr>
          <w:spacing w:val="-3"/>
          <w:sz w:val="20"/>
        </w:rPr>
        <w:t xml:space="preserve"> </w:t>
      </w:r>
      <w:r>
        <w:rPr>
          <w:sz w:val="20"/>
        </w:rPr>
        <w:t>you</w:t>
      </w:r>
      <w:r>
        <w:rPr>
          <w:spacing w:val="-3"/>
          <w:sz w:val="20"/>
        </w:rPr>
        <w:t xml:space="preserve"> </w:t>
      </w:r>
      <w:r>
        <w:rPr>
          <w:sz w:val="20"/>
        </w:rPr>
        <w:t>acquire in connection with your employment or affiliation with our Company, or if you advise anyone to purchase or sell securities based upon such</w:t>
      </w:r>
      <w:r>
        <w:rPr>
          <w:spacing w:val="-3"/>
          <w:sz w:val="20"/>
        </w:rPr>
        <w:t xml:space="preserve"> </w:t>
      </w:r>
      <w:r>
        <w:rPr>
          <w:sz w:val="20"/>
        </w:rPr>
        <w:t>information, you may be fully</w:t>
      </w:r>
      <w:r>
        <w:rPr>
          <w:spacing w:val="-3"/>
          <w:sz w:val="20"/>
        </w:rPr>
        <w:t xml:space="preserve"> </w:t>
      </w:r>
      <w:r>
        <w:rPr>
          <w:sz w:val="20"/>
        </w:rPr>
        <w:t>responsible legally for the trading of the person receiving the information from you (your “tippee”) and even persons who receive the</w:t>
      </w:r>
      <w:r>
        <w:rPr>
          <w:spacing w:val="-1"/>
          <w:sz w:val="20"/>
        </w:rPr>
        <w:t xml:space="preserve"> </w:t>
      </w:r>
      <w:r>
        <w:rPr>
          <w:sz w:val="20"/>
        </w:rPr>
        <w:t>information directly</w:t>
      </w:r>
      <w:r>
        <w:rPr>
          <w:spacing w:val="-1"/>
          <w:sz w:val="20"/>
        </w:rPr>
        <w:t xml:space="preserve"> </w:t>
      </w:r>
      <w:r>
        <w:rPr>
          <w:sz w:val="20"/>
        </w:rPr>
        <w:t>or indirectly</w:t>
      </w:r>
      <w:r>
        <w:rPr>
          <w:spacing w:val="-1"/>
          <w:sz w:val="20"/>
        </w:rPr>
        <w:t xml:space="preserve"> </w:t>
      </w:r>
      <w:r>
        <w:rPr>
          <w:sz w:val="20"/>
        </w:rPr>
        <w:t>from your tippee, whether or not you are aware of any trading by such persons. Accordingly, in addition to your general obligations to maintain confidentiality</w:t>
      </w:r>
      <w:r>
        <w:rPr>
          <w:spacing w:val="-6"/>
          <w:sz w:val="20"/>
        </w:rPr>
        <w:t xml:space="preserve"> </w:t>
      </w:r>
      <w:r>
        <w:rPr>
          <w:sz w:val="20"/>
        </w:rPr>
        <w:t>of</w:t>
      </w:r>
      <w:r>
        <w:rPr>
          <w:spacing w:val="-6"/>
          <w:sz w:val="20"/>
        </w:rPr>
        <w:t xml:space="preserve"> </w:t>
      </w:r>
      <w:r>
        <w:rPr>
          <w:sz w:val="20"/>
        </w:rPr>
        <w:t>information</w:t>
      </w:r>
      <w:r>
        <w:rPr>
          <w:spacing w:val="-7"/>
          <w:sz w:val="20"/>
        </w:rPr>
        <w:t xml:space="preserve"> </w:t>
      </w:r>
      <w:r>
        <w:rPr>
          <w:sz w:val="20"/>
        </w:rPr>
        <w:t>obtained</w:t>
      </w:r>
      <w:r>
        <w:rPr>
          <w:spacing w:val="-7"/>
          <w:sz w:val="20"/>
        </w:rPr>
        <w:t xml:space="preserve"> </w:t>
      </w:r>
      <w:r>
        <w:rPr>
          <w:sz w:val="20"/>
        </w:rPr>
        <w:t>through</w:t>
      </w:r>
      <w:r>
        <w:rPr>
          <w:spacing w:val="-4"/>
          <w:sz w:val="20"/>
        </w:rPr>
        <w:t xml:space="preserve"> </w:t>
      </w:r>
      <w:r>
        <w:rPr>
          <w:sz w:val="20"/>
        </w:rPr>
        <w:t>your</w:t>
      </w:r>
      <w:r>
        <w:rPr>
          <w:spacing w:val="-6"/>
          <w:sz w:val="20"/>
        </w:rPr>
        <w:t xml:space="preserve"> </w:t>
      </w:r>
      <w:r>
        <w:rPr>
          <w:sz w:val="20"/>
        </w:rPr>
        <w:t>employment</w:t>
      </w:r>
      <w:r>
        <w:rPr>
          <w:spacing w:val="-3"/>
          <w:sz w:val="20"/>
        </w:rPr>
        <w:t xml:space="preserve"> </w:t>
      </w:r>
      <w:r>
        <w:rPr>
          <w:sz w:val="20"/>
        </w:rPr>
        <w:t>or</w:t>
      </w:r>
      <w:r>
        <w:rPr>
          <w:spacing w:val="-6"/>
          <w:sz w:val="20"/>
        </w:rPr>
        <w:t xml:space="preserve"> </w:t>
      </w:r>
      <w:r>
        <w:rPr>
          <w:sz w:val="20"/>
        </w:rPr>
        <w:t>affiliation</w:t>
      </w:r>
      <w:r>
        <w:rPr>
          <w:spacing w:val="-4"/>
          <w:sz w:val="20"/>
        </w:rPr>
        <w:t xml:space="preserve"> </w:t>
      </w:r>
      <w:r>
        <w:rPr>
          <w:sz w:val="20"/>
        </w:rPr>
        <w:t>with</w:t>
      </w:r>
      <w:r>
        <w:rPr>
          <w:spacing w:val="-7"/>
          <w:sz w:val="20"/>
        </w:rPr>
        <w:t xml:space="preserve"> </w:t>
      </w:r>
      <w:r>
        <w:rPr>
          <w:sz w:val="20"/>
        </w:rPr>
        <w:t>the</w:t>
      </w:r>
      <w:r>
        <w:rPr>
          <w:spacing w:val="-4"/>
          <w:sz w:val="20"/>
        </w:rPr>
        <w:t xml:space="preserve"> </w:t>
      </w:r>
      <w:r>
        <w:rPr>
          <w:sz w:val="20"/>
        </w:rPr>
        <w:t>Company</w:t>
      </w:r>
      <w:r>
        <w:rPr>
          <w:spacing w:val="-9"/>
          <w:sz w:val="20"/>
        </w:rPr>
        <w:t xml:space="preserve"> </w:t>
      </w:r>
      <w:r>
        <w:rPr>
          <w:sz w:val="20"/>
        </w:rPr>
        <w:t>and to refrain from</w:t>
      </w:r>
      <w:r>
        <w:rPr>
          <w:spacing w:val="-2"/>
          <w:sz w:val="20"/>
        </w:rPr>
        <w:t xml:space="preserve"> </w:t>
      </w:r>
      <w:r>
        <w:rPr>
          <w:sz w:val="20"/>
        </w:rPr>
        <w:t>trading</w:t>
      </w:r>
      <w:r>
        <w:rPr>
          <w:spacing w:val="-1"/>
          <w:sz w:val="20"/>
        </w:rPr>
        <w:t xml:space="preserve"> </w:t>
      </w:r>
      <w:r>
        <w:rPr>
          <w:sz w:val="20"/>
        </w:rPr>
        <w:t>while in possession of material</w:t>
      </w:r>
      <w:r>
        <w:rPr>
          <w:spacing w:val="-3"/>
          <w:sz w:val="20"/>
        </w:rPr>
        <w:t xml:space="preserve"> </w:t>
      </w:r>
      <w:r>
        <w:rPr>
          <w:sz w:val="20"/>
        </w:rPr>
        <w:t>non-public information, you must take utmost care not to discuss</w:t>
      </w:r>
      <w:r>
        <w:rPr>
          <w:spacing w:val="-1"/>
          <w:sz w:val="20"/>
        </w:rPr>
        <w:t xml:space="preserve"> </w:t>
      </w:r>
      <w:r>
        <w:rPr>
          <w:sz w:val="20"/>
        </w:rPr>
        <w:t>confidential or material non-public information with family members, friends or others who might abuse the information by trading in securities.</w:t>
      </w:r>
    </w:p>
    <w:p>
      <w:pPr>
        <w:pStyle w:val="TextBody"/>
        <w:bidi w:val="0"/>
        <w:spacing w:before="0" w:after="0"/>
        <w:jc w:val="center"/>
        <w:rPr>
          <w:sz w:val="20"/>
        </w:rPr>
      </w:pPr>
      <w:r>
        <w:rPr>
          <w:sz w:val="20"/>
        </w:rPr>
        <w:t>3</w:t>
      </w:r>
    </w:p>
    <w:p>
      <w:pPr>
        <w:pStyle w:val="HorizontalLine"/>
        <w:pBdr>
          <w:bottom w:val="double" w:sz="2" w:space="0" w:color="808080"/>
        </w:pBdr>
        <w:bidi w:val="0"/>
        <w:ind w:left="0" w:right="97" w:hanging="0"/>
        <w:jc w:val="center"/>
        <w:rPr/>
      </w:pPr>
      <w:r>
        <w:rPr/>
      </w:r>
    </w:p>
    <w:p>
      <w:pPr>
        <w:pStyle w:val="TextBody"/>
        <w:bidi w:val="0"/>
        <w:spacing w:lineRule="auto" w:line="14" w:before="0" w:after="0"/>
        <w:ind w:left="0" w:right="97" w:hanging="0"/>
        <w:jc w:val="left"/>
        <w:rPr/>
      </w:pPr>
      <w:r>
        <w:drawing>
          <wp:anchor behindDoc="0" distT="2611120" distB="0" distL="3252470" distR="0" simplePos="0" locked="0" layoutInCell="1" allowOverlap="1" relativeHeight="5">
            <wp:simplePos x="0" y="0"/>
            <wp:positionH relativeFrom="character">
              <wp:align>left</wp:align>
            </wp:positionH>
            <wp:positionV relativeFrom="line">
              <wp:align>top</wp:align>
            </wp:positionV>
            <wp:extent cx="161925" cy="180975"/>
            <wp:effectExtent l="0" t="0" r="0" b="0"/>
            <wp:wrapNone/>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2"/>
                    <a:stretch>
                      <a:fillRect/>
                    </a:stretch>
                  </pic:blipFill>
                  <pic:spPr bwMode="auto">
                    <a:xfrm>
                      <a:off x="0" y="0"/>
                      <a:ext cx="161925" cy="180975"/>
                    </a:xfrm>
                    <a:prstGeom prst="rect">
                      <a:avLst/>
                    </a:prstGeom>
                  </pic:spPr>
                </pic:pic>
              </a:graphicData>
            </a:graphic>
          </wp:anchor>
        </w:drawing>
      </w:r>
      <w:r>
        <w:rPr/>
        <w:t> </w:t>
      </w:r>
    </w:p>
    <w:p>
      <w:pPr>
        <w:pStyle w:val="TextBody"/>
        <w:bidi w:val="0"/>
        <w:spacing w:before="0" w:after="0"/>
        <w:ind w:left="21" w:right="186" w:firstLine="721"/>
        <w:jc w:val="left"/>
        <w:rPr>
          <w:sz w:val="20"/>
        </w:rPr>
      </w:pPr>
      <w:r>
        <w:rPr>
          <w:sz w:val="20"/>
        </w:rPr>
        <w:t>7.</w:t>
      </w:r>
      <w:r>
        <w:rPr>
          <w:caps w:val="false"/>
          <w:smallCaps w:val="false"/>
          <w:sz w:val="20"/>
        </w:rPr>
        <w:t xml:space="preserve">                    </w:t>
      </w:r>
      <w:r>
        <w:rPr>
          <w:sz w:val="20"/>
          <w:u w:val="single"/>
        </w:rPr>
        <w:t>Limitation</w:t>
      </w:r>
      <w:r>
        <w:rPr>
          <w:spacing w:val="-11"/>
          <w:sz w:val="20"/>
          <w:u w:val="single"/>
        </w:rPr>
        <w:t xml:space="preserve"> </w:t>
      </w:r>
      <w:r>
        <w:rPr>
          <w:sz w:val="20"/>
          <w:u w:val="single"/>
        </w:rPr>
        <w:t>on</w:t>
      </w:r>
      <w:r>
        <w:rPr>
          <w:spacing w:val="-11"/>
          <w:sz w:val="20"/>
          <w:u w:val="single"/>
        </w:rPr>
        <w:t xml:space="preserve"> </w:t>
      </w:r>
      <w:r>
        <w:rPr>
          <w:sz w:val="20"/>
          <w:u w:val="single"/>
        </w:rPr>
        <w:t>Certain</w:t>
      </w:r>
      <w:r>
        <w:rPr>
          <w:spacing w:val="-14"/>
          <w:sz w:val="20"/>
          <w:u w:val="single"/>
        </w:rPr>
        <w:t xml:space="preserve"> </w:t>
      </w:r>
      <w:r>
        <w:rPr>
          <w:sz w:val="20"/>
          <w:u w:val="single"/>
        </w:rPr>
        <w:t>Trading</w:t>
      </w:r>
      <w:r>
        <w:rPr>
          <w:spacing w:val="-14"/>
          <w:sz w:val="20"/>
          <w:u w:val="single"/>
        </w:rPr>
        <w:t xml:space="preserve"> </w:t>
      </w:r>
      <w:r>
        <w:rPr>
          <w:sz w:val="20"/>
          <w:u w:val="single"/>
        </w:rPr>
        <w:t>Activities</w:t>
      </w:r>
      <w:r>
        <w:rPr>
          <w:sz w:val="20"/>
        </w:rPr>
        <w:t>.</w:t>
      </w:r>
      <w:r>
        <w:rPr>
          <w:spacing w:val="32"/>
          <w:sz w:val="20"/>
        </w:rPr>
        <w:t xml:space="preserve"> </w:t>
      </w:r>
      <w:r>
        <w:rPr>
          <w:sz w:val="20"/>
        </w:rPr>
        <w:t>We</w:t>
      </w:r>
      <w:r>
        <w:rPr>
          <w:spacing w:val="-12"/>
          <w:sz w:val="20"/>
        </w:rPr>
        <w:t xml:space="preserve"> </w:t>
      </w:r>
      <w:r>
        <w:rPr>
          <w:sz w:val="20"/>
        </w:rPr>
        <w:t>encourage</w:t>
      </w:r>
      <w:r>
        <w:rPr>
          <w:spacing w:val="-12"/>
          <w:sz w:val="20"/>
        </w:rPr>
        <w:t xml:space="preserve"> </w:t>
      </w:r>
      <w:r>
        <w:rPr>
          <w:sz w:val="20"/>
        </w:rPr>
        <w:t>interested</w:t>
      </w:r>
      <w:r>
        <w:rPr>
          <w:spacing w:val="-11"/>
          <w:sz w:val="20"/>
        </w:rPr>
        <w:t xml:space="preserve"> </w:t>
      </w:r>
      <w:r>
        <w:rPr>
          <w:sz w:val="20"/>
        </w:rPr>
        <w:t>directors,</w:t>
      </w:r>
      <w:r>
        <w:rPr>
          <w:spacing w:val="-12"/>
          <w:sz w:val="20"/>
        </w:rPr>
        <w:t xml:space="preserve"> </w:t>
      </w:r>
      <w:r>
        <w:rPr>
          <w:sz w:val="20"/>
        </w:rPr>
        <w:t>officers and employees to own our securities as a long-term</w:t>
      </w:r>
      <w:r>
        <w:rPr>
          <w:spacing w:val="-2"/>
          <w:sz w:val="20"/>
        </w:rPr>
        <w:t xml:space="preserve"> </w:t>
      </w:r>
      <w:r>
        <w:rPr>
          <w:sz w:val="20"/>
        </w:rPr>
        <w:t>investment at levels consistent with their individual financial circumstance and risk bearing abilities (since ownership of any</w:t>
      </w:r>
      <w:r>
        <w:rPr>
          <w:spacing w:val="-4"/>
          <w:sz w:val="20"/>
        </w:rPr>
        <w:t xml:space="preserve"> </w:t>
      </w:r>
      <w:r>
        <w:rPr>
          <w:sz w:val="20"/>
        </w:rPr>
        <w:t>security entails risk). However, Company personnel (which shall include directors, officers and employees of the Company) may not trade in puts, calls or similar options on our stock or sell our stock “short.” Company personnel may not purchase financial instruments (including prepaid variable forward contracts,</w:t>
      </w:r>
      <w:r>
        <w:rPr>
          <w:spacing w:val="-1"/>
          <w:sz w:val="20"/>
        </w:rPr>
        <w:t xml:space="preserve"> </w:t>
      </w:r>
      <w:r>
        <w:rPr>
          <w:sz w:val="20"/>
        </w:rPr>
        <w:t>equity swaps,</w:t>
      </w:r>
      <w:r>
        <w:rPr>
          <w:spacing w:val="-1"/>
          <w:sz w:val="20"/>
        </w:rPr>
        <w:t xml:space="preserve"> </w:t>
      </w:r>
      <w:r>
        <w:rPr>
          <w:sz w:val="20"/>
        </w:rPr>
        <w:t>collars, and</w:t>
      </w:r>
      <w:r>
        <w:rPr>
          <w:spacing w:val="-1"/>
          <w:sz w:val="20"/>
        </w:rPr>
        <w:t xml:space="preserve"> </w:t>
      </w:r>
      <w:r>
        <w:rPr>
          <w:sz w:val="20"/>
        </w:rPr>
        <w:t>exchange funds) or otherwise engage in transactions that are designed</w:t>
      </w:r>
      <w:r>
        <w:rPr>
          <w:spacing w:val="-1"/>
          <w:sz w:val="20"/>
        </w:rPr>
        <w:t xml:space="preserve"> </w:t>
      </w:r>
      <w:r>
        <w:rPr>
          <w:sz w:val="20"/>
        </w:rPr>
        <w:t>to or have the effect of hedging</w:t>
      </w:r>
      <w:r>
        <w:rPr>
          <w:spacing w:val="-1"/>
          <w:sz w:val="20"/>
        </w:rPr>
        <w:t xml:space="preserve"> </w:t>
      </w:r>
      <w:r>
        <w:rPr>
          <w:sz w:val="20"/>
        </w:rPr>
        <w:t>or offsetting</w:t>
      </w:r>
      <w:r>
        <w:rPr>
          <w:spacing w:val="-1"/>
          <w:sz w:val="20"/>
        </w:rPr>
        <w:t xml:space="preserve"> </w:t>
      </w:r>
      <w:r>
        <w:rPr>
          <w:sz w:val="20"/>
        </w:rPr>
        <w:t>any decrease</w:t>
      </w:r>
      <w:r>
        <w:rPr>
          <w:spacing w:val="-1"/>
          <w:sz w:val="20"/>
        </w:rPr>
        <w:t xml:space="preserve"> </w:t>
      </w:r>
      <w:r>
        <w:rPr>
          <w:sz w:val="20"/>
        </w:rPr>
        <w:t>in the market value of our securities. (You may, of course, exercise any stock options granted to you by the Company as described in Section 9 below.)</w:t>
      </w:r>
    </w:p>
    <w:p>
      <w:pPr>
        <w:pStyle w:val="TextBody"/>
        <w:bidi w:val="0"/>
        <w:spacing w:before="238" w:after="0"/>
        <w:ind w:left="22" w:right="170" w:firstLine="720"/>
        <w:jc w:val="left"/>
        <w:rPr>
          <w:sz w:val="20"/>
        </w:rPr>
      </w:pPr>
      <w:r>
        <w:rPr>
          <w:sz w:val="20"/>
        </w:rPr>
        <w:t>8.</w:t>
      </w:r>
      <w:r>
        <w:rPr>
          <w:caps w:val="false"/>
          <w:smallCaps w:val="false"/>
          <w:sz w:val="20"/>
        </w:rPr>
        <w:t xml:space="preserve">                    </w:t>
      </w:r>
      <w:r>
        <w:rPr>
          <w:sz w:val="20"/>
          <w:u w:val="single"/>
        </w:rPr>
        <w:t>Margin Accounts and Pledges</w:t>
      </w:r>
      <w:r>
        <w:rPr>
          <w:sz w:val="20"/>
        </w:rPr>
        <w:t>.</w:t>
      </w:r>
      <w:r>
        <w:rPr>
          <w:spacing w:val="40"/>
          <w:sz w:val="20"/>
        </w:rPr>
        <w:t xml:space="preserve"> </w:t>
      </w:r>
      <w:r>
        <w:rPr>
          <w:sz w:val="20"/>
        </w:rPr>
        <w:t>Securities held in a margin account may be sold by the broker without the customer’s consent if the customer fails to</w:t>
      </w:r>
      <w:r>
        <w:rPr>
          <w:spacing w:val="-1"/>
          <w:sz w:val="20"/>
        </w:rPr>
        <w:t xml:space="preserve"> </w:t>
      </w:r>
      <w:r>
        <w:rPr>
          <w:sz w:val="20"/>
        </w:rPr>
        <w:t>meet a margin call. Similarly, securities</w:t>
      </w:r>
      <w:r>
        <w:rPr>
          <w:spacing w:val="-7"/>
          <w:sz w:val="20"/>
        </w:rPr>
        <w:t xml:space="preserve"> </w:t>
      </w:r>
      <w:r>
        <w:rPr>
          <w:sz w:val="20"/>
        </w:rPr>
        <w:t>pledged</w:t>
      </w:r>
      <w:r>
        <w:rPr>
          <w:spacing w:val="-8"/>
          <w:sz w:val="20"/>
        </w:rPr>
        <w:t xml:space="preserve"> </w:t>
      </w:r>
      <w:r>
        <w:rPr>
          <w:sz w:val="20"/>
        </w:rPr>
        <w:t>(or</w:t>
      </w:r>
      <w:r>
        <w:rPr>
          <w:spacing w:val="-7"/>
          <w:sz w:val="20"/>
        </w:rPr>
        <w:t xml:space="preserve"> </w:t>
      </w:r>
      <w:r>
        <w:rPr>
          <w:sz w:val="20"/>
        </w:rPr>
        <w:t>hypothecated)</w:t>
      </w:r>
      <w:r>
        <w:rPr>
          <w:spacing w:val="-4"/>
          <w:sz w:val="20"/>
        </w:rPr>
        <w:t xml:space="preserve"> </w:t>
      </w:r>
      <w:r>
        <w:rPr>
          <w:sz w:val="20"/>
        </w:rPr>
        <w:t>as</w:t>
      </w:r>
      <w:r>
        <w:rPr>
          <w:spacing w:val="-7"/>
          <w:sz w:val="20"/>
        </w:rPr>
        <w:t xml:space="preserve"> </w:t>
      </w:r>
      <w:r>
        <w:rPr>
          <w:sz w:val="20"/>
        </w:rPr>
        <w:t>collateral</w:t>
      </w:r>
      <w:r>
        <w:rPr>
          <w:spacing w:val="-9"/>
          <w:sz w:val="20"/>
        </w:rPr>
        <w:t xml:space="preserve"> </w:t>
      </w:r>
      <w:r>
        <w:rPr>
          <w:sz w:val="20"/>
        </w:rPr>
        <w:t>for</w:t>
      </w:r>
      <w:r>
        <w:rPr>
          <w:spacing w:val="-4"/>
          <w:sz w:val="20"/>
        </w:rPr>
        <w:t xml:space="preserve"> </w:t>
      </w:r>
      <w:r>
        <w:rPr>
          <w:sz w:val="20"/>
        </w:rPr>
        <w:t>a</w:t>
      </w:r>
      <w:r>
        <w:rPr>
          <w:spacing w:val="-10"/>
          <w:sz w:val="20"/>
        </w:rPr>
        <w:t xml:space="preserve"> </w:t>
      </w:r>
      <w:r>
        <w:rPr>
          <w:sz w:val="20"/>
        </w:rPr>
        <w:t>loan</w:t>
      </w:r>
      <w:r>
        <w:rPr>
          <w:spacing w:val="-5"/>
          <w:sz w:val="20"/>
        </w:rPr>
        <w:t xml:space="preserve"> </w:t>
      </w:r>
      <w:r>
        <w:rPr>
          <w:sz w:val="20"/>
        </w:rPr>
        <w:t>may</w:t>
      </w:r>
      <w:r>
        <w:rPr>
          <w:spacing w:val="-10"/>
          <w:sz w:val="20"/>
        </w:rPr>
        <w:t xml:space="preserve"> </w:t>
      </w:r>
      <w:r>
        <w:rPr>
          <w:sz w:val="20"/>
        </w:rPr>
        <w:t>be</w:t>
      </w:r>
      <w:r>
        <w:rPr>
          <w:spacing w:val="-5"/>
          <w:sz w:val="20"/>
        </w:rPr>
        <w:t xml:space="preserve"> </w:t>
      </w:r>
      <w:r>
        <w:rPr>
          <w:sz w:val="20"/>
        </w:rPr>
        <w:t>sold</w:t>
      </w:r>
      <w:r>
        <w:rPr>
          <w:spacing w:val="-8"/>
          <w:sz w:val="20"/>
        </w:rPr>
        <w:t xml:space="preserve"> </w:t>
      </w:r>
      <w:r>
        <w:rPr>
          <w:sz w:val="20"/>
        </w:rPr>
        <w:t>in</w:t>
      </w:r>
      <w:r>
        <w:rPr>
          <w:spacing w:val="-10"/>
          <w:sz w:val="20"/>
        </w:rPr>
        <w:t xml:space="preserve"> </w:t>
      </w:r>
      <w:r>
        <w:rPr>
          <w:sz w:val="20"/>
        </w:rPr>
        <w:t>foreclosure</w:t>
      </w:r>
      <w:r>
        <w:rPr>
          <w:spacing w:val="-10"/>
          <w:sz w:val="20"/>
        </w:rPr>
        <w:t xml:space="preserve"> </w:t>
      </w:r>
      <w:r>
        <w:rPr>
          <w:sz w:val="20"/>
        </w:rPr>
        <w:t>if</w:t>
      </w:r>
      <w:r>
        <w:rPr>
          <w:spacing w:val="-9"/>
          <w:sz w:val="20"/>
        </w:rPr>
        <w:t xml:space="preserve"> </w:t>
      </w:r>
      <w:r>
        <w:rPr>
          <w:sz w:val="20"/>
        </w:rPr>
        <w:t>the</w:t>
      </w:r>
      <w:r>
        <w:rPr>
          <w:spacing w:val="-7"/>
          <w:sz w:val="20"/>
        </w:rPr>
        <w:t xml:space="preserve"> </w:t>
      </w:r>
      <w:r>
        <w:rPr>
          <w:sz w:val="20"/>
        </w:rPr>
        <w:t>borrower defaults on</w:t>
      </w:r>
      <w:r>
        <w:rPr>
          <w:spacing w:val="-3"/>
          <w:sz w:val="20"/>
        </w:rPr>
        <w:t xml:space="preserve"> </w:t>
      </w:r>
      <w:r>
        <w:rPr>
          <w:sz w:val="20"/>
        </w:rPr>
        <w:t>the</w:t>
      </w:r>
      <w:r>
        <w:rPr>
          <w:spacing w:val="-5"/>
          <w:sz w:val="20"/>
        </w:rPr>
        <w:t xml:space="preserve"> </w:t>
      </w:r>
      <w:r>
        <w:rPr>
          <w:sz w:val="20"/>
        </w:rPr>
        <w:t>loan. A</w:t>
      </w:r>
      <w:r>
        <w:rPr>
          <w:spacing w:val="-4"/>
          <w:sz w:val="20"/>
        </w:rPr>
        <w:t xml:space="preserve"> </w:t>
      </w:r>
      <w:r>
        <w:rPr>
          <w:sz w:val="20"/>
        </w:rPr>
        <w:t>margin</w:t>
      </w:r>
      <w:r>
        <w:rPr>
          <w:spacing w:val="-3"/>
          <w:sz w:val="20"/>
        </w:rPr>
        <w:t xml:space="preserve"> </w:t>
      </w:r>
      <w:r>
        <w:rPr>
          <w:sz w:val="20"/>
        </w:rPr>
        <w:t>sale</w:t>
      </w:r>
      <w:r>
        <w:rPr>
          <w:spacing w:val="-2"/>
          <w:sz w:val="20"/>
        </w:rPr>
        <w:t xml:space="preserve"> </w:t>
      </w:r>
      <w:r>
        <w:rPr>
          <w:sz w:val="20"/>
        </w:rPr>
        <w:t>or</w:t>
      </w:r>
      <w:r>
        <w:rPr>
          <w:spacing w:val="-4"/>
          <w:sz w:val="20"/>
        </w:rPr>
        <w:t xml:space="preserve"> </w:t>
      </w:r>
      <w:r>
        <w:rPr>
          <w:sz w:val="20"/>
        </w:rPr>
        <w:t>foreclosure</w:t>
      </w:r>
      <w:r>
        <w:rPr>
          <w:spacing w:val="-2"/>
          <w:sz w:val="20"/>
        </w:rPr>
        <w:t xml:space="preserve"> </w:t>
      </w:r>
      <w:r>
        <w:rPr>
          <w:sz w:val="20"/>
        </w:rPr>
        <w:t>sale</w:t>
      </w:r>
      <w:r>
        <w:rPr>
          <w:spacing w:val="-7"/>
          <w:sz w:val="20"/>
        </w:rPr>
        <w:t xml:space="preserve"> </w:t>
      </w:r>
      <w:r>
        <w:rPr>
          <w:sz w:val="20"/>
        </w:rPr>
        <w:t>may</w:t>
      </w:r>
      <w:r>
        <w:rPr>
          <w:spacing w:val="-5"/>
          <w:sz w:val="20"/>
        </w:rPr>
        <w:t xml:space="preserve"> </w:t>
      </w:r>
      <w:r>
        <w:rPr>
          <w:sz w:val="20"/>
        </w:rPr>
        <w:t>occur</w:t>
      </w:r>
      <w:r>
        <w:rPr>
          <w:spacing w:val="-2"/>
          <w:sz w:val="20"/>
        </w:rPr>
        <w:t xml:space="preserve"> </w:t>
      </w:r>
      <w:r>
        <w:rPr>
          <w:sz w:val="20"/>
        </w:rPr>
        <w:t>at a</w:t>
      </w:r>
      <w:r>
        <w:rPr>
          <w:spacing w:val="-5"/>
          <w:sz w:val="20"/>
        </w:rPr>
        <w:t xml:space="preserve"> </w:t>
      </w:r>
      <w:r>
        <w:rPr>
          <w:sz w:val="20"/>
        </w:rPr>
        <w:t>time when</w:t>
      </w:r>
      <w:r>
        <w:rPr>
          <w:spacing w:val="-3"/>
          <w:sz w:val="20"/>
        </w:rPr>
        <w:t xml:space="preserve"> </w:t>
      </w:r>
      <w:r>
        <w:rPr>
          <w:sz w:val="20"/>
        </w:rPr>
        <w:t>the</w:t>
      </w:r>
      <w:r>
        <w:rPr>
          <w:spacing w:val="-2"/>
          <w:sz w:val="20"/>
        </w:rPr>
        <w:t xml:space="preserve"> </w:t>
      </w:r>
      <w:r>
        <w:rPr>
          <w:sz w:val="20"/>
        </w:rPr>
        <w:t>pledgor</w:t>
      </w:r>
      <w:r>
        <w:rPr>
          <w:spacing w:val="-2"/>
          <w:sz w:val="20"/>
        </w:rPr>
        <w:t xml:space="preserve"> </w:t>
      </w:r>
      <w:r>
        <w:rPr>
          <w:sz w:val="20"/>
        </w:rPr>
        <w:t>is</w:t>
      </w:r>
      <w:r>
        <w:rPr>
          <w:spacing w:val="-5"/>
          <w:sz w:val="20"/>
        </w:rPr>
        <w:t xml:space="preserve"> </w:t>
      </w:r>
      <w:r>
        <w:rPr>
          <w:sz w:val="20"/>
        </w:rPr>
        <w:t>aware of material non-public</w:t>
      </w:r>
      <w:r>
        <w:rPr>
          <w:spacing w:val="-1"/>
          <w:sz w:val="20"/>
        </w:rPr>
        <w:t xml:space="preserve"> </w:t>
      </w:r>
      <w:r>
        <w:rPr>
          <w:sz w:val="20"/>
        </w:rPr>
        <w:t>information or otherwise is not permitted to</w:t>
      </w:r>
      <w:r>
        <w:rPr>
          <w:spacing w:val="-1"/>
          <w:sz w:val="20"/>
        </w:rPr>
        <w:t xml:space="preserve"> </w:t>
      </w:r>
      <w:r>
        <w:rPr>
          <w:sz w:val="20"/>
        </w:rPr>
        <w:t>trade in Company</w:t>
      </w:r>
      <w:r>
        <w:rPr>
          <w:spacing w:val="-1"/>
          <w:sz w:val="20"/>
        </w:rPr>
        <w:t xml:space="preserve"> </w:t>
      </w:r>
      <w:r>
        <w:rPr>
          <w:sz w:val="20"/>
        </w:rPr>
        <w:t>securities.</w:t>
      </w:r>
    </w:p>
    <w:p>
      <w:pPr>
        <w:pStyle w:val="TextBody"/>
        <w:bidi w:val="0"/>
        <w:spacing w:before="240" w:after="0"/>
        <w:ind w:left="22" w:right="97" w:firstLine="718"/>
        <w:jc w:val="left"/>
        <w:rPr>
          <w:sz w:val="20"/>
        </w:rPr>
      </w:pPr>
      <w:r>
        <w:rPr>
          <w:sz w:val="20"/>
        </w:rPr>
        <w:t>Consequently,</w:t>
      </w:r>
      <w:r>
        <w:rPr>
          <w:spacing w:val="-3"/>
          <w:sz w:val="20"/>
        </w:rPr>
        <w:t xml:space="preserve"> </w:t>
      </w:r>
      <w:r>
        <w:rPr>
          <w:sz w:val="20"/>
        </w:rPr>
        <w:t>you</w:t>
      </w:r>
      <w:r>
        <w:rPr>
          <w:spacing w:val="-4"/>
          <w:sz w:val="20"/>
        </w:rPr>
        <w:t xml:space="preserve"> </w:t>
      </w:r>
      <w:r>
        <w:rPr>
          <w:sz w:val="20"/>
        </w:rPr>
        <w:t>are</w:t>
      </w:r>
      <w:r>
        <w:rPr>
          <w:spacing w:val="-3"/>
          <w:sz w:val="20"/>
        </w:rPr>
        <w:t xml:space="preserve"> </w:t>
      </w:r>
      <w:r>
        <w:rPr>
          <w:sz w:val="20"/>
        </w:rPr>
        <w:t>discouraged</w:t>
      </w:r>
      <w:r>
        <w:rPr>
          <w:spacing w:val="-3"/>
          <w:sz w:val="20"/>
        </w:rPr>
        <w:t xml:space="preserve"> </w:t>
      </w:r>
      <w:r>
        <w:rPr>
          <w:sz w:val="20"/>
        </w:rPr>
        <w:t>from</w:t>
      </w:r>
      <w:r>
        <w:rPr>
          <w:spacing w:val="-5"/>
          <w:sz w:val="20"/>
        </w:rPr>
        <w:t xml:space="preserve"> </w:t>
      </w:r>
      <w:r>
        <w:rPr>
          <w:sz w:val="20"/>
        </w:rPr>
        <w:t>holding</w:t>
      </w:r>
      <w:r>
        <w:rPr>
          <w:spacing w:val="-4"/>
          <w:sz w:val="20"/>
        </w:rPr>
        <w:t xml:space="preserve"> </w:t>
      </w:r>
      <w:r>
        <w:rPr>
          <w:sz w:val="20"/>
        </w:rPr>
        <w:t>Company</w:t>
      </w:r>
      <w:r>
        <w:rPr>
          <w:spacing w:val="-6"/>
          <w:sz w:val="20"/>
        </w:rPr>
        <w:t xml:space="preserve"> </w:t>
      </w:r>
      <w:r>
        <w:rPr>
          <w:sz w:val="20"/>
        </w:rPr>
        <w:t>securities</w:t>
      </w:r>
      <w:r>
        <w:rPr>
          <w:spacing w:val="-3"/>
          <w:sz w:val="20"/>
        </w:rPr>
        <w:t xml:space="preserve"> </w:t>
      </w:r>
      <w:r>
        <w:rPr>
          <w:sz w:val="20"/>
        </w:rPr>
        <w:t>in</w:t>
      </w:r>
      <w:r>
        <w:rPr>
          <w:spacing w:val="-6"/>
          <w:sz w:val="20"/>
        </w:rPr>
        <w:t xml:space="preserve"> </w:t>
      </w:r>
      <w:r>
        <w:rPr>
          <w:sz w:val="20"/>
        </w:rPr>
        <w:t>a</w:t>
      </w:r>
      <w:r>
        <w:rPr>
          <w:spacing w:val="-3"/>
          <w:sz w:val="20"/>
        </w:rPr>
        <w:t xml:space="preserve"> </w:t>
      </w:r>
      <w:r>
        <w:rPr>
          <w:sz w:val="20"/>
        </w:rPr>
        <w:t>margin</w:t>
      </w:r>
      <w:r>
        <w:rPr>
          <w:spacing w:val="-4"/>
          <w:sz w:val="20"/>
        </w:rPr>
        <w:t xml:space="preserve"> </w:t>
      </w:r>
      <w:r>
        <w:rPr>
          <w:sz w:val="20"/>
        </w:rPr>
        <w:t>account or pledging</w:t>
      </w:r>
      <w:r>
        <w:rPr>
          <w:spacing w:val="-8"/>
          <w:sz w:val="20"/>
        </w:rPr>
        <w:t xml:space="preserve"> </w:t>
      </w:r>
      <w:r>
        <w:rPr>
          <w:sz w:val="20"/>
        </w:rPr>
        <w:t>Company</w:t>
      </w:r>
      <w:r>
        <w:rPr>
          <w:spacing w:val="-11"/>
          <w:sz w:val="20"/>
        </w:rPr>
        <w:t xml:space="preserve"> </w:t>
      </w:r>
      <w:r>
        <w:rPr>
          <w:sz w:val="20"/>
        </w:rPr>
        <w:t>securities</w:t>
      </w:r>
      <w:r>
        <w:rPr>
          <w:spacing w:val="-6"/>
          <w:sz w:val="20"/>
        </w:rPr>
        <w:t xml:space="preserve"> </w:t>
      </w:r>
      <w:r>
        <w:rPr>
          <w:sz w:val="20"/>
        </w:rPr>
        <w:t>as</w:t>
      </w:r>
      <w:r>
        <w:rPr>
          <w:spacing w:val="-11"/>
          <w:sz w:val="20"/>
        </w:rPr>
        <w:t xml:space="preserve"> </w:t>
      </w:r>
      <w:r>
        <w:rPr>
          <w:sz w:val="20"/>
        </w:rPr>
        <w:t>collateral</w:t>
      </w:r>
      <w:r>
        <w:rPr>
          <w:spacing w:val="-8"/>
          <w:sz w:val="20"/>
        </w:rPr>
        <w:t xml:space="preserve"> </w:t>
      </w:r>
      <w:r>
        <w:rPr>
          <w:sz w:val="20"/>
        </w:rPr>
        <w:t>for</w:t>
      </w:r>
      <w:r>
        <w:rPr>
          <w:spacing w:val="-8"/>
          <w:sz w:val="20"/>
        </w:rPr>
        <w:t xml:space="preserve"> </w:t>
      </w:r>
      <w:r>
        <w:rPr>
          <w:sz w:val="20"/>
        </w:rPr>
        <w:t>a</w:t>
      </w:r>
      <w:r>
        <w:rPr>
          <w:spacing w:val="-8"/>
          <w:sz w:val="20"/>
        </w:rPr>
        <w:t xml:space="preserve"> </w:t>
      </w:r>
      <w:r>
        <w:rPr>
          <w:sz w:val="20"/>
        </w:rPr>
        <w:t>loan.</w:t>
      </w:r>
      <w:r>
        <w:rPr>
          <w:spacing w:val="-6"/>
          <w:sz w:val="20"/>
        </w:rPr>
        <w:t xml:space="preserve"> </w:t>
      </w:r>
      <w:r>
        <w:rPr>
          <w:sz w:val="20"/>
        </w:rPr>
        <w:t>In</w:t>
      </w:r>
      <w:r>
        <w:rPr>
          <w:spacing w:val="-9"/>
          <w:sz w:val="20"/>
        </w:rPr>
        <w:t xml:space="preserve"> </w:t>
      </w:r>
      <w:r>
        <w:rPr>
          <w:sz w:val="20"/>
        </w:rPr>
        <w:t>addition,</w:t>
      </w:r>
      <w:r>
        <w:rPr>
          <w:spacing w:val="-9"/>
          <w:sz w:val="20"/>
        </w:rPr>
        <w:t xml:space="preserve"> </w:t>
      </w:r>
      <w:r>
        <w:rPr>
          <w:sz w:val="20"/>
        </w:rPr>
        <w:t>persons</w:t>
      </w:r>
      <w:r>
        <w:rPr>
          <w:spacing w:val="-8"/>
          <w:sz w:val="20"/>
        </w:rPr>
        <w:t xml:space="preserve"> </w:t>
      </w:r>
      <w:r>
        <w:rPr>
          <w:sz w:val="20"/>
        </w:rPr>
        <w:t>subject</w:t>
      </w:r>
      <w:r>
        <w:rPr>
          <w:spacing w:val="-8"/>
          <w:sz w:val="20"/>
        </w:rPr>
        <w:t xml:space="preserve"> </w:t>
      </w:r>
      <w:r>
        <w:rPr>
          <w:sz w:val="20"/>
        </w:rPr>
        <w:t>to</w:t>
      </w:r>
      <w:r>
        <w:rPr>
          <w:spacing w:val="-9"/>
          <w:sz w:val="20"/>
        </w:rPr>
        <w:t xml:space="preserve"> </w:t>
      </w:r>
      <w:r>
        <w:rPr>
          <w:sz w:val="20"/>
        </w:rPr>
        <w:t>the</w:t>
      </w:r>
      <w:r>
        <w:rPr>
          <w:spacing w:val="-8"/>
          <w:sz w:val="20"/>
        </w:rPr>
        <w:t xml:space="preserve"> </w:t>
      </w:r>
      <w:r>
        <w:rPr>
          <w:sz w:val="20"/>
        </w:rPr>
        <w:t>Addendum</w:t>
      </w:r>
      <w:r>
        <w:rPr>
          <w:spacing w:val="-10"/>
          <w:sz w:val="20"/>
        </w:rPr>
        <w:t xml:space="preserve"> </w:t>
      </w:r>
      <w:r>
        <w:rPr>
          <w:sz w:val="20"/>
        </w:rPr>
        <w:t>as described below are prohibited from holding Company</w:t>
      </w:r>
      <w:r>
        <w:rPr>
          <w:spacing w:val="-2"/>
          <w:sz w:val="20"/>
        </w:rPr>
        <w:t xml:space="preserve"> </w:t>
      </w:r>
      <w:r>
        <w:rPr>
          <w:sz w:val="20"/>
        </w:rPr>
        <w:t>securities in a margin account and are restricted from pledging Company securities as collateral for a loan as described in the Addendum.</w:t>
      </w:r>
    </w:p>
    <w:p>
      <w:pPr>
        <w:pStyle w:val="TextBody"/>
        <w:bidi w:val="0"/>
        <w:spacing w:before="241" w:after="0"/>
        <w:ind w:left="23" w:right="938" w:firstLine="720"/>
        <w:jc w:val="left"/>
        <w:rPr>
          <w:sz w:val="20"/>
        </w:rPr>
      </w:pPr>
      <w:r>
        <w:rPr>
          <w:sz w:val="20"/>
        </w:rPr>
        <w:t>9.</w:t>
      </w:r>
      <w:r>
        <w:rPr>
          <w:caps w:val="false"/>
          <w:smallCaps w:val="false"/>
          <w:sz w:val="20"/>
        </w:rPr>
        <w:t xml:space="preserve">                    </w:t>
      </w:r>
      <w:r>
        <w:rPr>
          <w:sz w:val="20"/>
          <w:u w:val="single"/>
        </w:rPr>
        <w:t>Transactions</w:t>
      </w:r>
      <w:r>
        <w:rPr>
          <w:spacing w:val="-9"/>
          <w:sz w:val="20"/>
          <w:u w:val="single"/>
        </w:rPr>
        <w:t xml:space="preserve"> </w:t>
      </w:r>
      <w:r>
        <w:rPr>
          <w:sz w:val="20"/>
          <w:u w:val="single"/>
        </w:rPr>
        <w:t>under</w:t>
      </w:r>
      <w:r>
        <w:rPr>
          <w:spacing w:val="-7"/>
          <w:sz w:val="20"/>
          <w:u w:val="single"/>
        </w:rPr>
        <w:t xml:space="preserve"> </w:t>
      </w:r>
      <w:r>
        <w:rPr>
          <w:sz w:val="20"/>
          <w:u w:val="single"/>
        </w:rPr>
        <w:t>Company</w:t>
      </w:r>
      <w:r>
        <w:rPr>
          <w:spacing w:val="-11"/>
          <w:sz w:val="20"/>
          <w:u w:val="single"/>
        </w:rPr>
        <w:t xml:space="preserve"> </w:t>
      </w:r>
      <w:r>
        <w:rPr>
          <w:sz w:val="20"/>
          <w:u w:val="single"/>
        </w:rPr>
        <w:t>Stock</w:t>
      </w:r>
      <w:r>
        <w:rPr>
          <w:spacing w:val="-13"/>
          <w:sz w:val="20"/>
          <w:u w:val="single"/>
        </w:rPr>
        <w:t xml:space="preserve"> </w:t>
      </w:r>
      <w:r>
        <w:rPr>
          <w:sz w:val="20"/>
          <w:u w:val="single"/>
        </w:rPr>
        <w:t>Plans</w:t>
      </w:r>
      <w:r>
        <w:rPr>
          <w:sz w:val="20"/>
        </w:rPr>
        <w:t>.</w:t>
      </w:r>
      <w:r>
        <w:rPr>
          <w:spacing w:val="39"/>
          <w:sz w:val="20"/>
        </w:rPr>
        <w:t xml:space="preserve"> </w:t>
      </w:r>
      <w:r>
        <w:rPr>
          <w:sz w:val="20"/>
        </w:rPr>
        <w:t>Certain</w:t>
      </w:r>
      <w:r>
        <w:rPr>
          <w:spacing w:val="-14"/>
          <w:sz w:val="20"/>
        </w:rPr>
        <w:t xml:space="preserve"> </w:t>
      </w:r>
      <w:r>
        <w:rPr>
          <w:sz w:val="20"/>
        </w:rPr>
        <w:t>transactions</w:t>
      </w:r>
      <w:r>
        <w:rPr>
          <w:spacing w:val="-10"/>
          <w:sz w:val="20"/>
        </w:rPr>
        <w:t xml:space="preserve"> </w:t>
      </w:r>
      <w:r>
        <w:rPr>
          <w:sz w:val="20"/>
        </w:rPr>
        <w:t>in</w:t>
      </w:r>
      <w:r>
        <w:rPr>
          <w:spacing w:val="-11"/>
          <w:sz w:val="20"/>
        </w:rPr>
        <w:t xml:space="preserve"> </w:t>
      </w:r>
      <w:r>
        <w:rPr>
          <w:sz w:val="20"/>
        </w:rPr>
        <w:t>Company securities relating to Company stock plans are restricted under this Policy:</w:t>
      </w:r>
    </w:p>
    <w:p>
      <w:pPr>
        <w:pStyle w:val="TextBody"/>
        <w:bidi w:val="0"/>
        <w:spacing w:before="242" w:after="0"/>
        <w:ind w:left="741" w:right="100" w:firstLine="721"/>
        <w:jc w:val="left"/>
        <w:rPr>
          <w:sz w:val="20"/>
        </w:rPr>
      </w:pPr>
      <w:r>
        <w:rPr>
          <w:sz w:val="20"/>
        </w:rPr>
        <w:t>(a)</w:t>
      </w:r>
      <w:r>
        <w:rPr>
          <w:caps w:val="false"/>
          <w:smallCaps w:val="false"/>
          <w:sz w:val="20"/>
        </w:rPr>
        <w:t xml:space="preserve">                 </w:t>
      </w:r>
      <w:r>
        <w:rPr>
          <w:sz w:val="20"/>
          <w:u w:val="single"/>
        </w:rPr>
        <w:t>Stock Option Exercises; Tax Withholding</w:t>
      </w:r>
      <w:r>
        <w:rPr>
          <w:sz w:val="20"/>
        </w:rPr>
        <w:t>.</w:t>
      </w:r>
      <w:r>
        <w:rPr>
          <w:spacing w:val="40"/>
          <w:sz w:val="20"/>
        </w:rPr>
        <w:t xml:space="preserve"> </w:t>
      </w:r>
      <w:r>
        <w:rPr>
          <w:sz w:val="20"/>
        </w:rPr>
        <w:t>This Policy’s trading restrictions generally do not apply to the exercise of a stock option</w:t>
      </w:r>
      <w:r>
        <w:rPr>
          <w:spacing w:val="-3"/>
          <w:sz w:val="20"/>
        </w:rPr>
        <w:t xml:space="preserve"> </w:t>
      </w:r>
      <w:r>
        <w:rPr>
          <w:sz w:val="20"/>
        </w:rPr>
        <w:t>for cash. However, you may not sell the</w:t>
      </w:r>
      <w:r>
        <w:rPr>
          <w:spacing w:val="-6"/>
          <w:sz w:val="20"/>
        </w:rPr>
        <w:t xml:space="preserve"> </w:t>
      </w:r>
      <w:r>
        <w:rPr>
          <w:sz w:val="20"/>
        </w:rPr>
        <w:t>underlying</w:t>
      </w:r>
      <w:r>
        <w:rPr>
          <w:spacing w:val="-9"/>
          <w:sz w:val="20"/>
        </w:rPr>
        <w:t xml:space="preserve"> </w:t>
      </w:r>
      <w:r>
        <w:rPr>
          <w:sz w:val="20"/>
        </w:rPr>
        <w:t>shares</w:t>
      </w:r>
      <w:r>
        <w:rPr>
          <w:spacing w:val="-4"/>
          <w:sz w:val="20"/>
        </w:rPr>
        <w:t xml:space="preserve"> </w:t>
      </w:r>
      <w:r>
        <w:rPr>
          <w:sz w:val="20"/>
        </w:rPr>
        <w:t>of</w:t>
      </w:r>
      <w:r>
        <w:rPr>
          <w:spacing w:val="-8"/>
          <w:sz w:val="20"/>
        </w:rPr>
        <w:t xml:space="preserve"> </w:t>
      </w:r>
      <w:r>
        <w:rPr>
          <w:sz w:val="20"/>
        </w:rPr>
        <w:t>stock</w:t>
      </w:r>
      <w:r>
        <w:rPr>
          <w:spacing w:val="-9"/>
          <w:sz w:val="20"/>
        </w:rPr>
        <w:t xml:space="preserve"> </w:t>
      </w:r>
      <w:r>
        <w:rPr>
          <w:sz w:val="20"/>
        </w:rPr>
        <w:t>and</w:t>
      </w:r>
      <w:r>
        <w:rPr>
          <w:spacing w:val="-7"/>
          <w:sz w:val="20"/>
        </w:rPr>
        <w:t xml:space="preserve"> </w:t>
      </w:r>
      <w:r>
        <w:rPr>
          <w:sz w:val="20"/>
        </w:rPr>
        <w:t>you</w:t>
      </w:r>
      <w:r>
        <w:rPr>
          <w:spacing w:val="-7"/>
          <w:sz w:val="20"/>
        </w:rPr>
        <w:t xml:space="preserve"> </w:t>
      </w:r>
      <w:r>
        <w:rPr>
          <w:sz w:val="20"/>
        </w:rPr>
        <w:t>may</w:t>
      </w:r>
      <w:r>
        <w:rPr>
          <w:spacing w:val="-9"/>
          <w:sz w:val="20"/>
        </w:rPr>
        <w:t xml:space="preserve"> </w:t>
      </w:r>
      <w:r>
        <w:rPr>
          <w:sz w:val="20"/>
        </w:rPr>
        <w:t>not</w:t>
      </w:r>
      <w:r>
        <w:rPr>
          <w:spacing w:val="-6"/>
          <w:sz w:val="20"/>
        </w:rPr>
        <w:t xml:space="preserve"> </w:t>
      </w:r>
      <w:r>
        <w:rPr>
          <w:sz w:val="20"/>
        </w:rPr>
        <w:t>engage</w:t>
      </w:r>
      <w:r>
        <w:rPr>
          <w:spacing w:val="-4"/>
          <w:sz w:val="20"/>
        </w:rPr>
        <w:t xml:space="preserve"> </w:t>
      </w:r>
      <w:r>
        <w:rPr>
          <w:sz w:val="20"/>
        </w:rPr>
        <w:t>in</w:t>
      </w:r>
      <w:r>
        <w:rPr>
          <w:spacing w:val="-4"/>
          <w:sz w:val="20"/>
        </w:rPr>
        <w:t xml:space="preserve"> </w:t>
      </w:r>
      <w:r>
        <w:rPr>
          <w:sz w:val="20"/>
        </w:rPr>
        <w:t>a</w:t>
      </w:r>
      <w:r>
        <w:rPr>
          <w:spacing w:val="-9"/>
          <w:sz w:val="20"/>
        </w:rPr>
        <w:t xml:space="preserve"> </w:t>
      </w:r>
      <w:r>
        <w:rPr>
          <w:sz w:val="20"/>
        </w:rPr>
        <w:t>cashless</w:t>
      </w:r>
      <w:r>
        <w:rPr>
          <w:spacing w:val="-4"/>
          <w:sz w:val="20"/>
        </w:rPr>
        <w:t xml:space="preserve"> </w:t>
      </w:r>
      <w:r>
        <w:rPr>
          <w:sz w:val="20"/>
        </w:rPr>
        <w:t>exercise</w:t>
      </w:r>
      <w:r>
        <w:rPr>
          <w:spacing w:val="-4"/>
          <w:sz w:val="20"/>
        </w:rPr>
        <w:t xml:space="preserve"> </w:t>
      </w:r>
      <w:r>
        <w:rPr>
          <w:sz w:val="20"/>
        </w:rPr>
        <w:t>of</w:t>
      </w:r>
      <w:r>
        <w:rPr>
          <w:spacing w:val="-8"/>
          <w:sz w:val="20"/>
        </w:rPr>
        <w:t xml:space="preserve"> </w:t>
      </w:r>
      <w:r>
        <w:rPr>
          <w:sz w:val="20"/>
        </w:rPr>
        <w:t>a</w:t>
      </w:r>
      <w:r>
        <w:rPr>
          <w:spacing w:val="-6"/>
          <w:sz w:val="20"/>
        </w:rPr>
        <w:t xml:space="preserve"> </w:t>
      </w:r>
      <w:r>
        <w:rPr>
          <w:sz w:val="20"/>
        </w:rPr>
        <w:t>stock</w:t>
      </w:r>
      <w:r>
        <w:rPr>
          <w:spacing w:val="-7"/>
          <w:sz w:val="20"/>
        </w:rPr>
        <w:t xml:space="preserve"> </w:t>
      </w:r>
      <w:r>
        <w:rPr>
          <w:sz w:val="20"/>
        </w:rPr>
        <w:t>option through a broker (because this entails selling a portion</w:t>
      </w:r>
      <w:r>
        <w:rPr>
          <w:spacing w:val="-3"/>
          <w:sz w:val="20"/>
        </w:rPr>
        <w:t xml:space="preserve"> </w:t>
      </w:r>
      <w:r>
        <w:rPr>
          <w:sz w:val="20"/>
        </w:rPr>
        <w:t>of the underlying stock to cover the costs of exercise) while you possess material, non-public information. This Policy’s trading restrictions generally</w:t>
      </w:r>
      <w:r>
        <w:rPr>
          <w:spacing w:val="-3"/>
          <w:sz w:val="20"/>
        </w:rPr>
        <w:t xml:space="preserve"> </w:t>
      </w:r>
      <w:r>
        <w:rPr>
          <w:sz w:val="20"/>
        </w:rPr>
        <w:t>do not apply</w:t>
      </w:r>
      <w:r>
        <w:rPr>
          <w:spacing w:val="-3"/>
          <w:sz w:val="20"/>
        </w:rPr>
        <w:t xml:space="preserve"> </w:t>
      </w:r>
      <w:r>
        <w:rPr>
          <w:sz w:val="20"/>
        </w:rPr>
        <w:t>to the exercise of</w:t>
      </w:r>
      <w:r>
        <w:rPr>
          <w:spacing w:val="-1"/>
          <w:sz w:val="20"/>
        </w:rPr>
        <w:t xml:space="preserve"> </w:t>
      </w:r>
      <w:r>
        <w:rPr>
          <w:sz w:val="20"/>
        </w:rPr>
        <w:t>tax withholding</w:t>
      </w:r>
      <w:r>
        <w:rPr>
          <w:spacing w:val="-3"/>
          <w:sz w:val="20"/>
        </w:rPr>
        <w:t xml:space="preserve"> </w:t>
      </w:r>
      <w:r>
        <w:rPr>
          <w:sz w:val="20"/>
        </w:rPr>
        <w:t>rights pursuant to</w:t>
      </w:r>
      <w:r>
        <w:rPr>
          <w:spacing w:val="-3"/>
          <w:sz w:val="20"/>
        </w:rPr>
        <w:t xml:space="preserve"> </w:t>
      </w:r>
      <w:r>
        <w:rPr>
          <w:sz w:val="20"/>
        </w:rPr>
        <w:t xml:space="preserve">which you elect to have the Company withhold shares from an award to satisfy tax withholding </w:t>
      </w:r>
      <w:r>
        <w:rPr>
          <w:spacing w:val="-2"/>
          <w:sz w:val="20"/>
        </w:rPr>
        <w:t>requirements.</w:t>
      </w:r>
    </w:p>
    <w:p>
      <w:pPr>
        <w:pStyle w:val="TextBody"/>
        <w:bidi w:val="0"/>
        <w:spacing w:before="240" w:after="0"/>
        <w:ind w:left="742" w:right="530" w:firstLine="720"/>
        <w:jc w:val="left"/>
        <w:rPr>
          <w:sz w:val="20"/>
        </w:rPr>
      </w:pPr>
      <w:r>
        <w:rPr>
          <w:sz w:val="20"/>
        </w:rPr>
        <w:t>(b)</w:t>
      </w:r>
      <w:r>
        <w:rPr>
          <w:caps w:val="false"/>
          <w:smallCaps w:val="false"/>
          <w:sz w:val="20"/>
        </w:rPr>
        <w:t xml:space="preserve">                 </w:t>
      </w:r>
      <w:r>
        <w:rPr>
          <w:sz w:val="20"/>
          <w:u w:val="single"/>
        </w:rPr>
        <w:t>Employee</w:t>
      </w:r>
      <w:r>
        <w:rPr>
          <w:spacing w:val="-5"/>
          <w:sz w:val="20"/>
          <w:u w:val="single"/>
        </w:rPr>
        <w:t xml:space="preserve"> </w:t>
      </w:r>
      <w:r>
        <w:rPr>
          <w:sz w:val="20"/>
          <w:u w:val="single"/>
        </w:rPr>
        <w:t>Stock</w:t>
      </w:r>
      <w:r>
        <w:rPr>
          <w:spacing w:val="-9"/>
          <w:sz w:val="20"/>
          <w:u w:val="single"/>
        </w:rPr>
        <w:t xml:space="preserve"> </w:t>
      </w:r>
      <w:r>
        <w:rPr>
          <w:sz w:val="20"/>
          <w:u w:val="single"/>
        </w:rPr>
        <w:t>Purchase</w:t>
      </w:r>
      <w:r>
        <w:rPr>
          <w:spacing w:val="-7"/>
          <w:sz w:val="20"/>
          <w:u w:val="single"/>
        </w:rPr>
        <w:t xml:space="preserve"> </w:t>
      </w:r>
      <w:r>
        <w:rPr>
          <w:sz w:val="20"/>
          <w:u w:val="single"/>
        </w:rPr>
        <w:t>Plan</w:t>
      </w:r>
      <w:r>
        <w:rPr>
          <w:sz w:val="20"/>
        </w:rPr>
        <w:t>.</w:t>
      </w:r>
      <w:r>
        <w:rPr>
          <w:spacing w:val="40"/>
          <w:sz w:val="20"/>
        </w:rPr>
        <w:t xml:space="preserve"> </w:t>
      </w:r>
      <w:r>
        <w:rPr>
          <w:sz w:val="20"/>
        </w:rPr>
        <w:t>This</w:t>
      </w:r>
      <w:r>
        <w:rPr>
          <w:spacing w:val="-5"/>
          <w:sz w:val="20"/>
        </w:rPr>
        <w:t xml:space="preserve"> </w:t>
      </w:r>
      <w:r>
        <w:rPr>
          <w:sz w:val="20"/>
        </w:rPr>
        <w:t>Policy’s</w:t>
      </w:r>
      <w:r>
        <w:rPr>
          <w:spacing w:val="-7"/>
          <w:sz w:val="20"/>
        </w:rPr>
        <w:t xml:space="preserve"> </w:t>
      </w:r>
      <w:r>
        <w:rPr>
          <w:sz w:val="20"/>
        </w:rPr>
        <w:t>trading</w:t>
      </w:r>
      <w:r>
        <w:rPr>
          <w:spacing w:val="-9"/>
          <w:sz w:val="20"/>
        </w:rPr>
        <w:t xml:space="preserve"> </w:t>
      </w:r>
      <w:r>
        <w:rPr>
          <w:sz w:val="20"/>
        </w:rPr>
        <w:t>restrictions</w:t>
      </w:r>
      <w:r>
        <w:rPr>
          <w:spacing w:val="-5"/>
          <w:sz w:val="20"/>
        </w:rPr>
        <w:t xml:space="preserve"> </w:t>
      </w:r>
      <w:r>
        <w:rPr>
          <w:sz w:val="20"/>
        </w:rPr>
        <w:t>do</w:t>
      </w:r>
      <w:r>
        <w:rPr>
          <w:spacing w:val="-8"/>
          <w:sz w:val="20"/>
        </w:rPr>
        <w:t xml:space="preserve"> </w:t>
      </w:r>
      <w:r>
        <w:rPr>
          <w:sz w:val="20"/>
        </w:rPr>
        <w:t>not apply</w:t>
      </w:r>
      <w:r>
        <w:rPr>
          <w:spacing w:val="-9"/>
          <w:sz w:val="20"/>
        </w:rPr>
        <w:t xml:space="preserve"> </w:t>
      </w:r>
      <w:r>
        <w:rPr>
          <w:sz w:val="20"/>
        </w:rPr>
        <w:t>to</w:t>
      </w:r>
      <w:r>
        <w:rPr>
          <w:spacing w:val="-7"/>
          <w:sz w:val="20"/>
        </w:rPr>
        <w:t xml:space="preserve"> </w:t>
      </w:r>
      <w:r>
        <w:rPr>
          <w:sz w:val="20"/>
        </w:rPr>
        <w:t>purchases</w:t>
      </w:r>
      <w:r>
        <w:rPr>
          <w:spacing w:val="-4"/>
          <w:sz w:val="20"/>
        </w:rPr>
        <w:t xml:space="preserve"> </w:t>
      </w:r>
      <w:r>
        <w:rPr>
          <w:sz w:val="20"/>
        </w:rPr>
        <w:t>of</w:t>
      </w:r>
      <w:r>
        <w:rPr>
          <w:spacing w:val="-6"/>
          <w:sz w:val="20"/>
        </w:rPr>
        <w:t xml:space="preserve"> </w:t>
      </w:r>
      <w:r>
        <w:rPr>
          <w:sz w:val="20"/>
        </w:rPr>
        <w:t>Company</w:t>
      </w:r>
      <w:r>
        <w:rPr>
          <w:spacing w:val="-7"/>
          <w:sz w:val="20"/>
        </w:rPr>
        <w:t xml:space="preserve"> </w:t>
      </w:r>
      <w:r>
        <w:rPr>
          <w:sz w:val="20"/>
        </w:rPr>
        <w:t>stock</w:t>
      </w:r>
      <w:r>
        <w:rPr>
          <w:spacing w:val="-9"/>
          <w:sz w:val="20"/>
        </w:rPr>
        <w:t xml:space="preserve"> </w:t>
      </w:r>
      <w:r>
        <w:rPr>
          <w:sz w:val="20"/>
        </w:rPr>
        <w:t>in</w:t>
      </w:r>
      <w:r>
        <w:rPr>
          <w:spacing w:val="-9"/>
          <w:sz w:val="20"/>
        </w:rPr>
        <w:t xml:space="preserve"> </w:t>
      </w:r>
      <w:r>
        <w:rPr>
          <w:sz w:val="20"/>
        </w:rPr>
        <w:t>the</w:t>
      </w:r>
      <w:r>
        <w:rPr>
          <w:spacing w:val="-9"/>
          <w:sz w:val="20"/>
        </w:rPr>
        <w:t xml:space="preserve"> </w:t>
      </w:r>
      <w:r>
        <w:rPr>
          <w:sz w:val="20"/>
        </w:rPr>
        <w:t>employee</w:t>
      </w:r>
      <w:r>
        <w:rPr>
          <w:spacing w:val="-6"/>
          <w:sz w:val="20"/>
        </w:rPr>
        <w:t xml:space="preserve"> </w:t>
      </w:r>
      <w:r>
        <w:rPr>
          <w:sz w:val="20"/>
        </w:rPr>
        <w:t>stock</w:t>
      </w:r>
      <w:r>
        <w:rPr>
          <w:spacing w:val="-9"/>
          <w:sz w:val="20"/>
        </w:rPr>
        <w:t xml:space="preserve"> </w:t>
      </w:r>
      <w:r>
        <w:rPr>
          <w:sz w:val="20"/>
        </w:rPr>
        <w:t>purchase</w:t>
      </w:r>
      <w:r>
        <w:rPr>
          <w:spacing w:val="-4"/>
          <w:sz w:val="20"/>
        </w:rPr>
        <w:t xml:space="preserve"> </w:t>
      </w:r>
      <w:r>
        <w:rPr>
          <w:sz w:val="20"/>
        </w:rPr>
        <w:t>plan</w:t>
      </w:r>
      <w:r>
        <w:rPr>
          <w:spacing w:val="-7"/>
          <w:sz w:val="20"/>
        </w:rPr>
        <w:t xml:space="preserve"> </w:t>
      </w:r>
      <w:r>
        <w:rPr>
          <w:sz w:val="20"/>
        </w:rPr>
        <w:t>resulting</w:t>
      </w:r>
      <w:r>
        <w:rPr>
          <w:spacing w:val="-9"/>
          <w:sz w:val="20"/>
        </w:rPr>
        <w:t xml:space="preserve"> </w:t>
      </w:r>
      <w:r>
        <w:rPr>
          <w:sz w:val="20"/>
        </w:rPr>
        <w:t>from your periodic payroll contributions to</w:t>
      </w:r>
      <w:r>
        <w:rPr>
          <w:spacing w:val="-1"/>
          <w:sz w:val="20"/>
        </w:rPr>
        <w:t xml:space="preserve"> </w:t>
      </w:r>
      <w:r>
        <w:rPr>
          <w:sz w:val="20"/>
        </w:rPr>
        <w:t>the plan</w:t>
      </w:r>
      <w:r>
        <w:rPr>
          <w:spacing w:val="-1"/>
          <w:sz w:val="20"/>
        </w:rPr>
        <w:t xml:space="preserve"> </w:t>
      </w:r>
      <w:r>
        <w:rPr>
          <w:sz w:val="20"/>
        </w:rPr>
        <w:t>under an</w:t>
      </w:r>
      <w:r>
        <w:rPr>
          <w:spacing w:val="-3"/>
          <w:sz w:val="20"/>
        </w:rPr>
        <w:t xml:space="preserve"> </w:t>
      </w:r>
      <w:r>
        <w:rPr>
          <w:sz w:val="20"/>
        </w:rPr>
        <w:t>election</w:t>
      </w:r>
      <w:r>
        <w:rPr>
          <w:spacing w:val="-1"/>
          <w:sz w:val="20"/>
        </w:rPr>
        <w:t xml:space="preserve"> </w:t>
      </w:r>
      <w:r>
        <w:rPr>
          <w:sz w:val="20"/>
        </w:rPr>
        <w:t>you</w:t>
      </w:r>
      <w:r>
        <w:rPr>
          <w:spacing w:val="-1"/>
          <w:sz w:val="20"/>
        </w:rPr>
        <w:t xml:space="preserve"> </w:t>
      </w:r>
      <w:r>
        <w:rPr>
          <w:sz w:val="20"/>
        </w:rPr>
        <w:t>made at</w:t>
      </w:r>
      <w:r>
        <w:rPr>
          <w:spacing w:val="-2"/>
          <w:sz w:val="20"/>
        </w:rPr>
        <w:t xml:space="preserve"> </w:t>
      </w:r>
      <w:r>
        <w:rPr>
          <w:sz w:val="20"/>
        </w:rPr>
        <w:t>the time of enrollment in the plan. The</w:t>
      </w:r>
      <w:r>
        <w:rPr>
          <w:spacing w:val="-2"/>
          <w:sz w:val="20"/>
        </w:rPr>
        <w:t xml:space="preserve"> </w:t>
      </w:r>
      <w:r>
        <w:rPr>
          <w:sz w:val="20"/>
        </w:rPr>
        <w:t>trading</w:t>
      </w:r>
      <w:r>
        <w:rPr>
          <w:spacing w:val="-2"/>
          <w:sz w:val="20"/>
        </w:rPr>
        <w:t xml:space="preserve"> </w:t>
      </w:r>
      <w:r>
        <w:rPr>
          <w:sz w:val="20"/>
        </w:rPr>
        <w:t>restrictions do apply</w:t>
      </w:r>
      <w:r>
        <w:rPr>
          <w:spacing w:val="-2"/>
          <w:sz w:val="20"/>
        </w:rPr>
        <w:t xml:space="preserve"> </w:t>
      </w:r>
      <w:r>
        <w:rPr>
          <w:sz w:val="20"/>
        </w:rPr>
        <w:t>to your sales of Company stock purchased under the plan.</w:t>
      </w:r>
    </w:p>
    <w:p>
      <w:pPr>
        <w:pStyle w:val="TextBody"/>
        <w:bidi w:val="0"/>
        <w:spacing w:before="242" w:after="0"/>
        <w:ind w:left="741" w:right="91" w:firstLine="721"/>
        <w:jc w:val="left"/>
        <w:rPr>
          <w:sz w:val="20"/>
        </w:rPr>
      </w:pPr>
      <w:r>
        <w:rPr>
          <w:sz w:val="20"/>
        </w:rPr>
        <w:t>(c)</w:t>
      </w:r>
      <w:r>
        <w:rPr>
          <w:caps w:val="false"/>
          <w:smallCaps w:val="false"/>
          <w:sz w:val="20"/>
        </w:rPr>
        <w:t xml:space="preserve">                 </w:t>
      </w:r>
      <w:r>
        <w:rPr>
          <w:sz w:val="20"/>
        </w:rPr>
        <w:t xml:space="preserve">401(k) </w:t>
      </w:r>
      <w:r>
        <w:rPr>
          <w:sz w:val="20"/>
          <w:u w:val="single"/>
        </w:rPr>
        <w:t>Plan</w:t>
      </w:r>
      <w:r>
        <w:rPr>
          <w:sz w:val="20"/>
        </w:rPr>
        <w:t>.</w:t>
      </w:r>
      <w:r>
        <w:rPr>
          <w:spacing w:val="40"/>
          <w:sz w:val="20"/>
        </w:rPr>
        <w:t xml:space="preserve"> </w:t>
      </w:r>
      <w:r>
        <w:rPr>
          <w:sz w:val="20"/>
        </w:rPr>
        <w:t>This Policy’s trading</w:t>
      </w:r>
      <w:r>
        <w:rPr>
          <w:spacing w:val="-1"/>
          <w:sz w:val="20"/>
        </w:rPr>
        <w:t xml:space="preserve"> </w:t>
      </w:r>
      <w:r>
        <w:rPr>
          <w:sz w:val="20"/>
        </w:rPr>
        <w:t>restrictions do not apply to purchases of Company stock in the 401(k) plan resulting from the periodic contribution of money to the plan by the Company. The</w:t>
      </w:r>
      <w:r>
        <w:rPr>
          <w:spacing w:val="-2"/>
          <w:sz w:val="20"/>
        </w:rPr>
        <w:t xml:space="preserve"> </w:t>
      </w:r>
      <w:r>
        <w:rPr>
          <w:sz w:val="20"/>
        </w:rPr>
        <w:t>trading</w:t>
      </w:r>
      <w:r>
        <w:rPr>
          <w:spacing w:val="-6"/>
          <w:sz w:val="20"/>
        </w:rPr>
        <w:t xml:space="preserve"> </w:t>
      </w:r>
      <w:r>
        <w:rPr>
          <w:sz w:val="20"/>
        </w:rPr>
        <w:t>restrictions do apply, however, to</w:t>
      </w:r>
      <w:r>
        <w:rPr>
          <w:spacing w:val="-2"/>
          <w:sz w:val="20"/>
        </w:rPr>
        <w:t xml:space="preserve"> </w:t>
      </w:r>
      <w:r>
        <w:rPr>
          <w:sz w:val="20"/>
        </w:rPr>
        <w:t>elections you may make under the</w:t>
      </w:r>
      <w:r>
        <w:rPr>
          <w:spacing w:val="-1"/>
          <w:sz w:val="20"/>
        </w:rPr>
        <w:t xml:space="preserve"> </w:t>
      </w:r>
      <w:r>
        <w:rPr>
          <w:sz w:val="20"/>
        </w:rPr>
        <w:t>401(k) plan</w:t>
      </w:r>
      <w:r>
        <w:rPr>
          <w:spacing w:val="-1"/>
          <w:sz w:val="20"/>
        </w:rPr>
        <w:t xml:space="preserve"> </w:t>
      </w:r>
      <w:r>
        <w:rPr>
          <w:sz w:val="20"/>
        </w:rPr>
        <w:t>(to the extent then permitted under the 401(k) plan) to</w:t>
      </w:r>
      <w:r>
        <w:rPr>
          <w:spacing w:val="-1"/>
          <w:sz w:val="20"/>
        </w:rPr>
        <w:t xml:space="preserve"> </w:t>
      </w:r>
      <w:r>
        <w:rPr>
          <w:sz w:val="20"/>
        </w:rPr>
        <w:t>(a) increase or decrease the percentage of</w:t>
      </w:r>
      <w:r>
        <w:rPr>
          <w:spacing w:val="-2"/>
          <w:sz w:val="20"/>
        </w:rPr>
        <w:t xml:space="preserve"> </w:t>
      </w:r>
      <w:r>
        <w:rPr>
          <w:sz w:val="20"/>
        </w:rPr>
        <w:t>your periodic contributions, if any, that will be allocated to the Company</w:t>
      </w:r>
      <w:r>
        <w:rPr>
          <w:spacing w:val="-10"/>
          <w:sz w:val="20"/>
        </w:rPr>
        <w:t xml:space="preserve"> </w:t>
      </w:r>
      <w:r>
        <w:rPr>
          <w:sz w:val="20"/>
        </w:rPr>
        <w:t>stock</w:t>
      </w:r>
      <w:r>
        <w:rPr>
          <w:spacing w:val="-8"/>
          <w:sz w:val="20"/>
        </w:rPr>
        <w:t xml:space="preserve"> </w:t>
      </w:r>
      <w:r>
        <w:rPr>
          <w:sz w:val="20"/>
        </w:rPr>
        <w:t>fund,</w:t>
      </w:r>
      <w:r>
        <w:rPr>
          <w:spacing w:val="-6"/>
          <w:sz w:val="20"/>
        </w:rPr>
        <w:t xml:space="preserve"> </w:t>
      </w:r>
      <w:r>
        <w:rPr>
          <w:sz w:val="20"/>
        </w:rPr>
        <w:t>(b)</w:t>
      </w:r>
      <w:r>
        <w:rPr>
          <w:spacing w:val="-7"/>
          <w:sz w:val="20"/>
        </w:rPr>
        <w:t xml:space="preserve"> </w:t>
      </w:r>
      <w:r>
        <w:rPr>
          <w:sz w:val="20"/>
        </w:rPr>
        <w:t>make</w:t>
      </w:r>
      <w:r>
        <w:rPr>
          <w:spacing w:val="-7"/>
          <w:sz w:val="20"/>
        </w:rPr>
        <w:t xml:space="preserve"> </w:t>
      </w:r>
      <w:r>
        <w:rPr>
          <w:sz w:val="20"/>
        </w:rPr>
        <w:t>an</w:t>
      </w:r>
      <w:r>
        <w:rPr>
          <w:spacing w:val="-8"/>
          <w:sz w:val="20"/>
        </w:rPr>
        <w:t xml:space="preserve"> </w:t>
      </w:r>
      <w:r>
        <w:rPr>
          <w:sz w:val="20"/>
        </w:rPr>
        <w:t>intra-plan</w:t>
      </w:r>
      <w:r>
        <w:rPr>
          <w:spacing w:val="-10"/>
          <w:sz w:val="20"/>
        </w:rPr>
        <w:t xml:space="preserve"> </w:t>
      </w:r>
      <w:r>
        <w:rPr>
          <w:sz w:val="20"/>
        </w:rPr>
        <w:t>transfer</w:t>
      </w:r>
      <w:r>
        <w:rPr>
          <w:spacing w:val="-5"/>
          <w:sz w:val="20"/>
        </w:rPr>
        <w:t xml:space="preserve"> </w:t>
      </w:r>
      <w:r>
        <w:rPr>
          <w:sz w:val="20"/>
        </w:rPr>
        <w:t>of</w:t>
      </w:r>
      <w:r>
        <w:rPr>
          <w:spacing w:val="-12"/>
          <w:sz w:val="20"/>
        </w:rPr>
        <w:t xml:space="preserve"> </w:t>
      </w:r>
      <w:r>
        <w:rPr>
          <w:sz w:val="20"/>
        </w:rPr>
        <w:t>an</w:t>
      </w:r>
      <w:r>
        <w:rPr>
          <w:spacing w:val="-6"/>
          <w:sz w:val="20"/>
        </w:rPr>
        <w:t xml:space="preserve"> </w:t>
      </w:r>
      <w:r>
        <w:rPr>
          <w:sz w:val="20"/>
        </w:rPr>
        <w:t>existing</w:t>
      </w:r>
      <w:r>
        <w:rPr>
          <w:spacing w:val="-10"/>
          <w:sz w:val="20"/>
        </w:rPr>
        <w:t xml:space="preserve"> </w:t>
      </w:r>
      <w:r>
        <w:rPr>
          <w:sz w:val="20"/>
        </w:rPr>
        <w:t>account</w:t>
      </w:r>
      <w:r>
        <w:rPr>
          <w:spacing w:val="-7"/>
          <w:sz w:val="20"/>
        </w:rPr>
        <w:t xml:space="preserve"> </w:t>
      </w:r>
      <w:r>
        <w:rPr>
          <w:sz w:val="20"/>
        </w:rPr>
        <w:t>balance</w:t>
      </w:r>
      <w:r>
        <w:rPr>
          <w:spacing w:val="-7"/>
          <w:sz w:val="20"/>
        </w:rPr>
        <w:t xml:space="preserve"> </w:t>
      </w:r>
      <w:r>
        <w:rPr>
          <w:sz w:val="20"/>
        </w:rPr>
        <w:t>into</w:t>
      </w:r>
      <w:r>
        <w:rPr>
          <w:spacing w:val="-6"/>
          <w:sz w:val="20"/>
        </w:rPr>
        <w:t xml:space="preserve"> </w:t>
      </w:r>
      <w:r>
        <w:rPr>
          <w:sz w:val="20"/>
        </w:rPr>
        <w:t>or</w:t>
      </w:r>
      <w:r>
        <w:rPr>
          <w:spacing w:val="-5"/>
          <w:sz w:val="20"/>
        </w:rPr>
        <w:t xml:space="preserve"> </w:t>
      </w:r>
      <w:r>
        <w:rPr>
          <w:sz w:val="20"/>
        </w:rPr>
        <w:t>out of the Company stock fund, (c) borrow</w:t>
      </w:r>
      <w:r>
        <w:rPr>
          <w:spacing w:val="-1"/>
          <w:sz w:val="20"/>
        </w:rPr>
        <w:t xml:space="preserve"> </w:t>
      </w:r>
      <w:r>
        <w:rPr>
          <w:sz w:val="20"/>
        </w:rPr>
        <w:t>money against your 401(k) plan account if the loan will</w:t>
      </w:r>
      <w:r>
        <w:rPr>
          <w:spacing w:val="-5"/>
          <w:sz w:val="20"/>
        </w:rPr>
        <w:t xml:space="preserve"> </w:t>
      </w:r>
      <w:r>
        <w:rPr>
          <w:sz w:val="20"/>
        </w:rPr>
        <w:t>cause</w:t>
      </w:r>
      <w:r>
        <w:rPr>
          <w:spacing w:val="-5"/>
          <w:sz w:val="20"/>
        </w:rPr>
        <w:t xml:space="preserve"> </w:t>
      </w:r>
      <w:r>
        <w:rPr>
          <w:sz w:val="20"/>
        </w:rPr>
        <w:t>a</w:t>
      </w:r>
      <w:r>
        <w:rPr>
          <w:spacing w:val="-5"/>
          <w:sz w:val="20"/>
        </w:rPr>
        <w:t xml:space="preserve"> </w:t>
      </w:r>
      <w:r>
        <w:rPr>
          <w:sz w:val="20"/>
        </w:rPr>
        <w:t>sale</w:t>
      </w:r>
      <w:r>
        <w:rPr>
          <w:spacing w:val="-5"/>
          <w:sz w:val="20"/>
        </w:rPr>
        <w:t xml:space="preserve"> </w:t>
      </w:r>
      <w:r>
        <w:rPr>
          <w:sz w:val="20"/>
        </w:rPr>
        <w:t>of</w:t>
      </w:r>
      <w:r>
        <w:rPr>
          <w:spacing w:val="-2"/>
          <w:sz w:val="20"/>
        </w:rPr>
        <w:t xml:space="preserve"> </w:t>
      </w:r>
      <w:r>
        <w:rPr>
          <w:sz w:val="20"/>
        </w:rPr>
        <w:t>some</w:t>
      </w:r>
      <w:r>
        <w:rPr>
          <w:spacing w:val="-5"/>
          <w:sz w:val="20"/>
        </w:rPr>
        <w:t xml:space="preserve"> </w:t>
      </w:r>
      <w:r>
        <w:rPr>
          <w:sz w:val="20"/>
        </w:rPr>
        <w:t>or</w:t>
      </w:r>
      <w:r>
        <w:rPr>
          <w:spacing w:val="-5"/>
          <w:sz w:val="20"/>
        </w:rPr>
        <w:t xml:space="preserve"> </w:t>
      </w:r>
      <w:r>
        <w:rPr>
          <w:sz w:val="20"/>
        </w:rPr>
        <w:t>all</w:t>
      </w:r>
      <w:r>
        <w:rPr>
          <w:spacing w:val="-2"/>
          <w:sz w:val="20"/>
        </w:rPr>
        <w:t xml:space="preserve"> </w:t>
      </w:r>
      <w:r>
        <w:rPr>
          <w:sz w:val="20"/>
        </w:rPr>
        <w:t>of</w:t>
      </w:r>
      <w:r>
        <w:rPr>
          <w:spacing w:val="-6"/>
          <w:sz w:val="20"/>
        </w:rPr>
        <w:t xml:space="preserve"> </w:t>
      </w:r>
      <w:r>
        <w:rPr>
          <w:sz w:val="20"/>
        </w:rPr>
        <w:t>the</w:t>
      </w:r>
      <w:r>
        <w:rPr>
          <w:spacing w:val="-5"/>
          <w:sz w:val="20"/>
        </w:rPr>
        <w:t xml:space="preserve"> </w:t>
      </w:r>
      <w:r>
        <w:rPr>
          <w:sz w:val="20"/>
        </w:rPr>
        <w:t>shares</w:t>
      </w:r>
      <w:r>
        <w:rPr>
          <w:spacing w:val="-6"/>
          <w:sz w:val="20"/>
        </w:rPr>
        <w:t xml:space="preserve"> </w:t>
      </w:r>
      <w:r>
        <w:rPr>
          <w:sz w:val="20"/>
        </w:rPr>
        <w:t>in</w:t>
      </w:r>
      <w:r>
        <w:rPr>
          <w:spacing w:val="-3"/>
          <w:sz w:val="20"/>
        </w:rPr>
        <w:t xml:space="preserve"> </w:t>
      </w:r>
      <w:r>
        <w:rPr>
          <w:sz w:val="20"/>
        </w:rPr>
        <w:t>the</w:t>
      </w:r>
      <w:r>
        <w:rPr>
          <w:spacing w:val="-5"/>
          <w:sz w:val="20"/>
        </w:rPr>
        <w:t xml:space="preserve"> </w:t>
      </w:r>
      <w:r>
        <w:rPr>
          <w:sz w:val="20"/>
        </w:rPr>
        <w:t>Company</w:t>
      </w:r>
      <w:r>
        <w:rPr>
          <w:spacing w:val="-7"/>
          <w:sz w:val="20"/>
        </w:rPr>
        <w:t xml:space="preserve"> </w:t>
      </w:r>
      <w:r>
        <w:rPr>
          <w:sz w:val="20"/>
        </w:rPr>
        <w:t>stock</w:t>
      </w:r>
      <w:r>
        <w:rPr>
          <w:spacing w:val="-6"/>
          <w:sz w:val="20"/>
        </w:rPr>
        <w:t xml:space="preserve"> </w:t>
      </w:r>
      <w:r>
        <w:rPr>
          <w:sz w:val="20"/>
        </w:rPr>
        <w:t>fund,</w:t>
      </w:r>
      <w:r>
        <w:rPr>
          <w:spacing w:val="-3"/>
          <w:sz w:val="20"/>
        </w:rPr>
        <w:t xml:space="preserve"> </w:t>
      </w:r>
      <w:r>
        <w:rPr>
          <w:sz w:val="20"/>
        </w:rPr>
        <w:t>and</w:t>
      </w:r>
      <w:r>
        <w:rPr>
          <w:spacing w:val="-6"/>
          <w:sz w:val="20"/>
        </w:rPr>
        <w:t xml:space="preserve"> </w:t>
      </w:r>
      <w:r>
        <w:rPr>
          <w:sz w:val="20"/>
        </w:rPr>
        <w:t>(d)</w:t>
      </w:r>
      <w:r>
        <w:rPr>
          <w:spacing w:val="-2"/>
          <w:sz w:val="20"/>
        </w:rPr>
        <w:t xml:space="preserve"> </w:t>
      </w:r>
      <w:r>
        <w:rPr>
          <w:sz w:val="20"/>
        </w:rPr>
        <w:t>prepay</w:t>
      </w:r>
      <w:r>
        <w:rPr>
          <w:spacing w:val="-6"/>
          <w:sz w:val="20"/>
        </w:rPr>
        <w:t xml:space="preserve"> </w:t>
      </w:r>
      <w:r>
        <w:rPr>
          <w:sz w:val="20"/>
        </w:rPr>
        <w:t>a</w:t>
      </w:r>
      <w:r>
        <w:rPr>
          <w:spacing w:val="-3"/>
          <w:sz w:val="20"/>
        </w:rPr>
        <w:t xml:space="preserve"> </w:t>
      </w:r>
      <w:r>
        <w:rPr>
          <w:sz w:val="20"/>
        </w:rPr>
        <w:t>plan loan if the pre-payment will result in allocation of loan proceeds to the Company stock fund.</w:t>
      </w:r>
    </w:p>
    <w:p>
      <w:pPr>
        <w:pStyle w:val="TextBody"/>
        <w:bidi w:val="0"/>
        <w:spacing w:before="238" w:after="0"/>
        <w:ind w:left="21" w:right="134" w:firstLine="721"/>
        <w:jc w:val="left"/>
        <w:rPr>
          <w:sz w:val="20"/>
        </w:rPr>
      </w:pPr>
      <w:r>
        <w:rPr>
          <w:sz w:val="20"/>
        </w:rPr>
        <w:t>10.</w:t>
      </w:r>
      <w:r>
        <w:rPr>
          <w:caps w:val="false"/>
          <w:smallCaps w:val="false"/>
          <w:sz w:val="20"/>
        </w:rPr>
        <w:t xml:space="preserve">                </w:t>
      </w:r>
      <w:r>
        <w:rPr>
          <w:sz w:val="20"/>
          <w:u w:val="single"/>
        </w:rPr>
        <w:t>Gifts</w:t>
      </w:r>
      <w:r>
        <w:rPr>
          <w:sz w:val="20"/>
        </w:rPr>
        <w:t>.</w:t>
      </w:r>
      <w:r>
        <w:rPr>
          <w:spacing w:val="40"/>
          <w:sz w:val="20"/>
        </w:rPr>
        <w:t xml:space="preserve"> </w:t>
      </w:r>
      <w:r>
        <w:rPr>
          <w:sz w:val="20"/>
        </w:rPr>
        <w:t>The</w:t>
      </w:r>
      <w:r>
        <w:rPr>
          <w:spacing w:val="-6"/>
          <w:sz w:val="20"/>
        </w:rPr>
        <w:t xml:space="preserve"> </w:t>
      </w:r>
      <w:r>
        <w:rPr>
          <w:sz w:val="20"/>
        </w:rPr>
        <w:t>Company</w:t>
      </w:r>
      <w:r>
        <w:rPr>
          <w:spacing w:val="-10"/>
          <w:sz w:val="20"/>
        </w:rPr>
        <w:t xml:space="preserve"> </w:t>
      </w:r>
      <w:r>
        <w:rPr>
          <w:sz w:val="20"/>
        </w:rPr>
        <w:t>may</w:t>
      </w:r>
      <w:r>
        <w:rPr>
          <w:spacing w:val="-8"/>
          <w:sz w:val="20"/>
        </w:rPr>
        <w:t xml:space="preserve"> </w:t>
      </w:r>
      <w:r>
        <w:rPr>
          <w:sz w:val="20"/>
        </w:rPr>
        <w:t>permit</w:t>
      </w:r>
      <w:r>
        <w:rPr>
          <w:spacing w:val="-5"/>
          <w:sz w:val="20"/>
        </w:rPr>
        <w:t xml:space="preserve"> </w:t>
      </w:r>
      <w:r>
        <w:rPr>
          <w:sz w:val="20"/>
        </w:rPr>
        <w:t>bona</w:t>
      </w:r>
      <w:r>
        <w:rPr>
          <w:spacing w:val="-6"/>
          <w:sz w:val="20"/>
        </w:rPr>
        <w:t xml:space="preserve"> </w:t>
      </w:r>
      <w:r>
        <w:rPr>
          <w:sz w:val="20"/>
        </w:rPr>
        <w:t>fide</w:t>
      </w:r>
      <w:r>
        <w:rPr>
          <w:spacing w:val="-6"/>
          <w:sz w:val="20"/>
        </w:rPr>
        <w:t xml:space="preserve"> </w:t>
      </w:r>
      <w:r>
        <w:rPr>
          <w:sz w:val="20"/>
        </w:rPr>
        <w:t>gifts</w:t>
      </w:r>
      <w:r>
        <w:rPr>
          <w:spacing w:val="-6"/>
          <w:sz w:val="20"/>
        </w:rPr>
        <w:t xml:space="preserve"> </w:t>
      </w:r>
      <w:r>
        <w:rPr>
          <w:sz w:val="20"/>
        </w:rPr>
        <w:t>of</w:t>
      </w:r>
      <w:r>
        <w:rPr>
          <w:spacing w:val="-8"/>
          <w:sz w:val="20"/>
        </w:rPr>
        <w:t xml:space="preserve"> </w:t>
      </w:r>
      <w:r>
        <w:rPr>
          <w:sz w:val="20"/>
        </w:rPr>
        <w:t>stock</w:t>
      </w:r>
      <w:r>
        <w:rPr>
          <w:spacing w:val="-8"/>
          <w:sz w:val="20"/>
        </w:rPr>
        <w:t xml:space="preserve"> </w:t>
      </w:r>
      <w:r>
        <w:rPr>
          <w:sz w:val="20"/>
        </w:rPr>
        <w:t>during</w:t>
      </w:r>
      <w:r>
        <w:rPr>
          <w:spacing w:val="-10"/>
          <w:sz w:val="20"/>
        </w:rPr>
        <w:t xml:space="preserve"> </w:t>
      </w:r>
      <w:r>
        <w:rPr>
          <w:sz w:val="20"/>
        </w:rPr>
        <w:t>periods</w:t>
      </w:r>
      <w:r>
        <w:rPr>
          <w:spacing w:val="-6"/>
          <w:sz w:val="20"/>
        </w:rPr>
        <w:t xml:space="preserve"> </w:t>
      </w:r>
      <w:r>
        <w:rPr>
          <w:sz w:val="20"/>
        </w:rPr>
        <w:t>when</w:t>
      </w:r>
      <w:r>
        <w:rPr>
          <w:spacing w:val="-10"/>
          <w:sz w:val="20"/>
        </w:rPr>
        <w:t xml:space="preserve"> </w:t>
      </w:r>
      <w:r>
        <w:rPr>
          <w:sz w:val="20"/>
        </w:rPr>
        <w:t>trading is restricted, as determined by EWI’s General Counsel. Whether a gift is bona fide will depend on the circumstances surrounding</w:t>
      </w:r>
      <w:r>
        <w:rPr>
          <w:spacing w:val="-1"/>
          <w:sz w:val="20"/>
        </w:rPr>
        <w:t xml:space="preserve"> </w:t>
      </w:r>
      <w:r>
        <w:rPr>
          <w:sz w:val="20"/>
        </w:rPr>
        <w:t>the gift, such as whether the gift is made to</w:t>
      </w:r>
      <w:r>
        <w:rPr>
          <w:spacing w:val="-1"/>
          <w:sz w:val="20"/>
        </w:rPr>
        <w:t xml:space="preserve"> </w:t>
      </w:r>
      <w:r>
        <w:rPr>
          <w:sz w:val="20"/>
        </w:rPr>
        <w:t>a charity</w:t>
      </w:r>
      <w:r>
        <w:rPr>
          <w:spacing w:val="-1"/>
          <w:sz w:val="20"/>
        </w:rPr>
        <w:t xml:space="preserve"> </w:t>
      </w:r>
      <w:r>
        <w:rPr>
          <w:sz w:val="20"/>
        </w:rPr>
        <w:t>or to a relative or friend</w:t>
      </w:r>
      <w:r>
        <w:rPr>
          <w:spacing w:val="-5"/>
          <w:sz w:val="20"/>
        </w:rPr>
        <w:t xml:space="preserve"> </w:t>
      </w:r>
      <w:r>
        <w:rPr>
          <w:sz w:val="20"/>
        </w:rPr>
        <w:t>of</w:t>
      </w:r>
      <w:r>
        <w:rPr>
          <w:spacing w:val="-9"/>
          <w:sz w:val="20"/>
        </w:rPr>
        <w:t xml:space="preserve"> </w:t>
      </w:r>
      <w:r>
        <w:rPr>
          <w:sz w:val="20"/>
        </w:rPr>
        <w:t>the</w:t>
      </w:r>
      <w:r>
        <w:rPr>
          <w:spacing w:val="-7"/>
          <w:sz w:val="20"/>
        </w:rPr>
        <w:t xml:space="preserve"> </w:t>
      </w:r>
      <w:r>
        <w:rPr>
          <w:sz w:val="20"/>
        </w:rPr>
        <w:t>donor</w:t>
      </w:r>
      <w:r>
        <w:rPr>
          <w:spacing w:val="-7"/>
          <w:sz w:val="20"/>
        </w:rPr>
        <w:t xml:space="preserve"> </w:t>
      </w:r>
      <w:r>
        <w:rPr>
          <w:sz w:val="20"/>
        </w:rPr>
        <w:t>and</w:t>
      </w:r>
      <w:r>
        <w:rPr>
          <w:spacing w:val="-5"/>
          <w:sz w:val="20"/>
        </w:rPr>
        <w:t xml:space="preserve"> </w:t>
      </w:r>
      <w:r>
        <w:rPr>
          <w:sz w:val="20"/>
        </w:rPr>
        <w:t>whether</w:t>
      </w:r>
      <w:r>
        <w:rPr>
          <w:spacing w:val="-9"/>
          <w:sz w:val="20"/>
        </w:rPr>
        <w:t xml:space="preserve"> </w:t>
      </w:r>
      <w:r>
        <w:rPr>
          <w:sz w:val="20"/>
        </w:rPr>
        <w:t>the</w:t>
      </w:r>
      <w:r>
        <w:rPr>
          <w:spacing w:val="-7"/>
          <w:sz w:val="20"/>
        </w:rPr>
        <w:t xml:space="preserve"> </w:t>
      </w:r>
      <w:r>
        <w:rPr>
          <w:sz w:val="20"/>
        </w:rPr>
        <w:t>shares</w:t>
      </w:r>
      <w:r>
        <w:rPr>
          <w:spacing w:val="-7"/>
          <w:sz w:val="20"/>
        </w:rPr>
        <w:t xml:space="preserve"> </w:t>
      </w:r>
      <w:r>
        <w:rPr>
          <w:sz w:val="20"/>
        </w:rPr>
        <w:t>are</w:t>
      </w:r>
      <w:r>
        <w:rPr>
          <w:spacing w:val="-5"/>
          <w:sz w:val="20"/>
        </w:rPr>
        <w:t xml:space="preserve"> </w:t>
      </w:r>
      <w:r>
        <w:rPr>
          <w:sz w:val="20"/>
        </w:rPr>
        <w:t>to</w:t>
      </w:r>
      <w:r>
        <w:rPr>
          <w:spacing w:val="-8"/>
          <w:sz w:val="20"/>
        </w:rPr>
        <w:t xml:space="preserve"> </w:t>
      </w:r>
      <w:r>
        <w:rPr>
          <w:sz w:val="20"/>
        </w:rPr>
        <w:t>be</w:t>
      </w:r>
      <w:r>
        <w:rPr>
          <w:spacing w:val="-7"/>
          <w:sz w:val="20"/>
        </w:rPr>
        <w:t xml:space="preserve"> </w:t>
      </w:r>
      <w:r>
        <w:rPr>
          <w:sz w:val="20"/>
        </w:rPr>
        <w:t>sold</w:t>
      </w:r>
      <w:r>
        <w:rPr>
          <w:spacing w:val="-8"/>
          <w:sz w:val="20"/>
        </w:rPr>
        <w:t xml:space="preserve"> </w:t>
      </w:r>
      <w:r>
        <w:rPr>
          <w:sz w:val="20"/>
        </w:rPr>
        <w:t>immediately</w:t>
      </w:r>
      <w:r>
        <w:rPr>
          <w:spacing w:val="-10"/>
          <w:sz w:val="20"/>
        </w:rPr>
        <w:t xml:space="preserve"> </w:t>
      </w:r>
      <w:r>
        <w:rPr>
          <w:sz w:val="20"/>
        </w:rPr>
        <w:t>thereafter.</w:t>
      </w:r>
      <w:r>
        <w:rPr>
          <w:spacing w:val="-5"/>
          <w:sz w:val="20"/>
        </w:rPr>
        <w:t xml:space="preserve"> </w:t>
      </w:r>
      <w:r>
        <w:rPr>
          <w:sz w:val="20"/>
        </w:rPr>
        <w:t>If</w:t>
      </w:r>
      <w:r>
        <w:rPr>
          <w:spacing w:val="-9"/>
          <w:sz w:val="20"/>
        </w:rPr>
        <w:t xml:space="preserve"> </w:t>
      </w:r>
      <w:r>
        <w:rPr>
          <w:sz w:val="20"/>
        </w:rPr>
        <w:t>you</w:t>
      </w:r>
      <w:r>
        <w:rPr>
          <w:spacing w:val="-8"/>
          <w:sz w:val="20"/>
        </w:rPr>
        <w:t xml:space="preserve"> </w:t>
      </w:r>
      <w:r>
        <w:rPr>
          <w:sz w:val="20"/>
        </w:rPr>
        <w:t>intend</w:t>
      </w:r>
      <w:r>
        <w:rPr>
          <w:spacing w:val="-8"/>
          <w:sz w:val="20"/>
        </w:rPr>
        <w:t xml:space="preserve"> </w:t>
      </w:r>
      <w:r>
        <w:rPr>
          <w:sz w:val="20"/>
        </w:rPr>
        <w:t>to</w:t>
      </w:r>
      <w:r>
        <w:rPr>
          <w:spacing w:val="-8"/>
          <w:sz w:val="20"/>
        </w:rPr>
        <w:t xml:space="preserve"> </w:t>
      </w:r>
      <w:r>
        <w:rPr>
          <w:sz w:val="20"/>
        </w:rPr>
        <w:t>make a</w:t>
      </w:r>
      <w:r>
        <w:rPr>
          <w:spacing w:val="-6"/>
          <w:sz w:val="20"/>
        </w:rPr>
        <w:t xml:space="preserve"> </w:t>
      </w:r>
      <w:r>
        <w:rPr>
          <w:sz w:val="20"/>
        </w:rPr>
        <w:t>gift</w:t>
      </w:r>
      <w:r>
        <w:rPr>
          <w:spacing w:val="-5"/>
          <w:sz w:val="20"/>
        </w:rPr>
        <w:t xml:space="preserve"> </w:t>
      </w:r>
      <w:r>
        <w:rPr>
          <w:sz w:val="20"/>
        </w:rPr>
        <w:t>during</w:t>
      </w:r>
      <w:r>
        <w:rPr>
          <w:spacing w:val="-9"/>
          <w:sz w:val="20"/>
        </w:rPr>
        <w:t xml:space="preserve"> </w:t>
      </w:r>
      <w:r>
        <w:rPr>
          <w:sz w:val="20"/>
        </w:rPr>
        <w:t>periods</w:t>
      </w:r>
      <w:r>
        <w:rPr>
          <w:spacing w:val="-6"/>
          <w:sz w:val="20"/>
        </w:rPr>
        <w:t xml:space="preserve"> </w:t>
      </w:r>
      <w:r>
        <w:rPr>
          <w:sz w:val="20"/>
        </w:rPr>
        <w:t>when</w:t>
      </w:r>
      <w:r>
        <w:rPr>
          <w:spacing w:val="-9"/>
          <w:sz w:val="20"/>
        </w:rPr>
        <w:t xml:space="preserve"> </w:t>
      </w:r>
      <w:r>
        <w:rPr>
          <w:sz w:val="20"/>
        </w:rPr>
        <w:t>trading</w:t>
      </w:r>
      <w:r>
        <w:rPr>
          <w:spacing w:val="-11"/>
          <w:sz w:val="20"/>
        </w:rPr>
        <w:t xml:space="preserve"> </w:t>
      </w:r>
      <w:r>
        <w:rPr>
          <w:sz w:val="20"/>
        </w:rPr>
        <w:t>is</w:t>
      </w:r>
      <w:r>
        <w:rPr>
          <w:spacing w:val="-8"/>
          <w:sz w:val="20"/>
        </w:rPr>
        <w:t xml:space="preserve"> </w:t>
      </w:r>
      <w:r>
        <w:rPr>
          <w:sz w:val="20"/>
        </w:rPr>
        <w:t>restricted,</w:t>
      </w:r>
      <w:r>
        <w:rPr>
          <w:spacing w:val="-8"/>
          <w:sz w:val="20"/>
        </w:rPr>
        <w:t xml:space="preserve"> </w:t>
      </w:r>
      <w:r>
        <w:rPr>
          <w:sz w:val="20"/>
        </w:rPr>
        <w:t>you</w:t>
      </w:r>
      <w:r>
        <w:rPr>
          <w:spacing w:val="-9"/>
          <w:sz w:val="20"/>
        </w:rPr>
        <w:t xml:space="preserve"> </w:t>
      </w:r>
      <w:r>
        <w:rPr>
          <w:sz w:val="20"/>
        </w:rPr>
        <w:t>must</w:t>
      </w:r>
      <w:r>
        <w:rPr>
          <w:spacing w:val="-5"/>
          <w:sz w:val="20"/>
        </w:rPr>
        <w:t xml:space="preserve"> </w:t>
      </w:r>
      <w:r>
        <w:rPr>
          <w:sz w:val="20"/>
        </w:rPr>
        <w:t>review</w:t>
      </w:r>
      <w:r>
        <w:rPr>
          <w:spacing w:val="-10"/>
          <w:sz w:val="20"/>
        </w:rPr>
        <w:t xml:space="preserve"> </w:t>
      </w:r>
      <w:r>
        <w:rPr>
          <w:sz w:val="20"/>
        </w:rPr>
        <w:t>the</w:t>
      </w:r>
      <w:r>
        <w:rPr>
          <w:spacing w:val="-6"/>
          <w:sz w:val="20"/>
        </w:rPr>
        <w:t xml:space="preserve"> </w:t>
      </w:r>
      <w:r>
        <w:rPr>
          <w:sz w:val="20"/>
        </w:rPr>
        <w:t>gift</w:t>
      </w:r>
      <w:r>
        <w:rPr>
          <w:spacing w:val="-10"/>
          <w:sz w:val="20"/>
        </w:rPr>
        <w:t xml:space="preserve"> </w:t>
      </w:r>
      <w:r>
        <w:rPr>
          <w:sz w:val="20"/>
        </w:rPr>
        <w:t>transaction</w:t>
      </w:r>
      <w:r>
        <w:rPr>
          <w:spacing w:val="-6"/>
          <w:sz w:val="20"/>
        </w:rPr>
        <w:t xml:space="preserve"> </w:t>
      </w:r>
      <w:r>
        <w:rPr>
          <w:sz w:val="20"/>
        </w:rPr>
        <w:t>with</w:t>
      </w:r>
      <w:r>
        <w:rPr>
          <w:spacing w:val="-11"/>
          <w:sz w:val="20"/>
        </w:rPr>
        <w:t xml:space="preserve"> </w:t>
      </w:r>
      <w:r>
        <w:rPr>
          <w:spacing w:val="-6"/>
          <w:sz w:val="20"/>
        </w:rPr>
        <w:t xml:space="preserve">EWI’s </w:t>
      </w:r>
      <w:r>
        <w:rPr>
          <w:sz w:val="20"/>
        </w:rPr>
        <w:t>General Counsel prior to making the gift.</w:t>
      </w:r>
    </w:p>
    <w:p>
      <w:pPr>
        <w:pStyle w:val="TextBody"/>
        <w:bidi w:val="0"/>
        <w:spacing w:before="238" w:after="0"/>
        <w:ind w:left="0" w:right="134" w:hanging="0"/>
        <w:jc w:val="left"/>
        <w:rPr/>
      </w:pPr>
      <w:r>
        <w:rPr/>
        <w:t> </w:t>
      </w:r>
    </w:p>
    <w:p>
      <w:pPr>
        <w:pStyle w:val="TextBody"/>
        <w:bidi w:val="0"/>
        <w:spacing w:before="0" w:after="0"/>
        <w:jc w:val="center"/>
        <w:rPr>
          <w:sz w:val="20"/>
        </w:rPr>
      </w:pPr>
      <w:r>
        <w:rPr>
          <w:sz w:val="20"/>
        </w:rPr>
        <w:t>4</w:t>
      </w:r>
    </w:p>
    <w:p>
      <w:pPr>
        <w:pStyle w:val="HorizontalLine"/>
        <w:pBdr>
          <w:bottom w:val="double" w:sz="2" w:space="0" w:color="808080"/>
        </w:pBdr>
        <w:bidi w:val="0"/>
        <w:ind w:left="0" w:right="134" w:hanging="0"/>
        <w:jc w:val="center"/>
        <w:rPr/>
      </w:pPr>
      <w:r>
        <w:rPr/>
      </w:r>
    </w:p>
    <w:p>
      <w:pPr>
        <w:pStyle w:val="TextBody"/>
        <w:bidi w:val="0"/>
        <w:spacing w:lineRule="auto" w:line="14" w:before="0" w:after="0"/>
        <w:ind w:left="0" w:right="134" w:hanging="0"/>
        <w:jc w:val="left"/>
        <w:rPr/>
      </w:pPr>
      <w:r>
        <w:drawing>
          <wp:anchor behindDoc="0" distT="2232025" distB="0" distL="3252470" distR="0" simplePos="0" locked="0" layoutInCell="1" allowOverlap="1" relativeHeight="6">
            <wp:simplePos x="0" y="0"/>
            <wp:positionH relativeFrom="character">
              <wp:align>left</wp:align>
            </wp:positionH>
            <wp:positionV relativeFrom="line">
              <wp:align>top</wp:align>
            </wp:positionV>
            <wp:extent cx="161925" cy="180975"/>
            <wp:effectExtent l="0" t="0" r="0" b="0"/>
            <wp:wrapNone/>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3"/>
                    <a:stretch>
                      <a:fillRect/>
                    </a:stretch>
                  </pic:blipFill>
                  <pic:spPr bwMode="auto">
                    <a:xfrm>
                      <a:off x="0" y="0"/>
                      <a:ext cx="161925" cy="180975"/>
                    </a:xfrm>
                    <a:prstGeom prst="rect">
                      <a:avLst/>
                    </a:prstGeom>
                  </pic:spPr>
                </pic:pic>
              </a:graphicData>
            </a:graphic>
          </wp:anchor>
        </w:drawing>
      </w:r>
      <w:r>
        <w:rPr/>
        <w:t> </w:t>
      </w:r>
    </w:p>
    <w:p>
      <w:pPr>
        <w:pStyle w:val="TextBody"/>
        <w:bidi w:val="0"/>
        <w:spacing w:before="0" w:after="0"/>
        <w:ind w:left="19" w:right="142" w:firstLine="723"/>
        <w:jc w:val="left"/>
        <w:rPr>
          <w:sz w:val="20"/>
        </w:rPr>
      </w:pPr>
      <w:r>
        <w:rPr>
          <w:sz w:val="20"/>
        </w:rPr>
        <w:t>11.</w:t>
      </w:r>
      <w:r>
        <w:rPr>
          <w:caps w:val="false"/>
          <w:smallCaps w:val="false"/>
          <w:sz w:val="20"/>
        </w:rPr>
        <w:t xml:space="preserve">                </w:t>
      </w:r>
      <w:r>
        <w:rPr>
          <w:sz w:val="20"/>
          <w:u w:val="single"/>
        </w:rPr>
        <w:t>Consequences of Violation</w:t>
      </w:r>
      <w:r>
        <w:rPr>
          <w:sz w:val="20"/>
        </w:rPr>
        <w:t>.</w:t>
      </w:r>
      <w:r>
        <w:rPr>
          <w:spacing w:val="40"/>
          <w:sz w:val="20"/>
        </w:rPr>
        <w:t xml:space="preserve"> </w:t>
      </w:r>
      <w:r>
        <w:rPr>
          <w:sz w:val="20"/>
        </w:rPr>
        <w:t>The Company considers strict compliance with this Policy</w:t>
      </w:r>
      <w:r>
        <w:rPr>
          <w:spacing w:val="-1"/>
          <w:sz w:val="20"/>
        </w:rPr>
        <w:t xml:space="preserve"> </w:t>
      </w:r>
      <w:r>
        <w:rPr>
          <w:sz w:val="20"/>
        </w:rPr>
        <w:t>to be a</w:t>
      </w:r>
      <w:r>
        <w:rPr>
          <w:spacing w:val="-1"/>
          <w:sz w:val="20"/>
        </w:rPr>
        <w:t xml:space="preserve"> </w:t>
      </w:r>
      <w:r>
        <w:rPr>
          <w:sz w:val="20"/>
        </w:rPr>
        <w:t>matter of utmost importance. We would</w:t>
      </w:r>
      <w:r>
        <w:rPr>
          <w:spacing w:val="-1"/>
          <w:sz w:val="20"/>
        </w:rPr>
        <w:t xml:space="preserve"> </w:t>
      </w:r>
      <w:r>
        <w:rPr>
          <w:sz w:val="20"/>
        </w:rPr>
        <w:t>consider any</w:t>
      </w:r>
      <w:r>
        <w:rPr>
          <w:spacing w:val="-1"/>
          <w:sz w:val="20"/>
        </w:rPr>
        <w:t xml:space="preserve"> </w:t>
      </w:r>
      <w:r>
        <w:rPr>
          <w:sz w:val="20"/>
        </w:rPr>
        <w:t>violation of this Policy by any covered person as a threat to our reputation. Violation of this Policy could</w:t>
      </w:r>
      <w:r>
        <w:rPr>
          <w:spacing w:val="-2"/>
          <w:sz w:val="20"/>
        </w:rPr>
        <w:t xml:space="preserve"> </w:t>
      </w:r>
      <w:r>
        <w:rPr>
          <w:sz w:val="20"/>
        </w:rPr>
        <w:t>cause extreme embarrassment</w:t>
      </w:r>
      <w:r>
        <w:rPr>
          <w:spacing w:val="-5"/>
          <w:sz w:val="20"/>
        </w:rPr>
        <w:t xml:space="preserve"> </w:t>
      </w:r>
      <w:r>
        <w:rPr>
          <w:sz w:val="20"/>
        </w:rPr>
        <w:t>and</w:t>
      </w:r>
      <w:r>
        <w:rPr>
          <w:spacing w:val="-8"/>
          <w:sz w:val="20"/>
        </w:rPr>
        <w:t xml:space="preserve"> </w:t>
      </w:r>
      <w:r>
        <w:rPr>
          <w:sz w:val="20"/>
        </w:rPr>
        <w:t>possible</w:t>
      </w:r>
      <w:r>
        <w:rPr>
          <w:spacing w:val="-7"/>
          <w:sz w:val="20"/>
        </w:rPr>
        <w:t xml:space="preserve"> </w:t>
      </w:r>
      <w:r>
        <w:rPr>
          <w:sz w:val="20"/>
        </w:rPr>
        <w:t>legal</w:t>
      </w:r>
      <w:r>
        <w:rPr>
          <w:spacing w:val="-9"/>
          <w:sz w:val="20"/>
        </w:rPr>
        <w:t xml:space="preserve"> </w:t>
      </w:r>
      <w:r>
        <w:rPr>
          <w:sz w:val="20"/>
        </w:rPr>
        <w:t>liability</w:t>
      </w:r>
      <w:r>
        <w:rPr>
          <w:spacing w:val="-10"/>
          <w:sz w:val="20"/>
        </w:rPr>
        <w:t xml:space="preserve"> </w:t>
      </w:r>
      <w:r>
        <w:rPr>
          <w:sz w:val="20"/>
        </w:rPr>
        <w:t>to</w:t>
      </w:r>
      <w:r>
        <w:rPr>
          <w:spacing w:val="-8"/>
          <w:sz w:val="20"/>
        </w:rPr>
        <w:t xml:space="preserve"> </w:t>
      </w:r>
      <w:r>
        <w:rPr>
          <w:sz w:val="20"/>
        </w:rPr>
        <w:t>you</w:t>
      </w:r>
      <w:r>
        <w:rPr>
          <w:spacing w:val="-6"/>
          <w:sz w:val="20"/>
        </w:rPr>
        <w:t xml:space="preserve"> </w:t>
      </w:r>
      <w:r>
        <w:rPr>
          <w:sz w:val="20"/>
        </w:rPr>
        <w:t>and</w:t>
      </w:r>
      <w:r>
        <w:rPr>
          <w:spacing w:val="-10"/>
          <w:sz w:val="20"/>
        </w:rPr>
        <w:t xml:space="preserve"> </w:t>
      </w:r>
      <w:r>
        <w:rPr>
          <w:sz w:val="20"/>
        </w:rPr>
        <w:t>the</w:t>
      </w:r>
      <w:r>
        <w:rPr>
          <w:spacing w:val="-7"/>
          <w:sz w:val="20"/>
        </w:rPr>
        <w:t xml:space="preserve"> </w:t>
      </w:r>
      <w:r>
        <w:rPr>
          <w:sz w:val="20"/>
        </w:rPr>
        <w:t>Company.</w:t>
      </w:r>
      <w:r>
        <w:rPr>
          <w:spacing w:val="-8"/>
          <w:sz w:val="20"/>
        </w:rPr>
        <w:t xml:space="preserve"> </w:t>
      </w:r>
      <w:r>
        <w:rPr>
          <w:sz w:val="20"/>
        </w:rPr>
        <w:t>Violations</w:t>
      </w:r>
      <w:r>
        <w:rPr>
          <w:spacing w:val="-7"/>
          <w:sz w:val="20"/>
        </w:rPr>
        <w:t xml:space="preserve"> </w:t>
      </w:r>
      <w:r>
        <w:rPr>
          <w:sz w:val="20"/>
        </w:rPr>
        <w:t>of</w:t>
      </w:r>
      <w:r>
        <w:rPr>
          <w:spacing w:val="-9"/>
          <w:sz w:val="20"/>
        </w:rPr>
        <w:t xml:space="preserve"> </w:t>
      </w:r>
      <w:r>
        <w:rPr>
          <w:sz w:val="20"/>
        </w:rPr>
        <w:t>the</w:t>
      </w:r>
      <w:r>
        <w:rPr>
          <w:spacing w:val="-10"/>
          <w:sz w:val="20"/>
        </w:rPr>
        <w:t xml:space="preserve"> </w:t>
      </w:r>
      <w:r>
        <w:rPr>
          <w:sz w:val="20"/>
        </w:rPr>
        <w:t>letter</w:t>
      </w:r>
      <w:r>
        <w:rPr>
          <w:spacing w:val="-5"/>
          <w:sz w:val="20"/>
        </w:rPr>
        <w:t xml:space="preserve"> </w:t>
      </w:r>
      <w:r>
        <w:rPr>
          <w:sz w:val="20"/>
        </w:rPr>
        <w:t>or</w:t>
      </w:r>
      <w:r>
        <w:rPr>
          <w:spacing w:val="-7"/>
          <w:sz w:val="20"/>
        </w:rPr>
        <w:t xml:space="preserve"> </w:t>
      </w:r>
      <w:r>
        <w:rPr>
          <w:sz w:val="20"/>
        </w:rPr>
        <w:t>spirit</w:t>
      </w:r>
      <w:r>
        <w:rPr>
          <w:spacing w:val="-5"/>
          <w:sz w:val="20"/>
        </w:rPr>
        <w:t xml:space="preserve"> </w:t>
      </w:r>
      <w:r>
        <w:rPr>
          <w:sz w:val="20"/>
        </w:rPr>
        <w:t>of this Policy will be grounds for disciplinary</w:t>
      </w:r>
      <w:r>
        <w:rPr>
          <w:spacing w:val="-1"/>
          <w:sz w:val="20"/>
        </w:rPr>
        <w:t xml:space="preserve"> </w:t>
      </w:r>
      <w:r>
        <w:rPr>
          <w:sz w:val="20"/>
        </w:rPr>
        <w:t>action by</w:t>
      </w:r>
      <w:r>
        <w:rPr>
          <w:spacing w:val="-1"/>
          <w:sz w:val="20"/>
        </w:rPr>
        <w:t xml:space="preserve"> </w:t>
      </w:r>
      <w:r>
        <w:rPr>
          <w:sz w:val="20"/>
        </w:rPr>
        <w:t>the Company, including</w:t>
      </w:r>
      <w:r>
        <w:rPr>
          <w:spacing w:val="-1"/>
          <w:sz w:val="20"/>
        </w:rPr>
        <w:t xml:space="preserve"> </w:t>
      </w:r>
      <w:r>
        <w:rPr>
          <w:sz w:val="20"/>
        </w:rPr>
        <w:t>immediate dismissal from the Company. Violation of this Policy</w:t>
      </w:r>
      <w:r>
        <w:rPr>
          <w:spacing w:val="-1"/>
          <w:sz w:val="20"/>
        </w:rPr>
        <w:t xml:space="preserve"> </w:t>
      </w:r>
      <w:r>
        <w:rPr>
          <w:sz w:val="20"/>
        </w:rPr>
        <w:t>might expose the violator to severe criminal penalties, including</w:t>
      </w:r>
      <w:r>
        <w:rPr>
          <w:spacing w:val="-9"/>
          <w:sz w:val="20"/>
        </w:rPr>
        <w:t xml:space="preserve"> </w:t>
      </w:r>
      <w:r>
        <w:rPr>
          <w:sz w:val="20"/>
        </w:rPr>
        <w:t>fines</w:t>
      </w:r>
      <w:r>
        <w:rPr>
          <w:spacing w:val="-1"/>
          <w:sz w:val="20"/>
        </w:rPr>
        <w:t xml:space="preserve"> </w:t>
      </w:r>
      <w:r>
        <w:rPr>
          <w:sz w:val="20"/>
        </w:rPr>
        <w:t>of</w:t>
      </w:r>
      <w:r>
        <w:rPr>
          <w:spacing w:val="-3"/>
          <w:sz w:val="20"/>
        </w:rPr>
        <w:t xml:space="preserve"> </w:t>
      </w:r>
      <w:r>
        <w:rPr>
          <w:sz w:val="20"/>
        </w:rPr>
        <w:t>up</w:t>
      </w:r>
      <w:r>
        <w:rPr>
          <w:spacing w:val="-1"/>
          <w:sz w:val="20"/>
        </w:rPr>
        <w:t xml:space="preserve"> </w:t>
      </w:r>
      <w:r>
        <w:rPr>
          <w:sz w:val="20"/>
        </w:rPr>
        <w:t>to</w:t>
      </w:r>
      <w:r>
        <w:rPr>
          <w:spacing w:val="-6"/>
          <w:sz w:val="20"/>
        </w:rPr>
        <w:t xml:space="preserve"> </w:t>
      </w:r>
      <w:r>
        <w:rPr>
          <w:sz w:val="20"/>
        </w:rPr>
        <w:t>$5</w:t>
      </w:r>
      <w:r>
        <w:rPr>
          <w:spacing w:val="-6"/>
          <w:sz w:val="20"/>
        </w:rPr>
        <w:t xml:space="preserve"> </w:t>
      </w:r>
      <w:r>
        <w:rPr>
          <w:sz w:val="20"/>
        </w:rPr>
        <w:t>million</w:t>
      </w:r>
      <w:r>
        <w:rPr>
          <w:spacing w:val="-6"/>
          <w:sz w:val="20"/>
        </w:rPr>
        <w:t xml:space="preserve"> </w:t>
      </w:r>
      <w:r>
        <w:rPr>
          <w:sz w:val="20"/>
        </w:rPr>
        <w:t>and</w:t>
      </w:r>
      <w:r>
        <w:rPr>
          <w:spacing w:val="-4"/>
          <w:sz w:val="20"/>
        </w:rPr>
        <w:t xml:space="preserve"> </w:t>
      </w:r>
      <w:r>
        <w:rPr>
          <w:sz w:val="20"/>
        </w:rPr>
        <w:t>imprisonment for</w:t>
      </w:r>
      <w:r>
        <w:rPr>
          <w:spacing w:val="-3"/>
          <w:sz w:val="20"/>
        </w:rPr>
        <w:t xml:space="preserve"> </w:t>
      </w:r>
      <w:r>
        <w:rPr>
          <w:sz w:val="20"/>
        </w:rPr>
        <w:t>up</w:t>
      </w:r>
      <w:r>
        <w:rPr>
          <w:spacing w:val="-6"/>
          <w:sz w:val="20"/>
        </w:rPr>
        <w:t xml:space="preserve"> </w:t>
      </w:r>
      <w:r>
        <w:rPr>
          <w:sz w:val="20"/>
        </w:rPr>
        <w:t>to</w:t>
      </w:r>
      <w:r>
        <w:rPr>
          <w:spacing w:val="-1"/>
          <w:sz w:val="20"/>
        </w:rPr>
        <w:t xml:space="preserve"> </w:t>
      </w:r>
      <w:r>
        <w:rPr>
          <w:sz w:val="20"/>
        </w:rPr>
        <w:t>20</w:t>
      </w:r>
      <w:r>
        <w:rPr>
          <w:spacing w:val="-4"/>
          <w:sz w:val="20"/>
        </w:rPr>
        <w:t xml:space="preserve"> </w:t>
      </w:r>
      <w:r>
        <w:rPr>
          <w:sz w:val="20"/>
        </w:rPr>
        <w:t>years,</w:t>
      </w:r>
      <w:r>
        <w:rPr>
          <w:spacing w:val="-1"/>
          <w:sz w:val="20"/>
        </w:rPr>
        <w:t xml:space="preserve"> </w:t>
      </w:r>
      <w:r>
        <w:rPr>
          <w:sz w:val="20"/>
        </w:rPr>
        <w:t>or</w:t>
      </w:r>
      <w:r>
        <w:rPr>
          <w:spacing w:val="-3"/>
          <w:sz w:val="20"/>
        </w:rPr>
        <w:t xml:space="preserve"> </w:t>
      </w:r>
      <w:r>
        <w:rPr>
          <w:sz w:val="20"/>
        </w:rPr>
        <w:t>both,</w:t>
      </w:r>
      <w:r>
        <w:rPr>
          <w:spacing w:val="-4"/>
          <w:sz w:val="20"/>
        </w:rPr>
        <w:t xml:space="preserve"> </w:t>
      </w:r>
      <w:r>
        <w:rPr>
          <w:sz w:val="20"/>
        </w:rPr>
        <w:t>and</w:t>
      </w:r>
      <w:r>
        <w:rPr>
          <w:spacing w:val="-4"/>
          <w:sz w:val="20"/>
        </w:rPr>
        <w:t xml:space="preserve"> </w:t>
      </w:r>
      <w:r>
        <w:rPr>
          <w:sz w:val="20"/>
        </w:rPr>
        <w:t>civil</w:t>
      </w:r>
      <w:r>
        <w:rPr>
          <w:spacing w:val="-5"/>
          <w:sz w:val="20"/>
        </w:rPr>
        <w:t xml:space="preserve"> </w:t>
      </w:r>
      <w:r>
        <w:rPr>
          <w:sz w:val="20"/>
        </w:rPr>
        <w:t>penalties</w:t>
      </w:r>
      <w:r>
        <w:rPr>
          <w:spacing w:val="-3"/>
          <w:sz w:val="20"/>
        </w:rPr>
        <w:t xml:space="preserve"> </w:t>
      </w:r>
      <w:r>
        <w:rPr>
          <w:sz w:val="20"/>
        </w:rPr>
        <w:t>to the SEC</w:t>
      </w:r>
      <w:r>
        <w:rPr>
          <w:spacing w:val="-1"/>
          <w:sz w:val="20"/>
        </w:rPr>
        <w:t xml:space="preserve"> </w:t>
      </w:r>
      <w:r>
        <w:rPr>
          <w:sz w:val="20"/>
        </w:rPr>
        <w:t>of up to three times the</w:t>
      </w:r>
      <w:r>
        <w:rPr>
          <w:spacing w:val="-2"/>
          <w:sz w:val="20"/>
        </w:rPr>
        <w:t xml:space="preserve"> </w:t>
      </w:r>
      <w:r>
        <w:rPr>
          <w:sz w:val="20"/>
        </w:rPr>
        <w:t>profit gained or loss avoided as a result of</w:t>
      </w:r>
      <w:r>
        <w:rPr>
          <w:spacing w:val="-1"/>
          <w:sz w:val="20"/>
        </w:rPr>
        <w:t xml:space="preserve"> </w:t>
      </w:r>
      <w:r>
        <w:rPr>
          <w:sz w:val="20"/>
        </w:rPr>
        <w:t>the violation. In addition violators may be subject to civil liability to any person injured by the violation. The monetary damages to persons</w:t>
      </w:r>
      <w:r>
        <w:rPr>
          <w:spacing w:val="-1"/>
          <w:sz w:val="20"/>
        </w:rPr>
        <w:t xml:space="preserve"> </w:t>
      </w:r>
      <w:r>
        <w:rPr>
          <w:sz w:val="20"/>
        </w:rPr>
        <w:t>injured</w:t>
      </w:r>
      <w:r>
        <w:rPr>
          <w:spacing w:val="-4"/>
          <w:sz w:val="20"/>
        </w:rPr>
        <w:t xml:space="preserve"> </w:t>
      </w:r>
      <w:r>
        <w:rPr>
          <w:sz w:val="20"/>
        </w:rPr>
        <w:t>may</w:t>
      </w:r>
      <w:r>
        <w:rPr>
          <w:spacing w:val="-1"/>
          <w:sz w:val="20"/>
        </w:rPr>
        <w:t xml:space="preserve"> </w:t>
      </w:r>
      <w:r>
        <w:rPr>
          <w:sz w:val="20"/>
        </w:rPr>
        <w:t>be as much as three times the profit realized or loss avoided by</w:t>
      </w:r>
      <w:r>
        <w:rPr>
          <w:spacing w:val="-1"/>
          <w:sz w:val="20"/>
        </w:rPr>
        <w:t xml:space="preserve"> </w:t>
      </w:r>
      <w:r>
        <w:rPr>
          <w:sz w:val="20"/>
        </w:rPr>
        <w:t>the violator, as well as the attorney’s fees of the persons injured.</w:t>
      </w:r>
    </w:p>
    <w:p>
      <w:pPr>
        <w:pStyle w:val="TextBody"/>
        <w:bidi w:val="0"/>
        <w:spacing w:before="239" w:after="0"/>
        <w:ind w:left="19" w:right="103" w:firstLine="720"/>
        <w:jc w:val="left"/>
        <w:rPr>
          <w:sz w:val="20"/>
        </w:rPr>
      </w:pPr>
      <w:r>
        <w:rPr>
          <w:sz w:val="20"/>
        </w:rPr>
        <w:t>Additionally, persons or entities who, at the time of the violation, directly or indirectly “controlled” the person who</w:t>
      </w:r>
      <w:r>
        <w:rPr>
          <w:spacing w:val="-1"/>
          <w:sz w:val="20"/>
        </w:rPr>
        <w:t xml:space="preserve"> </w:t>
      </w:r>
      <w:r>
        <w:rPr>
          <w:sz w:val="20"/>
        </w:rPr>
        <w:t>committed</w:t>
      </w:r>
      <w:r>
        <w:rPr>
          <w:spacing w:val="-1"/>
          <w:sz w:val="20"/>
        </w:rPr>
        <w:t xml:space="preserve"> </w:t>
      </w:r>
      <w:r>
        <w:rPr>
          <w:sz w:val="20"/>
        </w:rPr>
        <w:t>the violation</w:t>
      </w:r>
      <w:r>
        <w:rPr>
          <w:spacing w:val="-3"/>
          <w:sz w:val="20"/>
        </w:rPr>
        <w:t xml:space="preserve"> </w:t>
      </w:r>
      <w:r>
        <w:rPr>
          <w:sz w:val="20"/>
        </w:rPr>
        <w:t>are subject to civil penalties</w:t>
      </w:r>
      <w:r>
        <w:rPr>
          <w:spacing w:val="-3"/>
          <w:sz w:val="20"/>
        </w:rPr>
        <w:t xml:space="preserve"> </w:t>
      </w:r>
      <w:r>
        <w:rPr>
          <w:sz w:val="20"/>
        </w:rPr>
        <w:t>of up</w:t>
      </w:r>
      <w:r>
        <w:rPr>
          <w:spacing w:val="-3"/>
          <w:sz w:val="20"/>
        </w:rPr>
        <w:t xml:space="preserve"> </w:t>
      </w:r>
      <w:r>
        <w:rPr>
          <w:sz w:val="20"/>
        </w:rPr>
        <w:t>to</w:t>
      </w:r>
      <w:r>
        <w:rPr>
          <w:spacing w:val="-1"/>
          <w:sz w:val="20"/>
        </w:rPr>
        <w:t xml:space="preserve"> </w:t>
      </w:r>
      <w:r>
        <w:rPr>
          <w:sz w:val="20"/>
        </w:rPr>
        <w:t>the greater of $1 million</w:t>
      </w:r>
      <w:r>
        <w:rPr>
          <w:spacing w:val="-1"/>
          <w:sz w:val="20"/>
        </w:rPr>
        <w:t xml:space="preserve"> </w:t>
      </w:r>
      <w:r>
        <w:rPr>
          <w:sz w:val="20"/>
        </w:rPr>
        <w:t>or three times</w:t>
      </w:r>
      <w:r>
        <w:rPr>
          <w:spacing w:val="-1"/>
          <w:sz w:val="20"/>
        </w:rPr>
        <w:t xml:space="preserve"> </w:t>
      </w:r>
      <w:r>
        <w:rPr>
          <w:sz w:val="20"/>
        </w:rPr>
        <w:t>the profit gained or loss avoided as a</w:t>
      </w:r>
      <w:r>
        <w:rPr>
          <w:spacing w:val="-1"/>
          <w:sz w:val="20"/>
        </w:rPr>
        <w:t xml:space="preserve"> </w:t>
      </w:r>
      <w:r>
        <w:rPr>
          <w:sz w:val="20"/>
        </w:rPr>
        <w:t>result of the controlled person’s violation and criminal penalties of up to $25 million. The potential for such controlling person’s liability is particularly</w:t>
      </w:r>
      <w:r>
        <w:rPr>
          <w:spacing w:val="-4"/>
          <w:sz w:val="20"/>
        </w:rPr>
        <w:t xml:space="preserve"> </w:t>
      </w:r>
      <w:r>
        <w:rPr>
          <w:sz w:val="20"/>
        </w:rPr>
        <w:t>important for</w:t>
      </w:r>
      <w:r>
        <w:rPr>
          <w:spacing w:val="-1"/>
          <w:sz w:val="20"/>
        </w:rPr>
        <w:t xml:space="preserve"> </w:t>
      </w:r>
      <w:r>
        <w:rPr>
          <w:sz w:val="20"/>
        </w:rPr>
        <w:t>the Company, because</w:t>
      </w:r>
      <w:r>
        <w:rPr>
          <w:spacing w:val="-2"/>
          <w:sz w:val="20"/>
        </w:rPr>
        <w:t xml:space="preserve"> </w:t>
      </w:r>
      <w:r>
        <w:rPr>
          <w:sz w:val="20"/>
        </w:rPr>
        <w:t>the Company</w:t>
      </w:r>
      <w:r>
        <w:rPr>
          <w:spacing w:val="-2"/>
          <w:sz w:val="20"/>
        </w:rPr>
        <w:t xml:space="preserve"> </w:t>
      </w:r>
      <w:r>
        <w:rPr>
          <w:sz w:val="20"/>
        </w:rPr>
        <w:t>(and possibly</w:t>
      </w:r>
      <w:r>
        <w:rPr>
          <w:spacing w:val="-2"/>
          <w:sz w:val="20"/>
        </w:rPr>
        <w:t xml:space="preserve"> </w:t>
      </w:r>
      <w:r>
        <w:rPr>
          <w:sz w:val="20"/>
        </w:rPr>
        <w:t>directors</w:t>
      </w:r>
      <w:r>
        <w:rPr>
          <w:spacing w:val="-1"/>
          <w:sz w:val="20"/>
        </w:rPr>
        <w:t xml:space="preserve"> </w:t>
      </w:r>
      <w:r>
        <w:rPr>
          <w:sz w:val="20"/>
        </w:rPr>
        <w:t>and certain officers of the Company) may be considered to “control” Company employees for this purpose. In view of the potential</w:t>
      </w:r>
      <w:r>
        <w:rPr>
          <w:spacing w:val="-1"/>
          <w:sz w:val="20"/>
        </w:rPr>
        <w:t xml:space="preserve"> </w:t>
      </w:r>
      <w:r>
        <w:rPr>
          <w:sz w:val="20"/>
        </w:rPr>
        <w:t>legal</w:t>
      </w:r>
      <w:r>
        <w:rPr>
          <w:spacing w:val="-1"/>
          <w:sz w:val="20"/>
        </w:rPr>
        <w:t xml:space="preserve"> </w:t>
      </w:r>
      <w:r>
        <w:rPr>
          <w:sz w:val="20"/>
        </w:rPr>
        <w:t>exposure</w:t>
      </w:r>
      <w:r>
        <w:rPr>
          <w:spacing w:val="-2"/>
          <w:sz w:val="20"/>
        </w:rPr>
        <w:t xml:space="preserve"> </w:t>
      </w:r>
      <w:r>
        <w:rPr>
          <w:sz w:val="20"/>
        </w:rPr>
        <w:t>faced by the Company, as well as the potential for significant</w:t>
      </w:r>
      <w:r>
        <w:rPr>
          <w:spacing w:val="-6"/>
          <w:sz w:val="20"/>
        </w:rPr>
        <w:t xml:space="preserve"> </w:t>
      </w:r>
      <w:r>
        <w:rPr>
          <w:sz w:val="20"/>
        </w:rPr>
        <w:t>damage</w:t>
      </w:r>
      <w:r>
        <w:rPr>
          <w:spacing w:val="-11"/>
          <w:sz w:val="20"/>
        </w:rPr>
        <w:t xml:space="preserve"> </w:t>
      </w:r>
      <w:r>
        <w:rPr>
          <w:sz w:val="20"/>
        </w:rPr>
        <w:t>to</w:t>
      </w:r>
      <w:r>
        <w:rPr>
          <w:spacing w:val="-9"/>
          <w:sz w:val="20"/>
        </w:rPr>
        <w:t xml:space="preserve"> </w:t>
      </w:r>
      <w:r>
        <w:rPr>
          <w:sz w:val="20"/>
        </w:rPr>
        <w:t>its</w:t>
      </w:r>
      <w:r>
        <w:rPr>
          <w:spacing w:val="-11"/>
          <w:sz w:val="20"/>
        </w:rPr>
        <w:t xml:space="preserve"> </w:t>
      </w:r>
      <w:r>
        <w:rPr>
          <w:sz w:val="20"/>
        </w:rPr>
        <w:t>business</w:t>
      </w:r>
      <w:r>
        <w:rPr>
          <w:spacing w:val="-8"/>
          <w:sz w:val="20"/>
        </w:rPr>
        <w:t xml:space="preserve"> </w:t>
      </w:r>
      <w:r>
        <w:rPr>
          <w:sz w:val="20"/>
        </w:rPr>
        <w:t>and</w:t>
      </w:r>
      <w:r>
        <w:rPr>
          <w:spacing w:val="-9"/>
          <w:sz w:val="20"/>
        </w:rPr>
        <w:t xml:space="preserve"> </w:t>
      </w:r>
      <w:r>
        <w:rPr>
          <w:sz w:val="20"/>
        </w:rPr>
        <w:t>public</w:t>
      </w:r>
      <w:r>
        <w:rPr>
          <w:spacing w:val="-8"/>
          <w:sz w:val="20"/>
        </w:rPr>
        <w:t xml:space="preserve"> </w:t>
      </w:r>
      <w:r>
        <w:rPr>
          <w:sz w:val="20"/>
        </w:rPr>
        <w:t>relations,</w:t>
      </w:r>
      <w:r>
        <w:rPr>
          <w:spacing w:val="-11"/>
          <w:sz w:val="20"/>
        </w:rPr>
        <w:t xml:space="preserve"> </w:t>
      </w:r>
      <w:r>
        <w:rPr>
          <w:sz w:val="20"/>
        </w:rPr>
        <w:t>the</w:t>
      </w:r>
      <w:r>
        <w:rPr>
          <w:spacing w:val="-7"/>
          <w:sz w:val="20"/>
        </w:rPr>
        <w:t xml:space="preserve"> </w:t>
      </w:r>
      <w:r>
        <w:rPr>
          <w:sz w:val="20"/>
        </w:rPr>
        <w:t>Company</w:t>
      </w:r>
      <w:r>
        <w:rPr>
          <w:spacing w:val="-9"/>
          <w:sz w:val="20"/>
        </w:rPr>
        <w:t xml:space="preserve"> </w:t>
      </w:r>
      <w:r>
        <w:rPr>
          <w:sz w:val="20"/>
        </w:rPr>
        <w:t>will</w:t>
      </w:r>
      <w:r>
        <w:rPr>
          <w:spacing w:val="-10"/>
          <w:sz w:val="20"/>
        </w:rPr>
        <w:t xml:space="preserve"> </w:t>
      </w:r>
      <w:r>
        <w:rPr>
          <w:sz w:val="20"/>
        </w:rPr>
        <w:t>insist</w:t>
      </w:r>
      <w:r>
        <w:rPr>
          <w:spacing w:val="-7"/>
          <w:sz w:val="20"/>
        </w:rPr>
        <w:t xml:space="preserve"> </w:t>
      </w:r>
      <w:r>
        <w:rPr>
          <w:sz w:val="20"/>
        </w:rPr>
        <w:t>upon</w:t>
      </w:r>
      <w:r>
        <w:rPr>
          <w:spacing w:val="-9"/>
          <w:sz w:val="20"/>
        </w:rPr>
        <w:t xml:space="preserve"> </w:t>
      </w:r>
      <w:r>
        <w:rPr>
          <w:sz w:val="20"/>
        </w:rPr>
        <w:t>strict</w:t>
      </w:r>
      <w:r>
        <w:rPr>
          <w:spacing w:val="-8"/>
          <w:sz w:val="20"/>
        </w:rPr>
        <w:t xml:space="preserve"> </w:t>
      </w:r>
      <w:r>
        <w:rPr>
          <w:sz w:val="20"/>
        </w:rPr>
        <w:t>compliance with this Policy.</w:t>
      </w:r>
    </w:p>
    <w:p>
      <w:pPr>
        <w:pStyle w:val="TextBody"/>
        <w:bidi w:val="0"/>
        <w:spacing w:before="238" w:after="0"/>
        <w:ind w:left="22" w:right="91" w:firstLine="720"/>
        <w:jc w:val="left"/>
        <w:rPr>
          <w:sz w:val="20"/>
        </w:rPr>
      </w:pPr>
      <w:r>
        <w:rPr>
          <w:sz w:val="20"/>
        </w:rPr>
        <w:t>12.</w:t>
      </w:r>
      <w:r>
        <w:rPr>
          <w:caps w:val="false"/>
          <w:smallCaps w:val="false"/>
          <w:sz w:val="20"/>
        </w:rPr>
        <w:t xml:space="preserve">                </w:t>
      </w:r>
      <w:r>
        <w:rPr>
          <w:sz w:val="20"/>
          <w:u w:val="single"/>
        </w:rPr>
        <w:t>Resolving</w:t>
      </w:r>
      <w:r>
        <w:rPr>
          <w:spacing w:val="-8"/>
          <w:sz w:val="20"/>
          <w:u w:val="single"/>
        </w:rPr>
        <w:t xml:space="preserve"> </w:t>
      </w:r>
      <w:r>
        <w:rPr>
          <w:sz w:val="20"/>
          <w:u w:val="single"/>
        </w:rPr>
        <w:t>Doubts</w:t>
      </w:r>
      <w:r>
        <w:rPr>
          <w:sz w:val="20"/>
        </w:rPr>
        <w:t>.</w:t>
      </w:r>
      <w:r>
        <w:rPr>
          <w:spacing w:val="40"/>
          <w:sz w:val="20"/>
        </w:rPr>
        <w:t xml:space="preserve"> </w:t>
      </w:r>
      <w:r>
        <w:rPr>
          <w:sz w:val="20"/>
        </w:rPr>
        <w:t>If</w:t>
      </w:r>
      <w:r>
        <w:rPr>
          <w:spacing w:val="-8"/>
          <w:sz w:val="20"/>
        </w:rPr>
        <w:t xml:space="preserve"> </w:t>
      </w:r>
      <w:r>
        <w:rPr>
          <w:sz w:val="20"/>
        </w:rPr>
        <w:t>you</w:t>
      </w:r>
      <w:r>
        <w:rPr>
          <w:spacing w:val="-6"/>
          <w:sz w:val="20"/>
        </w:rPr>
        <w:t xml:space="preserve"> </w:t>
      </w:r>
      <w:r>
        <w:rPr>
          <w:sz w:val="20"/>
        </w:rPr>
        <w:t>have</w:t>
      </w:r>
      <w:r>
        <w:rPr>
          <w:spacing w:val="-6"/>
          <w:sz w:val="20"/>
        </w:rPr>
        <w:t xml:space="preserve"> </w:t>
      </w:r>
      <w:r>
        <w:rPr>
          <w:sz w:val="20"/>
        </w:rPr>
        <w:t>any</w:t>
      </w:r>
      <w:r>
        <w:rPr>
          <w:spacing w:val="-8"/>
          <w:sz w:val="20"/>
        </w:rPr>
        <w:t xml:space="preserve"> </w:t>
      </w:r>
      <w:r>
        <w:rPr>
          <w:sz w:val="20"/>
        </w:rPr>
        <w:t>doubt</w:t>
      </w:r>
      <w:r>
        <w:rPr>
          <w:spacing w:val="-5"/>
          <w:sz w:val="20"/>
        </w:rPr>
        <w:t xml:space="preserve"> </w:t>
      </w:r>
      <w:r>
        <w:rPr>
          <w:sz w:val="20"/>
        </w:rPr>
        <w:t>as</w:t>
      </w:r>
      <w:r>
        <w:rPr>
          <w:spacing w:val="-10"/>
          <w:sz w:val="20"/>
        </w:rPr>
        <w:t xml:space="preserve"> </w:t>
      </w:r>
      <w:r>
        <w:rPr>
          <w:sz w:val="20"/>
        </w:rPr>
        <w:t>to</w:t>
      </w:r>
      <w:r>
        <w:rPr>
          <w:spacing w:val="-8"/>
          <w:sz w:val="20"/>
        </w:rPr>
        <w:t xml:space="preserve"> </w:t>
      </w:r>
      <w:r>
        <w:rPr>
          <w:sz w:val="20"/>
        </w:rPr>
        <w:t>your</w:t>
      </w:r>
      <w:r>
        <w:rPr>
          <w:spacing w:val="-8"/>
          <w:sz w:val="20"/>
        </w:rPr>
        <w:t xml:space="preserve"> </w:t>
      </w:r>
      <w:r>
        <w:rPr>
          <w:sz w:val="20"/>
        </w:rPr>
        <w:t>responsibilities</w:t>
      </w:r>
      <w:r>
        <w:rPr>
          <w:spacing w:val="-8"/>
          <w:sz w:val="20"/>
        </w:rPr>
        <w:t xml:space="preserve"> </w:t>
      </w:r>
      <w:r>
        <w:rPr>
          <w:sz w:val="20"/>
        </w:rPr>
        <w:t>under</w:t>
      </w:r>
      <w:r>
        <w:rPr>
          <w:spacing w:val="-8"/>
          <w:sz w:val="20"/>
        </w:rPr>
        <w:t xml:space="preserve"> </w:t>
      </w:r>
      <w:r>
        <w:rPr>
          <w:sz w:val="20"/>
        </w:rPr>
        <w:t>this</w:t>
      </w:r>
      <w:r>
        <w:rPr>
          <w:spacing w:val="-8"/>
          <w:sz w:val="20"/>
        </w:rPr>
        <w:t xml:space="preserve"> </w:t>
      </w:r>
      <w:r>
        <w:rPr>
          <w:sz w:val="20"/>
        </w:rPr>
        <w:t>Policy, seek clarification and guidance before you act from EWI’s General Counsel. Do not try to resolve uncertainties on your own.</w:t>
      </w:r>
    </w:p>
    <w:p>
      <w:pPr>
        <w:pStyle w:val="TextBody"/>
        <w:bidi w:val="0"/>
        <w:spacing w:before="239" w:after="0"/>
        <w:ind w:left="22" w:right="192" w:firstLine="720"/>
        <w:jc w:val="left"/>
        <w:rPr>
          <w:sz w:val="20"/>
        </w:rPr>
      </w:pPr>
      <w:r>
        <w:rPr>
          <w:sz w:val="20"/>
        </w:rPr>
        <w:t>13.</w:t>
      </w:r>
      <w:r>
        <w:rPr>
          <w:caps w:val="false"/>
          <w:smallCaps w:val="false"/>
          <w:sz w:val="20"/>
        </w:rPr>
        <w:t xml:space="preserve">                </w:t>
      </w:r>
      <w:r>
        <w:rPr>
          <w:sz w:val="20"/>
          <w:u w:val="single"/>
        </w:rPr>
        <w:t>Blackout Periods, Pre-Clearance Procedures and Transaction Reporting</w:t>
      </w:r>
      <w:r>
        <w:rPr>
          <w:sz w:val="20"/>
        </w:rPr>
        <w:t>.</w:t>
      </w:r>
      <w:r>
        <w:rPr>
          <w:spacing w:val="40"/>
          <w:sz w:val="20"/>
        </w:rPr>
        <w:t xml:space="preserve"> </w:t>
      </w:r>
      <w:r>
        <w:rPr>
          <w:sz w:val="20"/>
        </w:rPr>
        <w:t>To help prevent</w:t>
      </w:r>
      <w:r>
        <w:rPr>
          <w:spacing w:val="-4"/>
          <w:sz w:val="20"/>
        </w:rPr>
        <w:t xml:space="preserve"> </w:t>
      </w:r>
      <w:r>
        <w:rPr>
          <w:sz w:val="20"/>
        </w:rPr>
        <w:t>violations</w:t>
      </w:r>
      <w:r>
        <w:rPr>
          <w:spacing w:val="-9"/>
          <w:sz w:val="20"/>
        </w:rPr>
        <w:t xml:space="preserve"> </w:t>
      </w:r>
      <w:r>
        <w:rPr>
          <w:sz w:val="20"/>
        </w:rPr>
        <w:t>of</w:t>
      </w:r>
      <w:r>
        <w:rPr>
          <w:spacing w:val="-9"/>
          <w:sz w:val="20"/>
        </w:rPr>
        <w:t xml:space="preserve"> </w:t>
      </w:r>
      <w:r>
        <w:rPr>
          <w:sz w:val="20"/>
        </w:rPr>
        <w:t>the</w:t>
      </w:r>
      <w:r>
        <w:rPr>
          <w:spacing w:val="-10"/>
          <w:sz w:val="20"/>
        </w:rPr>
        <w:t xml:space="preserve"> </w:t>
      </w:r>
      <w:r>
        <w:rPr>
          <w:sz w:val="20"/>
        </w:rPr>
        <w:t>applicable</w:t>
      </w:r>
      <w:r>
        <w:rPr>
          <w:spacing w:val="-7"/>
          <w:sz w:val="20"/>
        </w:rPr>
        <w:t xml:space="preserve"> </w:t>
      </w:r>
      <w:r>
        <w:rPr>
          <w:sz w:val="20"/>
        </w:rPr>
        <w:t>securities</w:t>
      </w:r>
      <w:r>
        <w:rPr>
          <w:spacing w:val="-7"/>
          <w:sz w:val="20"/>
        </w:rPr>
        <w:t xml:space="preserve"> </w:t>
      </w:r>
      <w:r>
        <w:rPr>
          <w:sz w:val="20"/>
        </w:rPr>
        <w:t>laws</w:t>
      </w:r>
      <w:r>
        <w:rPr>
          <w:spacing w:val="-5"/>
          <w:sz w:val="20"/>
        </w:rPr>
        <w:t xml:space="preserve"> </w:t>
      </w:r>
      <w:r>
        <w:rPr>
          <w:sz w:val="20"/>
        </w:rPr>
        <w:t>and</w:t>
      </w:r>
      <w:r>
        <w:rPr>
          <w:spacing w:val="-10"/>
          <w:sz w:val="20"/>
        </w:rPr>
        <w:t xml:space="preserve"> </w:t>
      </w:r>
      <w:r>
        <w:rPr>
          <w:sz w:val="20"/>
        </w:rPr>
        <w:t>to</w:t>
      </w:r>
      <w:r>
        <w:rPr>
          <w:spacing w:val="-5"/>
          <w:sz w:val="20"/>
        </w:rPr>
        <w:t xml:space="preserve"> </w:t>
      </w:r>
      <w:r>
        <w:rPr>
          <w:sz w:val="20"/>
        </w:rPr>
        <w:t>avoid</w:t>
      </w:r>
      <w:r>
        <w:rPr>
          <w:spacing w:val="-10"/>
          <w:sz w:val="20"/>
        </w:rPr>
        <w:t xml:space="preserve"> </w:t>
      </w:r>
      <w:r>
        <w:rPr>
          <w:sz w:val="20"/>
        </w:rPr>
        <w:t>even</w:t>
      </w:r>
      <w:r>
        <w:rPr>
          <w:spacing w:val="-8"/>
          <w:sz w:val="20"/>
        </w:rPr>
        <w:t xml:space="preserve"> </w:t>
      </w:r>
      <w:r>
        <w:rPr>
          <w:sz w:val="20"/>
        </w:rPr>
        <w:t>the</w:t>
      </w:r>
      <w:r>
        <w:rPr>
          <w:spacing w:val="-10"/>
          <w:sz w:val="20"/>
        </w:rPr>
        <w:t xml:space="preserve"> </w:t>
      </w:r>
      <w:r>
        <w:rPr>
          <w:sz w:val="20"/>
        </w:rPr>
        <w:t>appearance</w:t>
      </w:r>
      <w:r>
        <w:rPr>
          <w:spacing w:val="-5"/>
          <w:sz w:val="20"/>
        </w:rPr>
        <w:t xml:space="preserve"> </w:t>
      </w:r>
      <w:r>
        <w:rPr>
          <w:sz w:val="20"/>
        </w:rPr>
        <w:t>of</w:t>
      </w:r>
      <w:r>
        <w:rPr>
          <w:spacing w:val="-9"/>
          <w:sz w:val="20"/>
        </w:rPr>
        <w:t xml:space="preserve"> </w:t>
      </w:r>
      <w:r>
        <w:rPr>
          <w:sz w:val="20"/>
        </w:rPr>
        <w:t>trading</w:t>
      </w:r>
      <w:r>
        <w:rPr>
          <w:spacing w:val="-8"/>
          <w:sz w:val="20"/>
        </w:rPr>
        <w:t xml:space="preserve"> </w:t>
      </w:r>
      <w:r>
        <w:rPr>
          <w:sz w:val="20"/>
        </w:rPr>
        <w:t>on</w:t>
      </w:r>
      <w:r>
        <w:rPr>
          <w:spacing w:val="-8"/>
          <w:sz w:val="20"/>
        </w:rPr>
        <w:t xml:space="preserve"> </w:t>
      </w:r>
      <w:r>
        <w:rPr>
          <w:sz w:val="20"/>
        </w:rPr>
        <w:t>the basis of inside information, the Company has adopted</w:t>
      </w:r>
      <w:r>
        <w:rPr>
          <w:spacing w:val="-2"/>
          <w:sz w:val="20"/>
        </w:rPr>
        <w:t xml:space="preserve"> </w:t>
      </w:r>
      <w:r>
        <w:rPr>
          <w:sz w:val="20"/>
        </w:rPr>
        <w:t>an Addendum to</w:t>
      </w:r>
      <w:r>
        <w:rPr>
          <w:spacing w:val="-3"/>
          <w:sz w:val="20"/>
        </w:rPr>
        <w:t xml:space="preserve"> </w:t>
      </w:r>
      <w:r>
        <w:rPr>
          <w:sz w:val="20"/>
        </w:rPr>
        <w:t>this Policy that applies to</w:t>
      </w:r>
    </w:p>
    <w:p>
      <w:pPr>
        <w:pStyle w:val="TextBody"/>
        <w:bidi w:val="0"/>
        <w:spacing w:before="0" w:after="0"/>
        <w:ind w:left="21" w:right="0" w:firstLine="1"/>
        <w:jc w:val="left"/>
        <w:rPr>
          <w:sz w:val="20"/>
        </w:rPr>
      </w:pPr>
      <w:r>
        <w:rPr>
          <w:sz w:val="20"/>
        </w:rPr>
        <w:t>(i) directors and</w:t>
      </w:r>
      <w:r>
        <w:rPr>
          <w:spacing w:val="-1"/>
          <w:sz w:val="20"/>
        </w:rPr>
        <w:t xml:space="preserve"> </w:t>
      </w:r>
      <w:r>
        <w:rPr>
          <w:sz w:val="20"/>
        </w:rPr>
        <w:t>executive officers of the Company</w:t>
      </w:r>
      <w:r>
        <w:rPr>
          <w:spacing w:val="-3"/>
          <w:sz w:val="20"/>
        </w:rPr>
        <w:t xml:space="preserve"> </w:t>
      </w:r>
      <w:r>
        <w:rPr>
          <w:sz w:val="20"/>
        </w:rPr>
        <w:t>subject to</w:t>
      </w:r>
      <w:r>
        <w:rPr>
          <w:spacing w:val="-1"/>
          <w:sz w:val="20"/>
        </w:rPr>
        <w:t xml:space="preserve"> </w:t>
      </w:r>
      <w:r>
        <w:rPr>
          <w:sz w:val="20"/>
        </w:rPr>
        <w:t>Section 16 of</w:t>
      </w:r>
      <w:r>
        <w:rPr>
          <w:spacing w:val="-2"/>
          <w:sz w:val="20"/>
        </w:rPr>
        <w:t xml:space="preserve"> </w:t>
      </w:r>
      <w:r>
        <w:rPr>
          <w:sz w:val="20"/>
        </w:rPr>
        <w:t>the Securities</w:t>
      </w:r>
      <w:r>
        <w:rPr>
          <w:spacing w:val="-3"/>
          <w:sz w:val="20"/>
        </w:rPr>
        <w:t xml:space="preserve"> </w:t>
      </w:r>
      <w:r>
        <w:rPr>
          <w:sz w:val="20"/>
        </w:rPr>
        <w:t>Exchange Act</w:t>
      </w:r>
      <w:r>
        <w:rPr>
          <w:spacing w:val="-3"/>
          <w:sz w:val="20"/>
        </w:rPr>
        <w:t xml:space="preserve"> </w:t>
      </w:r>
      <w:r>
        <w:rPr>
          <w:sz w:val="20"/>
        </w:rPr>
        <w:t>of</w:t>
      </w:r>
      <w:r>
        <w:rPr>
          <w:spacing w:val="-6"/>
          <w:sz w:val="20"/>
        </w:rPr>
        <w:t xml:space="preserve"> </w:t>
      </w:r>
      <w:r>
        <w:rPr>
          <w:sz w:val="20"/>
        </w:rPr>
        <w:t>1934,</w:t>
      </w:r>
      <w:r>
        <w:rPr>
          <w:spacing w:val="-7"/>
          <w:sz w:val="20"/>
        </w:rPr>
        <w:t xml:space="preserve"> </w:t>
      </w:r>
      <w:r>
        <w:rPr>
          <w:sz w:val="20"/>
        </w:rPr>
        <w:t>as</w:t>
      </w:r>
      <w:r>
        <w:rPr>
          <w:spacing w:val="-6"/>
          <w:sz w:val="20"/>
        </w:rPr>
        <w:t xml:space="preserve"> </w:t>
      </w:r>
      <w:r>
        <w:rPr>
          <w:sz w:val="20"/>
        </w:rPr>
        <w:t>amended,</w:t>
      </w:r>
      <w:r>
        <w:rPr>
          <w:spacing w:val="-11"/>
          <w:sz w:val="20"/>
        </w:rPr>
        <w:t xml:space="preserve"> </w:t>
      </w:r>
      <w:r>
        <w:rPr>
          <w:sz w:val="20"/>
        </w:rPr>
        <w:t>(ii)</w:t>
      </w:r>
      <w:r>
        <w:rPr>
          <w:spacing w:val="-3"/>
          <w:sz w:val="20"/>
        </w:rPr>
        <w:t xml:space="preserve"> </w:t>
      </w:r>
      <w:r>
        <w:rPr>
          <w:sz w:val="20"/>
        </w:rPr>
        <w:t>persons</w:t>
      </w:r>
      <w:r>
        <w:rPr>
          <w:spacing w:val="-4"/>
          <w:sz w:val="20"/>
        </w:rPr>
        <w:t xml:space="preserve"> </w:t>
      </w:r>
      <w:r>
        <w:rPr>
          <w:sz w:val="20"/>
        </w:rPr>
        <w:t>who</w:t>
      </w:r>
      <w:r>
        <w:rPr>
          <w:spacing w:val="-8"/>
          <w:sz w:val="20"/>
        </w:rPr>
        <w:t xml:space="preserve"> </w:t>
      </w:r>
      <w:r>
        <w:rPr>
          <w:sz w:val="20"/>
        </w:rPr>
        <w:t>report</w:t>
      </w:r>
      <w:r>
        <w:rPr>
          <w:spacing w:val="-6"/>
          <w:sz w:val="20"/>
        </w:rPr>
        <w:t xml:space="preserve"> </w:t>
      </w:r>
      <w:r>
        <w:rPr>
          <w:sz w:val="20"/>
        </w:rPr>
        <w:t>directly</w:t>
      </w:r>
      <w:r>
        <w:rPr>
          <w:spacing w:val="-7"/>
          <w:sz w:val="20"/>
        </w:rPr>
        <w:t xml:space="preserve"> </w:t>
      </w:r>
      <w:r>
        <w:rPr>
          <w:sz w:val="20"/>
        </w:rPr>
        <w:t>to</w:t>
      </w:r>
      <w:r>
        <w:rPr>
          <w:spacing w:val="-4"/>
          <w:sz w:val="20"/>
        </w:rPr>
        <w:t xml:space="preserve"> </w:t>
      </w:r>
      <w:r>
        <w:rPr>
          <w:sz w:val="20"/>
        </w:rPr>
        <w:t>any</w:t>
      </w:r>
      <w:r>
        <w:rPr>
          <w:spacing w:val="-8"/>
          <w:sz w:val="20"/>
        </w:rPr>
        <w:t xml:space="preserve"> </w:t>
      </w:r>
      <w:r>
        <w:rPr>
          <w:sz w:val="20"/>
        </w:rPr>
        <w:t>such</w:t>
      </w:r>
      <w:r>
        <w:rPr>
          <w:spacing w:val="-8"/>
          <w:sz w:val="20"/>
        </w:rPr>
        <w:t xml:space="preserve"> </w:t>
      </w:r>
      <w:r>
        <w:rPr>
          <w:sz w:val="20"/>
        </w:rPr>
        <w:t>executive</w:t>
      </w:r>
      <w:r>
        <w:rPr>
          <w:spacing w:val="-6"/>
          <w:sz w:val="20"/>
        </w:rPr>
        <w:t xml:space="preserve"> </w:t>
      </w:r>
      <w:r>
        <w:rPr>
          <w:sz w:val="20"/>
        </w:rPr>
        <w:t>officer</w:t>
      </w:r>
      <w:r>
        <w:rPr>
          <w:spacing w:val="-6"/>
          <w:sz w:val="20"/>
        </w:rPr>
        <w:t xml:space="preserve"> </w:t>
      </w:r>
      <w:r>
        <w:rPr>
          <w:sz w:val="20"/>
        </w:rPr>
        <w:t>and</w:t>
      </w:r>
      <w:r>
        <w:rPr>
          <w:spacing w:val="-8"/>
          <w:sz w:val="20"/>
        </w:rPr>
        <w:t xml:space="preserve"> </w:t>
      </w:r>
      <w:r>
        <w:rPr>
          <w:sz w:val="20"/>
        </w:rPr>
        <w:t>(iii) other individuals designated from time to</w:t>
      </w:r>
      <w:r>
        <w:rPr>
          <w:spacing w:val="-2"/>
          <w:sz w:val="20"/>
        </w:rPr>
        <w:t xml:space="preserve"> </w:t>
      </w:r>
      <w:r>
        <w:rPr>
          <w:sz w:val="20"/>
        </w:rPr>
        <w:t>time by Euronet Worldwide, Inc. as being subject to the Addendum.</w:t>
      </w:r>
      <w:r>
        <w:rPr>
          <w:spacing w:val="-5"/>
          <w:sz w:val="20"/>
        </w:rPr>
        <w:t xml:space="preserve"> </w:t>
      </w:r>
      <w:r>
        <w:rPr>
          <w:sz w:val="20"/>
        </w:rPr>
        <w:t>If</w:t>
      </w:r>
      <w:r>
        <w:rPr>
          <w:spacing w:val="-7"/>
          <w:sz w:val="20"/>
        </w:rPr>
        <w:t xml:space="preserve"> </w:t>
      </w:r>
      <w:r>
        <w:rPr>
          <w:sz w:val="20"/>
        </w:rPr>
        <w:t>you</w:t>
      </w:r>
      <w:r>
        <w:rPr>
          <w:spacing w:val="-8"/>
          <w:sz w:val="20"/>
        </w:rPr>
        <w:t xml:space="preserve"> </w:t>
      </w:r>
      <w:r>
        <w:rPr>
          <w:sz w:val="20"/>
        </w:rPr>
        <w:t>fall</w:t>
      </w:r>
      <w:r>
        <w:rPr>
          <w:spacing w:val="-4"/>
          <w:sz w:val="20"/>
        </w:rPr>
        <w:t xml:space="preserve"> </w:t>
      </w:r>
      <w:r>
        <w:rPr>
          <w:sz w:val="20"/>
        </w:rPr>
        <w:t>within</w:t>
      </w:r>
      <w:r>
        <w:rPr>
          <w:spacing w:val="-8"/>
          <w:sz w:val="20"/>
        </w:rPr>
        <w:t xml:space="preserve"> </w:t>
      </w:r>
      <w:r>
        <w:rPr>
          <w:sz w:val="20"/>
        </w:rPr>
        <w:t>one</w:t>
      </w:r>
      <w:r>
        <w:rPr>
          <w:spacing w:val="-7"/>
          <w:sz w:val="20"/>
        </w:rPr>
        <w:t xml:space="preserve"> </w:t>
      </w:r>
      <w:r>
        <w:rPr>
          <w:sz w:val="20"/>
        </w:rPr>
        <w:t>of</w:t>
      </w:r>
      <w:r>
        <w:rPr>
          <w:spacing w:val="-8"/>
          <w:sz w:val="20"/>
        </w:rPr>
        <w:t xml:space="preserve"> </w:t>
      </w:r>
      <w:r>
        <w:rPr>
          <w:sz w:val="20"/>
        </w:rPr>
        <w:t>these</w:t>
      </w:r>
      <w:r>
        <w:rPr>
          <w:spacing w:val="-7"/>
          <w:sz w:val="20"/>
        </w:rPr>
        <w:t xml:space="preserve"> </w:t>
      </w:r>
      <w:r>
        <w:rPr>
          <w:sz w:val="20"/>
        </w:rPr>
        <w:t>categories,</w:t>
      </w:r>
      <w:r>
        <w:rPr>
          <w:spacing w:val="-9"/>
          <w:sz w:val="20"/>
        </w:rPr>
        <w:t xml:space="preserve"> </w:t>
      </w:r>
      <w:r>
        <w:rPr>
          <w:sz w:val="20"/>
        </w:rPr>
        <w:t>you</w:t>
      </w:r>
      <w:r>
        <w:rPr>
          <w:spacing w:val="-8"/>
          <w:sz w:val="20"/>
        </w:rPr>
        <w:t xml:space="preserve"> </w:t>
      </w:r>
      <w:r>
        <w:rPr>
          <w:sz w:val="20"/>
        </w:rPr>
        <w:t>must</w:t>
      </w:r>
      <w:r>
        <w:rPr>
          <w:spacing w:val="-4"/>
          <w:sz w:val="20"/>
        </w:rPr>
        <w:t xml:space="preserve"> </w:t>
      </w:r>
      <w:r>
        <w:rPr>
          <w:sz w:val="20"/>
        </w:rPr>
        <w:t>carefully</w:t>
      </w:r>
      <w:r>
        <w:rPr>
          <w:spacing w:val="-9"/>
          <w:sz w:val="20"/>
        </w:rPr>
        <w:t xml:space="preserve"> </w:t>
      </w:r>
      <w:r>
        <w:rPr>
          <w:sz w:val="20"/>
        </w:rPr>
        <w:t>review</w:t>
      </w:r>
      <w:r>
        <w:rPr>
          <w:spacing w:val="-13"/>
          <w:sz w:val="20"/>
        </w:rPr>
        <w:t xml:space="preserve"> </w:t>
      </w:r>
      <w:r>
        <w:rPr>
          <w:sz w:val="20"/>
        </w:rPr>
        <w:t>and</w:t>
      </w:r>
      <w:r>
        <w:rPr>
          <w:spacing w:val="-5"/>
          <w:sz w:val="20"/>
        </w:rPr>
        <w:t xml:space="preserve"> </w:t>
      </w:r>
      <w:r>
        <w:rPr>
          <w:sz w:val="20"/>
        </w:rPr>
        <w:t>comply</w:t>
      </w:r>
      <w:r>
        <w:rPr>
          <w:spacing w:val="-9"/>
          <w:sz w:val="20"/>
        </w:rPr>
        <w:t xml:space="preserve"> </w:t>
      </w:r>
      <w:r>
        <w:rPr>
          <w:sz w:val="20"/>
        </w:rPr>
        <w:t>with</w:t>
      </w:r>
      <w:r>
        <w:rPr>
          <w:spacing w:val="-8"/>
          <w:sz w:val="20"/>
        </w:rPr>
        <w:t xml:space="preserve"> </w:t>
      </w:r>
      <w:r>
        <w:rPr>
          <w:sz w:val="20"/>
        </w:rPr>
        <w:t>the additional requirements of the Addendum. The Company will notify</w:t>
      </w:r>
      <w:r>
        <w:rPr>
          <w:spacing w:val="-1"/>
          <w:sz w:val="20"/>
        </w:rPr>
        <w:t xml:space="preserve"> </w:t>
      </w:r>
      <w:r>
        <w:rPr>
          <w:sz w:val="20"/>
        </w:rPr>
        <w:t>you if you are subject to</w:t>
      </w:r>
      <w:r>
        <w:rPr>
          <w:spacing w:val="-1"/>
          <w:sz w:val="20"/>
        </w:rPr>
        <w:t xml:space="preserve"> </w:t>
      </w:r>
      <w:r>
        <w:rPr>
          <w:sz w:val="20"/>
        </w:rPr>
        <w:t>the Addendum under clause (ii) or (iii) above.</w:t>
      </w:r>
    </w:p>
    <w:p>
      <w:pPr>
        <w:pStyle w:val="TextBody"/>
        <w:bidi w:val="0"/>
        <w:spacing w:before="241" w:after="0"/>
        <w:ind w:left="21" w:right="97" w:firstLine="719"/>
        <w:jc w:val="left"/>
        <w:rPr>
          <w:sz w:val="20"/>
        </w:rPr>
      </w:pPr>
      <w:r>
        <w:rPr>
          <w:sz w:val="20"/>
        </w:rPr>
        <w:t>The Addendum generally requires persons covered by</w:t>
      </w:r>
      <w:r>
        <w:rPr>
          <w:spacing w:val="-3"/>
          <w:sz w:val="20"/>
        </w:rPr>
        <w:t xml:space="preserve"> </w:t>
      </w:r>
      <w:r>
        <w:rPr>
          <w:sz w:val="20"/>
        </w:rPr>
        <w:t>it to pre-clear with the Company all transactions</w:t>
      </w:r>
      <w:r>
        <w:rPr>
          <w:spacing w:val="-5"/>
          <w:sz w:val="20"/>
        </w:rPr>
        <w:t xml:space="preserve"> </w:t>
      </w:r>
      <w:r>
        <w:rPr>
          <w:sz w:val="20"/>
        </w:rPr>
        <w:t>in</w:t>
      </w:r>
      <w:r>
        <w:rPr>
          <w:spacing w:val="-5"/>
          <w:sz w:val="20"/>
        </w:rPr>
        <w:t xml:space="preserve"> </w:t>
      </w:r>
      <w:r>
        <w:rPr>
          <w:sz w:val="20"/>
        </w:rPr>
        <w:t>the Company’s</w:t>
      </w:r>
      <w:r>
        <w:rPr>
          <w:spacing w:val="-2"/>
          <w:sz w:val="20"/>
        </w:rPr>
        <w:t xml:space="preserve"> </w:t>
      </w:r>
      <w:r>
        <w:rPr>
          <w:sz w:val="20"/>
        </w:rPr>
        <w:t>securities, prohibits such persons</w:t>
      </w:r>
      <w:r>
        <w:rPr>
          <w:spacing w:val="-2"/>
          <w:sz w:val="20"/>
        </w:rPr>
        <w:t xml:space="preserve"> </w:t>
      </w:r>
      <w:r>
        <w:rPr>
          <w:sz w:val="20"/>
        </w:rPr>
        <w:t>from</w:t>
      </w:r>
      <w:r>
        <w:rPr>
          <w:spacing w:val="-6"/>
          <w:sz w:val="20"/>
        </w:rPr>
        <w:t xml:space="preserve"> </w:t>
      </w:r>
      <w:r>
        <w:rPr>
          <w:sz w:val="20"/>
        </w:rPr>
        <w:t>engaging</w:t>
      </w:r>
      <w:r>
        <w:rPr>
          <w:spacing w:val="-5"/>
          <w:sz w:val="20"/>
        </w:rPr>
        <w:t xml:space="preserve"> </w:t>
      </w:r>
      <w:r>
        <w:rPr>
          <w:sz w:val="20"/>
        </w:rPr>
        <w:t>in</w:t>
      </w:r>
      <w:r>
        <w:rPr>
          <w:spacing w:val="-3"/>
          <w:sz w:val="20"/>
        </w:rPr>
        <w:t xml:space="preserve"> </w:t>
      </w:r>
      <w:r>
        <w:rPr>
          <w:sz w:val="20"/>
        </w:rPr>
        <w:t>transactions</w:t>
      </w:r>
      <w:r>
        <w:rPr>
          <w:spacing w:val="-5"/>
          <w:sz w:val="20"/>
        </w:rPr>
        <w:t xml:space="preserve"> </w:t>
      </w:r>
      <w:r>
        <w:rPr>
          <w:sz w:val="20"/>
        </w:rPr>
        <w:t>in</w:t>
      </w:r>
      <w:r>
        <w:rPr>
          <w:spacing w:val="-5"/>
          <w:sz w:val="20"/>
        </w:rPr>
        <w:t xml:space="preserve"> </w:t>
      </w:r>
      <w:r>
        <w:rPr>
          <w:sz w:val="20"/>
        </w:rPr>
        <w:t>the Company’s securities during quarterly earnings blackout periods and other blackout periods designated</w:t>
      </w:r>
      <w:r>
        <w:rPr>
          <w:spacing w:val="-7"/>
          <w:sz w:val="20"/>
        </w:rPr>
        <w:t xml:space="preserve"> </w:t>
      </w:r>
      <w:r>
        <w:rPr>
          <w:sz w:val="20"/>
        </w:rPr>
        <w:t>by</w:t>
      </w:r>
      <w:r>
        <w:rPr>
          <w:spacing w:val="-9"/>
          <w:sz w:val="20"/>
        </w:rPr>
        <w:t xml:space="preserve"> </w:t>
      </w:r>
      <w:r>
        <w:rPr>
          <w:sz w:val="20"/>
        </w:rPr>
        <w:t>the</w:t>
      </w:r>
      <w:r>
        <w:rPr>
          <w:spacing w:val="-11"/>
          <w:sz w:val="20"/>
        </w:rPr>
        <w:t xml:space="preserve"> </w:t>
      </w:r>
      <w:r>
        <w:rPr>
          <w:sz w:val="20"/>
        </w:rPr>
        <w:t>Company,</w:t>
      </w:r>
      <w:r>
        <w:rPr>
          <w:spacing w:val="-7"/>
          <w:sz w:val="20"/>
        </w:rPr>
        <w:t xml:space="preserve"> </w:t>
      </w:r>
      <w:r>
        <w:rPr>
          <w:sz w:val="20"/>
        </w:rPr>
        <w:t>permits</w:t>
      </w:r>
      <w:r>
        <w:rPr>
          <w:spacing w:val="-8"/>
          <w:sz w:val="20"/>
        </w:rPr>
        <w:t xml:space="preserve"> </w:t>
      </w:r>
      <w:r>
        <w:rPr>
          <w:sz w:val="20"/>
        </w:rPr>
        <w:t>such</w:t>
      </w:r>
      <w:r>
        <w:rPr>
          <w:spacing w:val="-9"/>
          <w:sz w:val="20"/>
        </w:rPr>
        <w:t xml:space="preserve"> </w:t>
      </w:r>
      <w:r>
        <w:rPr>
          <w:sz w:val="20"/>
        </w:rPr>
        <w:t>persons</w:t>
      </w:r>
      <w:r>
        <w:rPr>
          <w:spacing w:val="-11"/>
          <w:sz w:val="20"/>
        </w:rPr>
        <w:t xml:space="preserve"> </w:t>
      </w:r>
      <w:r>
        <w:rPr>
          <w:sz w:val="20"/>
        </w:rPr>
        <w:t>to</w:t>
      </w:r>
      <w:r>
        <w:rPr>
          <w:spacing w:val="-9"/>
          <w:sz w:val="20"/>
        </w:rPr>
        <w:t xml:space="preserve"> </w:t>
      </w:r>
      <w:r>
        <w:rPr>
          <w:sz w:val="20"/>
        </w:rPr>
        <w:t>adopt</w:t>
      </w:r>
      <w:r>
        <w:rPr>
          <w:spacing w:val="-8"/>
          <w:sz w:val="20"/>
        </w:rPr>
        <w:t xml:space="preserve"> </w:t>
      </w:r>
      <w:r>
        <w:rPr>
          <w:sz w:val="20"/>
        </w:rPr>
        <w:t>trading</w:t>
      </w:r>
      <w:r>
        <w:rPr>
          <w:spacing w:val="-11"/>
          <w:sz w:val="20"/>
        </w:rPr>
        <w:t xml:space="preserve"> </w:t>
      </w:r>
      <w:r>
        <w:rPr>
          <w:sz w:val="20"/>
        </w:rPr>
        <w:t>plans</w:t>
      </w:r>
      <w:r>
        <w:rPr>
          <w:spacing w:val="-4"/>
          <w:sz w:val="20"/>
        </w:rPr>
        <w:t xml:space="preserve"> </w:t>
      </w:r>
      <w:r>
        <w:rPr>
          <w:sz w:val="20"/>
        </w:rPr>
        <w:t>under</w:t>
      </w:r>
      <w:r>
        <w:rPr>
          <w:spacing w:val="-10"/>
          <w:sz w:val="20"/>
        </w:rPr>
        <w:t xml:space="preserve"> </w:t>
      </w:r>
      <w:r>
        <w:rPr>
          <w:sz w:val="20"/>
        </w:rPr>
        <w:t>certain</w:t>
      </w:r>
      <w:r>
        <w:rPr>
          <w:spacing w:val="-9"/>
          <w:sz w:val="20"/>
        </w:rPr>
        <w:t xml:space="preserve"> </w:t>
      </w:r>
      <w:r>
        <w:rPr>
          <w:sz w:val="20"/>
        </w:rPr>
        <w:t>circumstances, and specifies certain transaction reporting requirements of directors and executive officers.</w:t>
      </w:r>
    </w:p>
    <w:p>
      <w:pPr>
        <w:pStyle w:val="TextBody"/>
        <w:bidi w:val="0"/>
        <w:spacing w:before="243" w:after="0"/>
        <w:ind w:left="21" w:right="209" w:firstLine="721"/>
        <w:jc w:val="left"/>
        <w:rPr>
          <w:sz w:val="20"/>
        </w:rPr>
      </w:pPr>
      <w:r>
        <w:rPr>
          <w:sz w:val="20"/>
        </w:rPr>
        <w:t>14.</w:t>
      </w:r>
      <w:r>
        <w:rPr>
          <w:caps w:val="false"/>
          <w:smallCaps w:val="false"/>
          <w:sz w:val="20"/>
        </w:rPr>
        <w:t xml:space="preserve">                </w:t>
      </w:r>
      <w:r>
        <w:rPr>
          <w:sz w:val="20"/>
          <w:u w:val="single"/>
        </w:rPr>
        <w:t>A Caution About Possible Inability to Sell</w:t>
      </w:r>
      <w:r>
        <w:rPr>
          <w:sz w:val="20"/>
        </w:rPr>
        <w:t>.</w:t>
      </w:r>
      <w:r>
        <w:rPr>
          <w:spacing w:val="40"/>
          <w:sz w:val="20"/>
        </w:rPr>
        <w:t xml:space="preserve"> </w:t>
      </w:r>
      <w:r>
        <w:rPr>
          <w:sz w:val="20"/>
        </w:rPr>
        <w:t>Although the Company encourages directors,</w:t>
      </w:r>
      <w:r>
        <w:rPr>
          <w:spacing w:val="-3"/>
          <w:sz w:val="20"/>
        </w:rPr>
        <w:t xml:space="preserve"> </w:t>
      </w:r>
      <w:r>
        <w:rPr>
          <w:sz w:val="20"/>
        </w:rPr>
        <w:t>officers</w:t>
      </w:r>
      <w:r>
        <w:rPr>
          <w:spacing w:val="-2"/>
          <w:sz w:val="20"/>
        </w:rPr>
        <w:t xml:space="preserve"> </w:t>
      </w:r>
      <w:r>
        <w:rPr>
          <w:sz w:val="20"/>
        </w:rPr>
        <w:t>and</w:t>
      </w:r>
      <w:r>
        <w:rPr>
          <w:spacing w:val="-5"/>
          <w:sz w:val="20"/>
        </w:rPr>
        <w:t xml:space="preserve"> </w:t>
      </w:r>
      <w:r>
        <w:rPr>
          <w:sz w:val="20"/>
        </w:rPr>
        <w:t>employees</w:t>
      </w:r>
      <w:r>
        <w:rPr>
          <w:spacing w:val="-2"/>
          <w:sz w:val="20"/>
        </w:rPr>
        <w:t xml:space="preserve"> </w:t>
      </w:r>
      <w:r>
        <w:rPr>
          <w:sz w:val="20"/>
        </w:rPr>
        <w:t>to</w:t>
      </w:r>
      <w:r>
        <w:rPr>
          <w:spacing w:val="-3"/>
          <w:sz w:val="20"/>
        </w:rPr>
        <w:t xml:space="preserve"> </w:t>
      </w:r>
      <w:r>
        <w:rPr>
          <w:sz w:val="20"/>
        </w:rPr>
        <w:t>own our</w:t>
      </w:r>
      <w:r>
        <w:rPr>
          <w:spacing w:val="-2"/>
          <w:sz w:val="20"/>
        </w:rPr>
        <w:t xml:space="preserve"> </w:t>
      </w:r>
      <w:r>
        <w:rPr>
          <w:sz w:val="20"/>
        </w:rPr>
        <w:t>securities as a</w:t>
      </w:r>
      <w:r>
        <w:rPr>
          <w:spacing w:val="-5"/>
          <w:sz w:val="20"/>
        </w:rPr>
        <w:t xml:space="preserve"> </w:t>
      </w:r>
      <w:r>
        <w:rPr>
          <w:sz w:val="20"/>
        </w:rPr>
        <w:t>long-term</w:t>
      </w:r>
      <w:r>
        <w:rPr>
          <w:spacing w:val="-7"/>
          <w:sz w:val="20"/>
        </w:rPr>
        <w:t xml:space="preserve"> </w:t>
      </w:r>
      <w:r>
        <w:rPr>
          <w:sz w:val="20"/>
        </w:rPr>
        <w:t>investment (see</w:t>
      </w:r>
      <w:r>
        <w:rPr>
          <w:spacing w:val="-2"/>
          <w:sz w:val="20"/>
        </w:rPr>
        <w:t xml:space="preserve"> </w:t>
      </w:r>
      <w:r>
        <w:rPr>
          <w:sz w:val="20"/>
        </w:rPr>
        <w:t>Section</w:t>
      </w:r>
      <w:r>
        <w:rPr>
          <w:spacing w:val="-3"/>
          <w:sz w:val="20"/>
        </w:rPr>
        <w:t xml:space="preserve"> </w:t>
      </w:r>
      <w:r>
        <w:rPr>
          <w:sz w:val="20"/>
        </w:rPr>
        <w:t>7),</w:t>
      </w:r>
      <w:r>
        <w:rPr>
          <w:spacing w:val="-3"/>
          <w:sz w:val="20"/>
        </w:rPr>
        <w:t xml:space="preserve"> </w:t>
      </w:r>
      <w:r>
        <w:rPr>
          <w:sz w:val="20"/>
        </w:rPr>
        <w:t>all personnel must recognize that trading</w:t>
      </w:r>
      <w:r>
        <w:rPr>
          <w:spacing w:val="-1"/>
          <w:sz w:val="20"/>
        </w:rPr>
        <w:t xml:space="preserve"> </w:t>
      </w:r>
      <w:r>
        <w:rPr>
          <w:sz w:val="20"/>
        </w:rPr>
        <w:t>in</w:t>
      </w:r>
      <w:r>
        <w:rPr>
          <w:spacing w:val="-1"/>
          <w:sz w:val="20"/>
        </w:rPr>
        <w:t xml:space="preserve"> </w:t>
      </w:r>
      <w:r>
        <w:rPr>
          <w:sz w:val="20"/>
        </w:rPr>
        <w:t>securities may</w:t>
      </w:r>
      <w:r>
        <w:rPr>
          <w:spacing w:val="-3"/>
          <w:sz w:val="20"/>
        </w:rPr>
        <w:t xml:space="preserve"> </w:t>
      </w:r>
      <w:r>
        <w:rPr>
          <w:sz w:val="20"/>
        </w:rPr>
        <w:t>be prohibited at a particular time</w:t>
      </w:r>
      <w:r>
        <w:rPr>
          <w:spacing w:val="-1"/>
          <w:sz w:val="20"/>
        </w:rPr>
        <w:t xml:space="preserve"> </w:t>
      </w:r>
      <w:r>
        <w:rPr>
          <w:sz w:val="20"/>
        </w:rPr>
        <w:t>because of the</w:t>
      </w:r>
      <w:r>
        <w:rPr>
          <w:spacing w:val="-9"/>
          <w:sz w:val="20"/>
        </w:rPr>
        <w:t xml:space="preserve"> </w:t>
      </w:r>
      <w:r>
        <w:rPr>
          <w:sz w:val="20"/>
        </w:rPr>
        <w:t>existence</w:t>
      </w:r>
      <w:r>
        <w:rPr>
          <w:spacing w:val="-8"/>
          <w:sz w:val="20"/>
        </w:rPr>
        <w:t xml:space="preserve"> </w:t>
      </w:r>
      <w:r>
        <w:rPr>
          <w:sz w:val="20"/>
        </w:rPr>
        <w:t>of</w:t>
      </w:r>
      <w:r>
        <w:rPr>
          <w:spacing w:val="-11"/>
          <w:sz w:val="20"/>
        </w:rPr>
        <w:t xml:space="preserve"> </w:t>
      </w:r>
      <w:r>
        <w:rPr>
          <w:sz w:val="20"/>
        </w:rPr>
        <w:t>material</w:t>
      </w:r>
      <w:r>
        <w:rPr>
          <w:spacing w:val="-9"/>
          <w:sz w:val="20"/>
        </w:rPr>
        <w:t xml:space="preserve"> </w:t>
      </w:r>
      <w:r>
        <w:rPr>
          <w:sz w:val="20"/>
        </w:rPr>
        <w:t>non-public</w:t>
      </w:r>
      <w:r>
        <w:rPr>
          <w:spacing w:val="-9"/>
          <w:sz w:val="20"/>
        </w:rPr>
        <w:t xml:space="preserve"> </w:t>
      </w:r>
      <w:r>
        <w:rPr>
          <w:sz w:val="20"/>
        </w:rPr>
        <w:t>information.</w:t>
      </w:r>
      <w:r>
        <w:rPr>
          <w:spacing w:val="-8"/>
          <w:sz w:val="20"/>
        </w:rPr>
        <w:t xml:space="preserve"> </w:t>
      </w:r>
      <w:r>
        <w:rPr>
          <w:sz w:val="20"/>
        </w:rPr>
        <w:t>Anyone</w:t>
      </w:r>
      <w:r>
        <w:rPr>
          <w:spacing w:val="-9"/>
          <w:sz w:val="20"/>
        </w:rPr>
        <w:t xml:space="preserve"> </w:t>
      </w:r>
      <w:r>
        <w:rPr>
          <w:sz w:val="20"/>
        </w:rPr>
        <w:t>purchasing</w:t>
      </w:r>
      <w:r>
        <w:rPr>
          <w:spacing w:val="-12"/>
          <w:sz w:val="20"/>
        </w:rPr>
        <w:t xml:space="preserve"> </w:t>
      </w:r>
      <w:r>
        <w:rPr>
          <w:sz w:val="20"/>
        </w:rPr>
        <w:t>our</w:t>
      </w:r>
      <w:r>
        <w:rPr>
          <w:spacing w:val="-11"/>
          <w:sz w:val="20"/>
        </w:rPr>
        <w:t xml:space="preserve"> </w:t>
      </w:r>
      <w:r>
        <w:rPr>
          <w:sz w:val="20"/>
        </w:rPr>
        <w:t>securities</w:t>
      </w:r>
      <w:r>
        <w:rPr>
          <w:spacing w:val="-9"/>
          <w:sz w:val="20"/>
        </w:rPr>
        <w:t xml:space="preserve"> </w:t>
      </w:r>
      <w:r>
        <w:rPr>
          <w:sz w:val="20"/>
        </w:rPr>
        <w:t>must</w:t>
      </w:r>
      <w:r>
        <w:rPr>
          <w:spacing w:val="-9"/>
          <w:sz w:val="20"/>
        </w:rPr>
        <w:t xml:space="preserve"> </w:t>
      </w:r>
      <w:r>
        <w:rPr>
          <w:sz w:val="20"/>
        </w:rPr>
        <w:t>consider</w:t>
      </w:r>
      <w:r>
        <w:rPr>
          <w:spacing w:val="-9"/>
          <w:sz w:val="20"/>
        </w:rPr>
        <w:t xml:space="preserve"> </w:t>
      </w:r>
      <w:r>
        <w:rPr>
          <w:sz w:val="20"/>
        </w:rPr>
        <w:t>the inherent risk</w:t>
      </w:r>
      <w:r>
        <w:rPr>
          <w:spacing w:val="-2"/>
          <w:sz w:val="20"/>
        </w:rPr>
        <w:t xml:space="preserve"> </w:t>
      </w:r>
      <w:r>
        <w:rPr>
          <w:sz w:val="20"/>
        </w:rPr>
        <w:t>that a</w:t>
      </w:r>
      <w:r>
        <w:rPr>
          <w:spacing w:val="-2"/>
          <w:sz w:val="20"/>
        </w:rPr>
        <w:t xml:space="preserve"> </w:t>
      </w:r>
      <w:r>
        <w:rPr>
          <w:sz w:val="20"/>
        </w:rPr>
        <w:t>sale of the securities</w:t>
      </w:r>
      <w:r>
        <w:rPr>
          <w:spacing w:val="-2"/>
          <w:sz w:val="20"/>
        </w:rPr>
        <w:t xml:space="preserve"> </w:t>
      </w:r>
      <w:r>
        <w:rPr>
          <w:sz w:val="20"/>
        </w:rPr>
        <w:t>could be</w:t>
      </w:r>
      <w:r>
        <w:rPr>
          <w:spacing w:val="-2"/>
          <w:sz w:val="20"/>
        </w:rPr>
        <w:t xml:space="preserve"> </w:t>
      </w:r>
      <w:r>
        <w:rPr>
          <w:sz w:val="20"/>
        </w:rPr>
        <w:t>prohibited at a time he or</w:t>
      </w:r>
      <w:r>
        <w:rPr>
          <w:spacing w:val="-1"/>
          <w:sz w:val="20"/>
        </w:rPr>
        <w:t xml:space="preserve"> </w:t>
      </w:r>
      <w:r>
        <w:rPr>
          <w:sz w:val="20"/>
        </w:rPr>
        <w:t>she might desire to sell them. The</w:t>
      </w:r>
      <w:r>
        <w:rPr>
          <w:spacing w:val="-1"/>
          <w:sz w:val="20"/>
        </w:rPr>
        <w:t xml:space="preserve"> </w:t>
      </w:r>
      <w:r>
        <w:rPr>
          <w:sz w:val="20"/>
        </w:rPr>
        <w:t>next opportunity</w:t>
      </w:r>
      <w:r>
        <w:rPr>
          <w:spacing w:val="-1"/>
          <w:sz w:val="20"/>
        </w:rPr>
        <w:t xml:space="preserve"> </w:t>
      </w:r>
      <w:r>
        <w:rPr>
          <w:sz w:val="20"/>
        </w:rPr>
        <w:t>to sell might not occur until after an</w:t>
      </w:r>
      <w:r>
        <w:rPr>
          <w:spacing w:val="-1"/>
          <w:sz w:val="20"/>
        </w:rPr>
        <w:t xml:space="preserve"> </w:t>
      </w:r>
      <w:r>
        <w:rPr>
          <w:sz w:val="20"/>
        </w:rPr>
        <w:t>extended</w:t>
      </w:r>
      <w:r>
        <w:rPr>
          <w:spacing w:val="-1"/>
          <w:sz w:val="20"/>
        </w:rPr>
        <w:t xml:space="preserve"> </w:t>
      </w:r>
      <w:r>
        <w:rPr>
          <w:sz w:val="20"/>
        </w:rPr>
        <w:t>period,</w:t>
      </w:r>
      <w:r>
        <w:rPr>
          <w:spacing w:val="-1"/>
          <w:sz w:val="20"/>
        </w:rPr>
        <w:t xml:space="preserve"> </w:t>
      </w:r>
      <w:r>
        <w:rPr>
          <w:sz w:val="20"/>
        </w:rPr>
        <w:t>during</w:t>
      </w:r>
      <w:r>
        <w:rPr>
          <w:spacing w:val="-1"/>
          <w:sz w:val="20"/>
        </w:rPr>
        <w:t xml:space="preserve"> </w:t>
      </w:r>
      <w:r>
        <w:rPr>
          <w:sz w:val="20"/>
        </w:rPr>
        <w:t>which the market price of the securities might decline.</w:t>
      </w:r>
    </w:p>
    <w:p>
      <w:pPr>
        <w:pStyle w:val="TextBody"/>
        <w:bidi w:val="0"/>
        <w:spacing w:before="0" w:after="0"/>
        <w:ind w:left="1102" w:right="0" w:hanging="360"/>
        <w:jc w:val="left"/>
        <w:rPr/>
      </w:pPr>
      <w:r>
        <w:rPr/>
        <w:t> </w:t>
      </w:r>
    </w:p>
    <w:p>
      <w:pPr>
        <w:pStyle w:val="TextBody"/>
        <w:bidi w:val="0"/>
        <w:spacing w:before="0" w:after="0"/>
        <w:jc w:val="center"/>
        <w:rPr>
          <w:sz w:val="20"/>
        </w:rPr>
      </w:pPr>
      <w:r>
        <w:rPr>
          <w:sz w:val="20"/>
        </w:rPr>
        <w:t>5</w:t>
      </w:r>
    </w:p>
    <w:p>
      <w:pPr>
        <w:pStyle w:val="HorizontalLine"/>
        <w:pBdr>
          <w:bottom w:val="double" w:sz="2" w:space="0" w:color="808080"/>
        </w:pBdr>
        <w:bidi w:val="0"/>
        <w:jc w:val="center"/>
        <w:rPr/>
      </w:pPr>
      <w:r>
        <w:rPr/>
      </w:r>
    </w:p>
    <w:p>
      <w:pPr>
        <w:pStyle w:val="TextBody"/>
        <w:bidi w:val="0"/>
        <w:spacing w:lineRule="auto" w:line="14" w:before="0" w:after="0"/>
        <w:jc w:val="left"/>
        <w:rPr/>
      </w:pPr>
      <w:r>
        <w:drawing>
          <wp:anchor behindDoc="0" distT="3423920" distB="0" distL="3252470" distR="0" simplePos="0" locked="0" layoutInCell="1" allowOverlap="1" relativeHeight="7">
            <wp:simplePos x="0" y="0"/>
            <wp:positionH relativeFrom="character">
              <wp:align>left</wp:align>
            </wp:positionH>
            <wp:positionV relativeFrom="line">
              <wp:align>top</wp:align>
            </wp:positionV>
            <wp:extent cx="161925" cy="180975"/>
            <wp:effectExtent l="0" t="0" r="0" b="0"/>
            <wp:wrapNone/>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4"/>
                    <a:stretch>
                      <a:fillRect/>
                    </a:stretch>
                  </pic:blipFill>
                  <pic:spPr bwMode="auto">
                    <a:xfrm>
                      <a:off x="0" y="0"/>
                      <a:ext cx="161925" cy="180975"/>
                    </a:xfrm>
                    <a:prstGeom prst="rect">
                      <a:avLst/>
                    </a:prstGeom>
                  </pic:spPr>
                </pic:pic>
              </a:graphicData>
            </a:graphic>
          </wp:anchor>
        </w:drawing>
      </w:r>
      <w:r>
        <w:rPr/>
        <w:t> </w:t>
      </w:r>
    </w:p>
    <w:p>
      <w:pPr>
        <w:pStyle w:val="TextBody"/>
        <w:bidi w:val="0"/>
        <w:spacing w:before="75" w:after="0"/>
        <w:ind w:left="890" w:right="888" w:hanging="0"/>
        <w:jc w:val="center"/>
        <w:rPr>
          <w:sz w:val="20"/>
        </w:rPr>
      </w:pPr>
      <w:r>
        <w:rPr>
          <w:b/>
          <w:spacing w:val="-2"/>
          <w:sz w:val="20"/>
        </w:rPr>
        <w:t>Euronet</w:t>
      </w:r>
      <w:r>
        <w:rPr>
          <w:spacing w:val="-1"/>
          <w:sz w:val="20"/>
        </w:rPr>
        <w:t xml:space="preserve"> </w:t>
      </w:r>
      <w:r>
        <w:rPr>
          <w:b/>
          <w:spacing w:val="-2"/>
          <w:sz w:val="20"/>
        </w:rPr>
        <w:t>Worldwide,</w:t>
      </w:r>
      <w:r>
        <w:rPr>
          <w:sz w:val="20"/>
        </w:rPr>
        <w:t xml:space="preserve"> </w:t>
      </w:r>
      <w:r>
        <w:rPr>
          <w:b/>
          <w:spacing w:val="-4"/>
          <w:sz w:val="20"/>
        </w:rPr>
        <w:t>Inc.</w:t>
      </w:r>
    </w:p>
    <w:p>
      <w:pPr>
        <w:pStyle w:val="TextBody"/>
        <w:bidi w:val="0"/>
        <w:spacing w:before="239" w:after="0"/>
        <w:ind w:left="0" w:right="2" w:hanging="0"/>
        <w:jc w:val="center"/>
        <w:rPr>
          <w:sz w:val="20"/>
        </w:rPr>
      </w:pPr>
      <w:r>
        <w:rPr>
          <w:b/>
          <w:spacing w:val="-2"/>
          <w:sz w:val="20"/>
        </w:rPr>
        <w:t>Addendum</w:t>
      </w:r>
      <w:r>
        <w:rPr>
          <w:spacing w:val="1"/>
          <w:sz w:val="20"/>
        </w:rPr>
        <w:t xml:space="preserve"> </w:t>
      </w:r>
      <w:r>
        <w:rPr>
          <w:b/>
          <w:spacing w:val="-5"/>
          <w:sz w:val="20"/>
        </w:rPr>
        <w:t>to</w:t>
      </w:r>
    </w:p>
    <w:p>
      <w:pPr>
        <w:pStyle w:val="TextBody"/>
        <w:bidi w:val="0"/>
        <w:spacing w:before="2" w:after="0"/>
        <w:ind w:left="2" w:right="2" w:hanging="0"/>
        <w:jc w:val="center"/>
        <w:rPr>
          <w:sz w:val="20"/>
        </w:rPr>
      </w:pPr>
      <w:r>
        <w:rPr>
          <w:b/>
          <w:sz w:val="20"/>
        </w:rPr>
        <w:t>Policy</w:t>
      </w:r>
      <w:r>
        <w:rPr>
          <w:spacing w:val="-12"/>
          <w:sz w:val="20"/>
        </w:rPr>
        <w:t xml:space="preserve"> </w:t>
      </w:r>
      <w:r>
        <w:rPr>
          <w:b/>
          <w:sz w:val="20"/>
        </w:rPr>
        <w:t>Relating</w:t>
      </w:r>
      <w:r>
        <w:rPr>
          <w:spacing w:val="-10"/>
          <w:sz w:val="20"/>
        </w:rPr>
        <w:t xml:space="preserve"> </w:t>
      </w:r>
      <w:r>
        <w:rPr>
          <w:b/>
          <w:sz w:val="20"/>
        </w:rPr>
        <w:t>to</w:t>
      </w:r>
      <w:r>
        <w:rPr>
          <w:spacing w:val="-13"/>
          <w:sz w:val="20"/>
        </w:rPr>
        <w:t xml:space="preserve"> </w:t>
      </w:r>
      <w:r>
        <w:rPr>
          <w:b/>
          <w:sz w:val="20"/>
        </w:rPr>
        <w:t>Insider</w:t>
      </w:r>
      <w:r>
        <w:rPr>
          <w:spacing w:val="-14"/>
          <w:sz w:val="20"/>
        </w:rPr>
        <w:t xml:space="preserve"> </w:t>
      </w:r>
      <w:r>
        <w:rPr>
          <w:b/>
          <w:sz w:val="20"/>
        </w:rPr>
        <w:t>Trading</w:t>
      </w:r>
      <w:r>
        <w:rPr>
          <w:spacing w:val="-12"/>
          <w:sz w:val="20"/>
        </w:rPr>
        <w:t xml:space="preserve"> </w:t>
      </w:r>
      <w:r>
        <w:rPr>
          <w:b/>
          <w:sz w:val="20"/>
        </w:rPr>
        <w:t>and</w:t>
      </w:r>
      <w:r>
        <w:rPr>
          <w:spacing w:val="-12"/>
          <w:sz w:val="20"/>
        </w:rPr>
        <w:t xml:space="preserve"> </w:t>
      </w:r>
      <w:r>
        <w:rPr>
          <w:b/>
          <w:sz w:val="20"/>
        </w:rPr>
        <w:t>Confidentiality</w:t>
      </w:r>
      <w:r>
        <w:rPr>
          <w:spacing w:val="-12"/>
          <w:sz w:val="20"/>
        </w:rPr>
        <w:t xml:space="preserve"> </w:t>
      </w:r>
      <w:r>
        <w:rPr>
          <w:b/>
          <w:sz w:val="20"/>
        </w:rPr>
        <w:t>of</w:t>
      </w:r>
      <w:r>
        <w:rPr>
          <w:spacing w:val="-12"/>
          <w:sz w:val="20"/>
        </w:rPr>
        <w:t xml:space="preserve"> </w:t>
      </w:r>
      <w:r>
        <w:rPr>
          <w:b/>
          <w:spacing w:val="-2"/>
          <w:sz w:val="20"/>
        </w:rPr>
        <w:t>Information</w:t>
      </w:r>
    </w:p>
    <w:p>
      <w:pPr>
        <w:pStyle w:val="TextBody"/>
        <w:bidi w:val="0"/>
        <w:spacing w:before="2" w:after="0"/>
        <w:ind w:left="2" w:right="2" w:hanging="0"/>
        <w:jc w:val="center"/>
        <w:rPr/>
      </w:pPr>
      <w:r>
        <w:rPr/>
        <w:t> </w:t>
      </w:r>
    </w:p>
    <w:p>
      <w:pPr>
        <w:pStyle w:val="TextBody"/>
        <w:bidi w:val="0"/>
        <w:spacing w:before="1" w:after="0"/>
        <w:ind w:left="2" w:right="2" w:hanging="0"/>
        <w:jc w:val="center"/>
        <w:rPr>
          <w:sz w:val="20"/>
        </w:rPr>
      </w:pPr>
      <w:r>
        <w:rPr>
          <w:b/>
          <w:sz w:val="20"/>
        </w:rPr>
        <w:t>Amended</w:t>
      </w:r>
      <w:r>
        <w:rPr>
          <w:spacing w:val="-11"/>
          <w:sz w:val="20"/>
        </w:rPr>
        <w:t xml:space="preserve"> </w:t>
      </w:r>
      <w:r>
        <w:rPr>
          <w:b/>
          <w:sz w:val="20"/>
        </w:rPr>
        <w:t>and</w:t>
      </w:r>
      <w:r>
        <w:rPr>
          <w:spacing w:val="-7"/>
          <w:sz w:val="20"/>
        </w:rPr>
        <w:t xml:space="preserve"> </w:t>
      </w:r>
      <w:r>
        <w:rPr>
          <w:b/>
          <w:sz w:val="20"/>
        </w:rPr>
        <w:t>Restated</w:t>
      </w:r>
      <w:r>
        <w:rPr>
          <w:spacing w:val="-8"/>
          <w:sz w:val="20"/>
        </w:rPr>
        <w:t xml:space="preserve"> </w:t>
      </w:r>
      <w:r>
        <w:rPr>
          <w:b/>
          <w:sz w:val="20"/>
        </w:rPr>
        <w:t>as</w:t>
      </w:r>
      <w:r>
        <w:rPr>
          <w:spacing w:val="-10"/>
          <w:sz w:val="20"/>
        </w:rPr>
        <w:t xml:space="preserve"> </w:t>
      </w:r>
      <w:r>
        <w:rPr>
          <w:b/>
          <w:sz w:val="20"/>
        </w:rPr>
        <w:t>of</w:t>
      </w:r>
      <w:r>
        <w:rPr>
          <w:spacing w:val="-3"/>
          <w:sz w:val="20"/>
        </w:rPr>
        <w:t xml:space="preserve"> </w:t>
      </w:r>
      <w:r>
        <w:rPr>
          <w:b/>
          <w:sz w:val="20"/>
        </w:rPr>
        <w:t>July 14, 2025</w:t>
      </w:r>
    </w:p>
    <w:p>
      <w:pPr>
        <w:pStyle w:val="TextBody"/>
        <w:bidi w:val="0"/>
        <w:spacing w:before="236" w:after="0"/>
        <w:ind w:left="21" w:right="103" w:firstLine="719"/>
        <w:jc w:val="left"/>
        <w:rPr>
          <w:sz w:val="20"/>
        </w:rPr>
      </w:pPr>
      <w:r>
        <w:rPr>
          <w:sz w:val="20"/>
        </w:rPr>
        <w:t>This Addendum applies to (i) directors and executive officers of the Company subject to Section 16</w:t>
      </w:r>
      <w:r>
        <w:rPr>
          <w:spacing w:val="-1"/>
          <w:sz w:val="20"/>
        </w:rPr>
        <w:t xml:space="preserve"> </w:t>
      </w:r>
      <w:r>
        <w:rPr>
          <w:sz w:val="20"/>
        </w:rPr>
        <w:t>of the Securities</w:t>
      </w:r>
      <w:r>
        <w:rPr>
          <w:spacing w:val="-1"/>
          <w:sz w:val="20"/>
        </w:rPr>
        <w:t xml:space="preserve"> </w:t>
      </w:r>
      <w:r>
        <w:rPr>
          <w:sz w:val="20"/>
        </w:rPr>
        <w:t>Exchange Act of 1934, as amended (“Exchange Act”), (ii) persons who report</w:t>
      </w:r>
      <w:r>
        <w:rPr>
          <w:spacing w:val="-5"/>
          <w:sz w:val="20"/>
        </w:rPr>
        <w:t xml:space="preserve"> </w:t>
      </w:r>
      <w:r>
        <w:rPr>
          <w:sz w:val="20"/>
        </w:rPr>
        <w:t>directly</w:t>
      </w:r>
      <w:r>
        <w:rPr>
          <w:spacing w:val="-8"/>
          <w:sz w:val="20"/>
        </w:rPr>
        <w:t xml:space="preserve"> </w:t>
      </w:r>
      <w:r>
        <w:rPr>
          <w:sz w:val="20"/>
        </w:rPr>
        <w:t>to</w:t>
      </w:r>
      <w:r>
        <w:rPr>
          <w:spacing w:val="-6"/>
          <w:sz w:val="20"/>
        </w:rPr>
        <w:t xml:space="preserve"> </w:t>
      </w:r>
      <w:r>
        <w:rPr>
          <w:sz w:val="20"/>
        </w:rPr>
        <w:t>any</w:t>
      </w:r>
      <w:r>
        <w:rPr>
          <w:spacing w:val="-8"/>
          <w:sz w:val="20"/>
        </w:rPr>
        <w:t xml:space="preserve"> </w:t>
      </w:r>
      <w:r>
        <w:rPr>
          <w:sz w:val="20"/>
        </w:rPr>
        <w:t>such</w:t>
      </w:r>
      <w:r>
        <w:rPr>
          <w:spacing w:val="-10"/>
          <w:sz w:val="20"/>
        </w:rPr>
        <w:t xml:space="preserve"> </w:t>
      </w:r>
      <w:r>
        <w:rPr>
          <w:sz w:val="20"/>
        </w:rPr>
        <w:t>executive</w:t>
      </w:r>
      <w:r>
        <w:rPr>
          <w:spacing w:val="-6"/>
          <w:sz w:val="20"/>
        </w:rPr>
        <w:t xml:space="preserve"> </w:t>
      </w:r>
      <w:r>
        <w:rPr>
          <w:sz w:val="20"/>
        </w:rPr>
        <w:t>officer</w:t>
      </w:r>
      <w:r>
        <w:rPr>
          <w:spacing w:val="-5"/>
          <w:sz w:val="20"/>
        </w:rPr>
        <w:t xml:space="preserve"> </w:t>
      </w:r>
      <w:r>
        <w:rPr>
          <w:sz w:val="20"/>
        </w:rPr>
        <w:t>and</w:t>
      </w:r>
      <w:r>
        <w:rPr>
          <w:spacing w:val="-10"/>
          <w:sz w:val="20"/>
        </w:rPr>
        <w:t xml:space="preserve"> </w:t>
      </w:r>
      <w:r>
        <w:rPr>
          <w:sz w:val="20"/>
        </w:rPr>
        <w:t>(iii)</w:t>
      </w:r>
      <w:r>
        <w:rPr>
          <w:spacing w:val="-6"/>
          <w:sz w:val="20"/>
        </w:rPr>
        <w:t xml:space="preserve"> </w:t>
      </w:r>
      <w:r>
        <w:rPr>
          <w:sz w:val="20"/>
        </w:rPr>
        <w:t>other</w:t>
      </w:r>
      <w:r>
        <w:rPr>
          <w:spacing w:val="-8"/>
          <w:sz w:val="20"/>
        </w:rPr>
        <w:t xml:space="preserve"> </w:t>
      </w:r>
      <w:r>
        <w:rPr>
          <w:sz w:val="20"/>
        </w:rPr>
        <w:t>individuals</w:t>
      </w:r>
      <w:r>
        <w:rPr>
          <w:spacing w:val="-8"/>
          <w:sz w:val="20"/>
        </w:rPr>
        <w:t xml:space="preserve"> </w:t>
      </w:r>
      <w:r>
        <w:rPr>
          <w:sz w:val="20"/>
        </w:rPr>
        <w:t>designated</w:t>
      </w:r>
      <w:r>
        <w:rPr>
          <w:spacing w:val="-10"/>
          <w:sz w:val="20"/>
        </w:rPr>
        <w:t xml:space="preserve"> </w:t>
      </w:r>
      <w:r>
        <w:rPr>
          <w:sz w:val="20"/>
        </w:rPr>
        <w:t>from</w:t>
      </w:r>
      <w:r>
        <w:rPr>
          <w:spacing w:val="-11"/>
          <w:sz w:val="20"/>
        </w:rPr>
        <w:t xml:space="preserve"> </w:t>
      </w:r>
      <w:r>
        <w:rPr>
          <w:sz w:val="20"/>
        </w:rPr>
        <w:t>time</w:t>
      </w:r>
      <w:r>
        <w:rPr>
          <w:spacing w:val="-8"/>
          <w:sz w:val="20"/>
        </w:rPr>
        <w:t xml:space="preserve"> </w:t>
      </w:r>
      <w:r>
        <w:rPr>
          <w:sz w:val="20"/>
        </w:rPr>
        <w:t>to</w:t>
      </w:r>
      <w:r>
        <w:rPr>
          <w:spacing w:val="-8"/>
          <w:sz w:val="20"/>
        </w:rPr>
        <w:t xml:space="preserve"> </w:t>
      </w:r>
      <w:r>
        <w:rPr>
          <w:sz w:val="20"/>
        </w:rPr>
        <w:t>time</w:t>
      </w:r>
      <w:r>
        <w:rPr>
          <w:spacing w:val="-8"/>
          <w:sz w:val="20"/>
        </w:rPr>
        <w:t xml:space="preserve"> </w:t>
      </w:r>
      <w:r>
        <w:rPr>
          <w:sz w:val="20"/>
        </w:rPr>
        <w:t>by Euronet Worldwide,</w:t>
      </w:r>
      <w:r>
        <w:rPr>
          <w:spacing w:val="-1"/>
          <w:sz w:val="20"/>
        </w:rPr>
        <w:t xml:space="preserve"> </w:t>
      </w:r>
      <w:r>
        <w:rPr>
          <w:sz w:val="20"/>
        </w:rPr>
        <w:t>Inc.</w:t>
      </w:r>
      <w:r>
        <w:rPr>
          <w:spacing w:val="-1"/>
          <w:sz w:val="20"/>
        </w:rPr>
        <w:t xml:space="preserve"> </w:t>
      </w:r>
      <w:r>
        <w:rPr>
          <w:sz w:val="20"/>
        </w:rPr>
        <w:t>as</w:t>
      </w:r>
      <w:r>
        <w:rPr>
          <w:spacing w:val="-3"/>
          <w:sz w:val="20"/>
        </w:rPr>
        <w:t xml:space="preserve"> </w:t>
      </w:r>
      <w:r>
        <w:rPr>
          <w:sz w:val="20"/>
        </w:rPr>
        <w:t>being</w:t>
      </w:r>
      <w:r>
        <w:rPr>
          <w:spacing w:val="-6"/>
          <w:sz w:val="20"/>
        </w:rPr>
        <w:t xml:space="preserve"> </w:t>
      </w:r>
      <w:r>
        <w:rPr>
          <w:sz w:val="20"/>
        </w:rPr>
        <w:t>subject</w:t>
      </w:r>
      <w:r>
        <w:rPr>
          <w:spacing w:val="-3"/>
          <w:sz w:val="20"/>
        </w:rPr>
        <w:t xml:space="preserve"> </w:t>
      </w:r>
      <w:r>
        <w:rPr>
          <w:sz w:val="20"/>
        </w:rPr>
        <w:t>to</w:t>
      </w:r>
      <w:r>
        <w:rPr>
          <w:spacing w:val="-4"/>
          <w:sz w:val="20"/>
        </w:rPr>
        <w:t xml:space="preserve"> </w:t>
      </w:r>
      <w:r>
        <w:rPr>
          <w:sz w:val="20"/>
        </w:rPr>
        <w:t>this</w:t>
      </w:r>
      <w:r>
        <w:rPr>
          <w:spacing w:val="-3"/>
          <w:sz w:val="20"/>
        </w:rPr>
        <w:t xml:space="preserve"> </w:t>
      </w:r>
      <w:r>
        <w:rPr>
          <w:sz w:val="20"/>
        </w:rPr>
        <w:t>Addendum</w:t>
      </w:r>
      <w:r>
        <w:rPr>
          <w:spacing w:val="-7"/>
          <w:sz w:val="20"/>
        </w:rPr>
        <w:t xml:space="preserve"> </w:t>
      </w:r>
      <w:r>
        <w:rPr>
          <w:sz w:val="20"/>
        </w:rPr>
        <w:t>(collectively,</w:t>
      </w:r>
      <w:r>
        <w:rPr>
          <w:spacing w:val="-1"/>
          <w:sz w:val="20"/>
        </w:rPr>
        <w:t xml:space="preserve"> </w:t>
      </w:r>
      <w:r>
        <w:rPr>
          <w:sz w:val="20"/>
        </w:rPr>
        <w:t>with</w:t>
      </w:r>
      <w:r>
        <w:rPr>
          <w:spacing w:val="-6"/>
          <w:sz w:val="20"/>
        </w:rPr>
        <w:t xml:space="preserve"> </w:t>
      </w:r>
      <w:r>
        <w:rPr>
          <w:sz w:val="20"/>
        </w:rPr>
        <w:t>their</w:t>
      </w:r>
      <w:r>
        <w:rPr>
          <w:spacing w:val="-5"/>
          <w:sz w:val="20"/>
        </w:rPr>
        <w:t xml:space="preserve"> </w:t>
      </w:r>
      <w:r>
        <w:rPr>
          <w:sz w:val="20"/>
        </w:rPr>
        <w:t>family</w:t>
      </w:r>
      <w:r>
        <w:rPr>
          <w:spacing w:val="-6"/>
          <w:sz w:val="20"/>
        </w:rPr>
        <w:t xml:space="preserve"> </w:t>
      </w:r>
      <w:r>
        <w:rPr>
          <w:sz w:val="20"/>
        </w:rPr>
        <w:t>members, members of their households and persons and entities that they</w:t>
      </w:r>
      <w:r>
        <w:rPr>
          <w:spacing w:val="-1"/>
          <w:sz w:val="20"/>
        </w:rPr>
        <w:t xml:space="preserve"> </w:t>
      </w:r>
      <w:r>
        <w:rPr>
          <w:sz w:val="20"/>
        </w:rPr>
        <w:t>control or</w:t>
      </w:r>
      <w:r>
        <w:rPr>
          <w:spacing w:val="-3"/>
          <w:sz w:val="20"/>
        </w:rPr>
        <w:t xml:space="preserve"> </w:t>
      </w:r>
      <w:r>
        <w:rPr>
          <w:sz w:val="20"/>
        </w:rPr>
        <w:t>influence, as listed in Section 1 of the Policy Relating to Insider Trading and Confidentiality of Information, the “Covered Persons”).</w:t>
      </w:r>
      <w:r>
        <w:rPr>
          <w:spacing w:val="-5"/>
          <w:sz w:val="20"/>
        </w:rPr>
        <w:t xml:space="preserve"> </w:t>
      </w:r>
      <w:r>
        <w:rPr>
          <w:sz w:val="20"/>
        </w:rPr>
        <w:t>The</w:t>
      </w:r>
      <w:r>
        <w:rPr>
          <w:spacing w:val="-2"/>
          <w:sz w:val="20"/>
        </w:rPr>
        <w:t xml:space="preserve"> </w:t>
      </w:r>
      <w:r>
        <w:rPr>
          <w:sz w:val="20"/>
        </w:rPr>
        <w:t>Company</w:t>
      </w:r>
      <w:r>
        <w:rPr>
          <w:spacing w:val="-5"/>
          <w:sz w:val="20"/>
        </w:rPr>
        <w:t xml:space="preserve"> </w:t>
      </w:r>
      <w:r>
        <w:rPr>
          <w:sz w:val="20"/>
        </w:rPr>
        <w:t>will</w:t>
      </w:r>
      <w:r>
        <w:rPr>
          <w:spacing w:val="-1"/>
          <w:sz w:val="20"/>
        </w:rPr>
        <w:t xml:space="preserve"> </w:t>
      </w:r>
      <w:r>
        <w:rPr>
          <w:sz w:val="20"/>
        </w:rPr>
        <w:t>notify</w:t>
      </w:r>
      <w:r>
        <w:rPr>
          <w:spacing w:val="-7"/>
          <w:sz w:val="20"/>
        </w:rPr>
        <w:t xml:space="preserve"> </w:t>
      </w:r>
      <w:r>
        <w:rPr>
          <w:sz w:val="20"/>
        </w:rPr>
        <w:t>the</w:t>
      </w:r>
      <w:r>
        <w:rPr>
          <w:spacing w:val="-4"/>
          <w:sz w:val="20"/>
        </w:rPr>
        <w:t xml:space="preserve"> </w:t>
      </w:r>
      <w:r>
        <w:rPr>
          <w:sz w:val="20"/>
        </w:rPr>
        <w:t>persons</w:t>
      </w:r>
      <w:r>
        <w:rPr>
          <w:spacing w:val="-4"/>
          <w:sz w:val="20"/>
        </w:rPr>
        <w:t xml:space="preserve"> </w:t>
      </w:r>
      <w:r>
        <w:rPr>
          <w:sz w:val="20"/>
        </w:rPr>
        <w:t>described</w:t>
      </w:r>
      <w:r>
        <w:rPr>
          <w:spacing w:val="-2"/>
          <w:sz w:val="20"/>
        </w:rPr>
        <w:t xml:space="preserve"> </w:t>
      </w:r>
      <w:r>
        <w:rPr>
          <w:sz w:val="20"/>
        </w:rPr>
        <w:t>in</w:t>
      </w:r>
      <w:r>
        <w:rPr>
          <w:spacing w:val="-7"/>
          <w:sz w:val="20"/>
        </w:rPr>
        <w:t xml:space="preserve"> </w:t>
      </w:r>
      <w:r>
        <w:rPr>
          <w:sz w:val="20"/>
        </w:rPr>
        <w:t>clauses</w:t>
      </w:r>
      <w:r>
        <w:rPr>
          <w:spacing w:val="-4"/>
          <w:sz w:val="20"/>
        </w:rPr>
        <w:t xml:space="preserve"> </w:t>
      </w:r>
      <w:r>
        <w:rPr>
          <w:sz w:val="20"/>
        </w:rPr>
        <w:t>(ii)</w:t>
      </w:r>
      <w:r>
        <w:rPr>
          <w:spacing w:val="-4"/>
          <w:sz w:val="20"/>
        </w:rPr>
        <w:t xml:space="preserve"> </w:t>
      </w:r>
      <w:r>
        <w:rPr>
          <w:sz w:val="20"/>
        </w:rPr>
        <w:t>and</w:t>
      </w:r>
      <w:r>
        <w:rPr>
          <w:spacing w:val="-5"/>
          <w:sz w:val="20"/>
        </w:rPr>
        <w:t xml:space="preserve"> </w:t>
      </w:r>
      <w:r>
        <w:rPr>
          <w:sz w:val="20"/>
        </w:rPr>
        <w:t>(iii)</w:t>
      </w:r>
      <w:r>
        <w:rPr>
          <w:spacing w:val="-4"/>
          <w:sz w:val="20"/>
        </w:rPr>
        <w:t xml:space="preserve"> </w:t>
      </w:r>
      <w:r>
        <w:rPr>
          <w:sz w:val="20"/>
        </w:rPr>
        <w:t>that</w:t>
      </w:r>
      <w:r>
        <w:rPr>
          <w:spacing w:val="-1"/>
          <w:sz w:val="20"/>
        </w:rPr>
        <w:t xml:space="preserve"> </w:t>
      </w:r>
      <w:r>
        <w:rPr>
          <w:sz w:val="20"/>
        </w:rPr>
        <w:t>they</w:t>
      </w:r>
      <w:r>
        <w:rPr>
          <w:spacing w:val="-5"/>
          <w:sz w:val="20"/>
        </w:rPr>
        <w:t xml:space="preserve"> </w:t>
      </w:r>
      <w:r>
        <w:rPr>
          <w:sz w:val="20"/>
        </w:rPr>
        <w:t>are</w:t>
      </w:r>
      <w:r>
        <w:rPr>
          <w:spacing w:val="-7"/>
          <w:sz w:val="20"/>
        </w:rPr>
        <w:t xml:space="preserve"> </w:t>
      </w:r>
      <w:r>
        <w:rPr>
          <w:sz w:val="20"/>
        </w:rPr>
        <w:t>subject to this Addendum.</w:t>
      </w:r>
    </w:p>
    <w:p>
      <w:pPr>
        <w:pStyle w:val="TextBody"/>
        <w:bidi w:val="0"/>
        <w:spacing w:before="242" w:after="0"/>
        <w:ind w:left="22" w:right="97" w:firstLine="718"/>
        <w:jc w:val="left"/>
        <w:rPr>
          <w:sz w:val="20"/>
        </w:rPr>
      </w:pPr>
      <w:r>
        <w:rPr>
          <w:sz w:val="20"/>
        </w:rPr>
        <w:t>This Addendum is in addition to and supplements the Company’s Policy Relating</w:t>
      </w:r>
      <w:r>
        <w:rPr>
          <w:spacing w:val="-1"/>
          <w:sz w:val="20"/>
        </w:rPr>
        <w:t xml:space="preserve"> </w:t>
      </w:r>
      <w:r>
        <w:rPr>
          <w:sz w:val="20"/>
        </w:rPr>
        <w:t>to Insider Trading</w:t>
      </w:r>
      <w:r>
        <w:rPr>
          <w:spacing w:val="-10"/>
          <w:sz w:val="20"/>
        </w:rPr>
        <w:t xml:space="preserve"> </w:t>
      </w:r>
      <w:r>
        <w:rPr>
          <w:sz w:val="20"/>
        </w:rPr>
        <w:t>and</w:t>
      </w:r>
      <w:r>
        <w:rPr>
          <w:spacing w:val="-7"/>
          <w:sz w:val="20"/>
        </w:rPr>
        <w:t xml:space="preserve"> </w:t>
      </w:r>
      <w:r>
        <w:rPr>
          <w:sz w:val="20"/>
        </w:rPr>
        <w:t>Confidentiality</w:t>
      </w:r>
      <w:r>
        <w:rPr>
          <w:spacing w:val="-14"/>
          <w:sz w:val="20"/>
        </w:rPr>
        <w:t xml:space="preserve"> </w:t>
      </w:r>
      <w:r>
        <w:rPr>
          <w:sz w:val="20"/>
        </w:rPr>
        <w:t>of</w:t>
      </w:r>
      <w:r>
        <w:rPr>
          <w:spacing w:val="-6"/>
          <w:sz w:val="20"/>
        </w:rPr>
        <w:t xml:space="preserve"> </w:t>
      </w:r>
      <w:r>
        <w:rPr>
          <w:sz w:val="20"/>
        </w:rPr>
        <w:t>Information.</w:t>
      </w:r>
      <w:r>
        <w:rPr>
          <w:spacing w:val="-12"/>
          <w:sz w:val="20"/>
        </w:rPr>
        <w:t xml:space="preserve"> </w:t>
      </w:r>
      <w:r>
        <w:rPr>
          <w:sz w:val="20"/>
        </w:rPr>
        <w:t>Terms</w:t>
      </w:r>
      <w:r>
        <w:rPr>
          <w:spacing w:val="-9"/>
          <w:sz w:val="20"/>
        </w:rPr>
        <w:t xml:space="preserve"> </w:t>
      </w:r>
      <w:r>
        <w:rPr>
          <w:sz w:val="20"/>
        </w:rPr>
        <w:t>defined</w:t>
      </w:r>
      <w:r>
        <w:rPr>
          <w:spacing w:val="-7"/>
          <w:sz w:val="20"/>
        </w:rPr>
        <w:t xml:space="preserve"> </w:t>
      </w:r>
      <w:r>
        <w:rPr>
          <w:sz w:val="20"/>
        </w:rPr>
        <w:t>in</w:t>
      </w:r>
      <w:r>
        <w:rPr>
          <w:spacing w:val="-12"/>
          <w:sz w:val="20"/>
        </w:rPr>
        <w:t xml:space="preserve"> </w:t>
      </w:r>
      <w:r>
        <w:rPr>
          <w:sz w:val="20"/>
        </w:rPr>
        <w:t>the</w:t>
      </w:r>
      <w:r>
        <w:rPr>
          <w:spacing w:val="-9"/>
          <w:sz w:val="20"/>
        </w:rPr>
        <w:t xml:space="preserve"> </w:t>
      </w:r>
      <w:r>
        <w:rPr>
          <w:sz w:val="20"/>
        </w:rPr>
        <w:t>Policy</w:t>
      </w:r>
      <w:r>
        <w:rPr>
          <w:spacing w:val="-12"/>
          <w:sz w:val="20"/>
        </w:rPr>
        <w:t xml:space="preserve"> </w:t>
      </w:r>
      <w:r>
        <w:rPr>
          <w:sz w:val="20"/>
        </w:rPr>
        <w:t>shall</w:t>
      </w:r>
      <w:r>
        <w:rPr>
          <w:spacing w:val="-6"/>
          <w:sz w:val="20"/>
        </w:rPr>
        <w:t xml:space="preserve"> </w:t>
      </w:r>
      <w:r>
        <w:rPr>
          <w:sz w:val="20"/>
        </w:rPr>
        <w:t>have</w:t>
      </w:r>
      <w:r>
        <w:rPr>
          <w:spacing w:val="-12"/>
          <w:sz w:val="20"/>
        </w:rPr>
        <w:t xml:space="preserve"> </w:t>
      </w:r>
      <w:r>
        <w:rPr>
          <w:sz w:val="20"/>
        </w:rPr>
        <w:t>the</w:t>
      </w:r>
      <w:r>
        <w:rPr>
          <w:spacing w:val="-7"/>
          <w:sz w:val="20"/>
        </w:rPr>
        <w:t xml:space="preserve"> </w:t>
      </w:r>
      <w:r>
        <w:rPr>
          <w:sz w:val="20"/>
        </w:rPr>
        <w:t>same</w:t>
      </w:r>
      <w:r>
        <w:rPr>
          <w:spacing w:val="-12"/>
          <w:sz w:val="20"/>
        </w:rPr>
        <w:t xml:space="preserve"> </w:t>
      </w:r>
      <w:r>
        <w:rPr>
          <w:sz w:val="20"/>
        </w:rPr>
        <w:t>meanings in this Addendum.</w:t>
      </w:r>
    </w:p>
    <w:p>
      <w:pPr>
        <w:pStyle w:val="TextBody"/>
        <w:bidi w:val="0"/>
        <w:spacing w:before="237" w:after="0"/>
        <w:ind w:left="21" w:right="147" w:firstLine="721"/>
        <w:jc w:val="left"/>
        <w:rPr>
          <w:sz w:val="20"/>
        </w:rPr>
      </w:pPr>
      <w:r>
        <w:rPr>
          <w:sz w:val="20"/>
        </w:rPr>
        <w:t>1.</w:t>
      </w:r>
      <w:r>
        <w:rPr>
          <w:caps w:val="false"/>
          <w:smallCaps w:val="false"/>
          <w:sz w:val="20"/>
        </w:rPr>
        <w:t xml:space="preserve">                    </w:t>
      </w:r>
      <w:r>
        <w:rPr>
          <w:sz w:val="20"/>
          <w:u w:val="single"/>
        </w:rPr>
        <w:t>Mandatory Pre-clearance Procedures</w:t>
      </w:r>
      <w:r>
        <w:rPr>
          <w:sz w:val="20"/>
        </w:rPr>
        <w:t>. Covered Persons may not engage in any transaction involving our securities (including without</w:t>
      </w:r>
      <w:r>
        <w:rPr>
          <w:spacing w:val="-1"/>
          <w:sz w:val="20"/>
        </w:rPr>
        <w:t xml:space="preserve"> </w:t>
      </w:r>
      <w:r>
        <w:rPr>
          <w:sz w:val="20"/>
        </w:rPr>
        <w:t>limitation a gift,</w:t>
      </w:r>
      <w:r>
        <w:rPr>
          <w:spacing w:val="-2"/>
          <w:sz w:val="20"/>
        </w:rPr>
        <w:t xml:space="preserve"> </w:t>
      </w:r>
      <w:r>
        <w:rPr>
          <w:sz w:val="20"/>
        </w:rPr>
        <w:t>a loan or pledge, a hedge, a stock plan transaction such as an option exercise, a contribution to a trust, or any other transfer) without first obtaining pre-clearance of the transaction from</w:t>
      </w:r>
      <w:r>
        <w:rPr>
          <w:spacing w:val="-2"/>
          <w:sz w:val="20"/>
        </w:rPr>
        <w:t xml:space="preserve"> </w:t>
      </w:r>
      <w:r>
        <w:rPr>
          <w:sz w:val="20"/>
        </w:rPr>
        <w:t>EWI’s General Counsel. A request for pre- clearance must be</w:t>
      </w:r>
      <w:r>
        <w:rPr>
          <w:spacing w:val="-1"/>
          <w:sz w:val="20"/>
        </w:rPr>
        <w:t xml:space="preserve"> </w:t>
      </w:r>
      <w:r>
        <w:rPr>
          <w:sz w:val="20"/>
        </w:rPr>
        <w:t>submitted to</w:t>
      </w:r>
      <w:r>
        <w:rPr>
          <w:spacing w:val="-1"/>
          <w:sz w:val="20"/>
        </w:rPr>
        <w:t xml:space="preserve"> </w:t>
      </w:r>
      <w:r>
        <w:rPr>
          <w:sz w:val="20"/>
        </w:rPr>
        <w:t>EWI’s General Counsel at least two business days in advance of the proposed</w:t>
      </w:r>
      <w:r>
        <w:rPr>
          <w:spacing w:val="-6"/>
          <w:sz w:val="20"/>
        </w:rPr>
        <w:t xml:space="preserve"> </w:t>
      </w:r>
      <w:r>
        <w:rPr>
          <w:sz w:val="20"/>
        </w:rPr>
        <w:t>transaction.</w:t>
      </w:r>
      <w:r>
        <w:rPr>
          <w:spacing w:val="-4"/>
          <w:sz w:val="20"/>
        </w:rPr>
        <w:t xml:space="preserve"> </w:t>
      </w:r>
      <w:r>
        <w:rPr>
          <w:spacing w:val="-8"/>
          <w:sz w:val="20"/>
        </w:rPr>
        <w:t xml:space="preserve">EWI’s </w:t>
      </w:r>
      <w:r>
        <w:rPr>
          <w:sz w:val="20"/>
        </w:rPr>
        <w:t>General Counsel</w:t>
      </w:r>
      <w:r>
        <w:rPr>
          <w:spacing w:val="-3"/>
          <w:sz w:val="20"/>
        </w:rPr>
        <w:t xml:space="preserve"> </w:t>
      </w:r>
      <w:r>
        <w:rPr>
          <w:sz w:val="20"/>
        </w:rPr>
        <w:t>will</w:t>
      </w:r>
      <w:r>
        <w:rPr>
          <w:spacing w:val="-3"/>
          <w:sz w:val="20"/>
        </w:rPr>
        <w:t xml:space="preserve"> </w:t>
      </w:r>
      <w:r>
        <w:rPr>
          <w:sz w:val="20"/>
        </w:rPr>
        <w:t>then</w:t>
      </w:r>
      <w:r>
        <w:rPr>
          <w:spacing w:val="-4"/>
          <w:sz w:val="20"/>
        </w:rPr>
        <w:t xml:space="preserve"> </w:t>
      </w:r>
      <w:r>
        <w:rPr>
          <w:sz w:val="20"/>
        </w:rPr>
        <w:t>determine</w:t>
      </w:r>
      <w:r>
        <w:rPr>
          <w:spacing w:val="-1"/>
          <w:sz w:val="20"/>
        </w:rPr>
        <w:t xml:space="preserve"> </w:t>
      </w:r>
      <w:r>
        <w:rPr>
          <w:sz w:val="20"/>
        </w:rPr>
        <w:t>whether</w:t>
      </w:r>
      <w:r>
        <w:rPr>
          <w:spacing w:val="-5"/>
          <w:sz w:val="20"/>
        </w:rPr>
        <w:t xml:space="preserve"> </w:t>
      </w:r>
      <w:r>
        <w:rPr>
          <w:sz w:val="20"/>
        </w:rPr>
        <w:t>the</w:t>
      </w:r>
      <w:r>
        <w:rPr>
          <w:spacing w:val="-6"/>
          <w:sz w:val="20"/>
        </w:rPr>
        <w:t xml:space="preserve"> </w:t>
      </w:r>
      <w:r>
        <w:rPr>
          <w:sz w:val="20"/>
        </w:rPr>
        <w:t>transaction</w:t>
      </w:r>
      <w:r>
        <w:rPr>
          <w:spacing w:val="-1"/>
          <w:sz w:val="20"/>
        </w:rPr>
        <w:t xml:space="preserve"> </w:t>
      </w:r>
      <w:r>
        <w:rPr>
          <w:sz w:val="20"/>
        </w:rPr>
        <w:t>may</w:t>
      </w:r>
      <w:r>
        <w:rPr>
          <w:spacing w:val="-6"/>
          <w:sz w:val="20"/>
        </w:rPr>
        <w:t xml:space="preserve"> </w:t>
      </w:r>
      <w:r>
        <w:rPr>
          <w:sz w:val="20"/>
        </w:rPr>
        <w:t>proceed. EWI’s General Counsel may not engage in any transaction involving our securities unless the Chief Executive Officer approves the transaction in accordance with the procedures set forth in</w:t>
      </w:r>
      <w:r>
        <w:rPr>
          <w:spacing w:val="-3"/>
          <w:sz w:val="20"/>
        </w:rPr>
        <w:t xml:space="preserve"> </w:t>
      </w:r>
      <w:r>
        <w:rPr>
          <w:sz w:val="20"/>
        </w:rPr>
        <w:t>this Addendum. Neither EWI’s Chief Executive Officer nor EWI’s General Counsel is under any obligation to approve a transaction submitted for pre-clearance, and none of the Company, EWI’s Chief Executive Officer</w:t>
      </w:r>
      <w:r>
        <w:rPr>
          <w:spacing w:val="-6"/>
          <w:sz w:val="20"/>
        </w:rPr>
        <w:t xml:space="preserve"> </w:t>
      </w:r>
      <w:r>
        <w:rPr>
          <w:sz w:val="20"/>
        </w:rPr>
        <w:t>or</w:t>
      </w:r>
      <w:r>
        <w:rPr>
          <w:spacing w:val="-6"/>
          <w:sz w:val="20"/>
        </w:rPr>
        <w:t xml:space="preserve"> </w:t>
      </w:r>
      <w:r>
        <w:rPr>
          <w:sz w:val="20"/>
        </w:rPr>
        <w:t>EWI’s</w:t>
      </w:r>
      <w:r>
        <w:rPr>
          <w:spacing w:val="-5"/>
          <w:sz w:val="20"/>
        </w:rPr>
        <w:t xml:space="preserve"> </w:t>
      </w:r>
      <w:r>
        <w:rPr>
          <w:sz w:val="20"/>
        </w:rPr>
        <w:t>General</w:t>
      </w:r>
      <w:r>
        <w:rPr>
          <w:spacing w:val="-4"/>
          <w:sz w:val="20"/>
        </w:rPr>
        <w:t xml:space="preserve"> </w:t>
      </w:r>
      <w:r>
        <w:rPr>
          <w:sz w:val="20"/>
        </w:rPr>
        <w:t>Counsel</w:t>
      </w:r>
      <w:r>
        <w:rPr>
          <w:spacing w:val="-4"/>
          <w:sz w:val="20"/>
        </w:rPr>
        <w:t xml:space="preserve"> </w:t>
      </w:r>
      <w:r>
        <w:rPr>
          <w:sz w:val="20"/>
        </w:rPr>
        <w:t>will</w:t>
      </w:r>
      <w:r>
        <w:rPr>
          <w:spacing w:val="-8"/>
          <w:sz w:val="20"/>
        </w:rPr>
        <w:t xml:space="preserve"> </w:t>
      </w:r>
      <w:r>
        <w:rPr>
          <w:sz w:val="20"/>
        </w:rPr>
        <w:t>have</w:t>
      </w:r>
      <w:r>
        <w:rPr>
          <w:spacing w:val="-5"/>
          <w:sz w:val="20"/>
        </w:rPr>
        <w:t xml:space="preserve"> </w:t>
      </w:r>
      <w:r>
        <w:rPr>
          <w:sz w:val="20"/>
        </w:rPr>
        <w:t>any</w:t>
      </w:r>
      <w:r>
        <w:rPr>
          <w:spacing w:val="-11"/>
          <w:sz w:val="20"/>
        </w:rPr>
        <w:t xml:space="preserve"> </w:t>
      </w:r>
      <w:r>
        <w:rPr>
          <w:sz w:val="20"/>
        </w:rPr>
        <w:t>liability</w:t>
      </w:r>
      <w:r>
        <w:rPr>
          <w:spacing w:val="-12"/>
          <w:sz w:val="20"/>
        </w:rPr>
        <w:t xml:space="preserve"> </w:t>
      </w:r>
      <w:r>
        <w:rPr>
          <w:sz w:val="20"/>
        </w:rPr>
        <w:t>for</w:t>
      </w:r>
      <w:r>
        <w:rPr>
          <w:spacing w:val="-4"/>
          <w:sz w:val="20"/>
        </w:rPr>
        <w:t xml:space="preserve"> </w:t>
      </w:r>
      <w:r>
        <w:rPr>
          <w:sz w:val="20"/>
        </w:rPr>
        <w:t>any</w:t>
      </w:r>
      <w:r>
        <w:rPr>
          <w:spacing w:val="-9"/>
          <w:sz w:val="20"/>
        </w:rPr>
        <w:t xml:space="preserve"> </w:t>
      </w:r>
      <w:r>
        <w:rPr>
          <w:sz w:val="20"/>
        </w:rPr>
        <w:t>refusal</w:t>
      </w:r>
      <w:r>
        <w:rPr>
          <w:spacing w:val="-8"/>
          <w:sz w:val="20"/>
        </w:rPr>
        <w:t xml:space="preserve"> </w:t>
      </w:r>
      <w:r>
        <w:rPr>
          <w:sz w:val="20"/>
        </w:rPr>
        <w:t>to</w:t>
      </w:r>
      <w:r>
        <w:rPr>
          <w:spacing w:val="-9"/>
          <w:sz w:val="20"/>
        </w:rPr>
        <w:t xml:space="preserve"> </w:t>
      </w:r>
      <w:r>
        <w:rPr>
          <w:sz w:val="20"/>
        </w:rPr>
        <w:t>permit</w:t>
      </w:r>
      <w:r>
        <w:rPr>
          <w:spacing w:val="-4"/>
          <w:sz w:val="20"/>
        </w:rPr>
        <w:t xml:space="preserve"> </w:t>
      </w:r>
      <w:r>
        <w:rPr>
          <w:sz w:val="20"/>
        </w:rPr>
        <w:t>a</w:t>
      </w:r>
      <w:r>
        <w:rPr>
          <w:spacing w:val="-9"/>
          <w:sz w:val="20"/>
        </w:rPr>
        <w:t xml:space="preserve"> </w:t>
      </w:r>
      <w:r>
        <w:rPr>
          <w:sz w:val="20"/>
        </w:rPr>
        <w:t>transaction</w:t>
      </w:r>
      <w:r>
        <w:rPr>
          <w:spacing w:val="-7"/>
          <w:sz w:val="20"/>
        </w:rPr>
        <w:t xml:space="preserve"> </w:t>
      </w:r>
      <w:r>
        <w:rPr>
          <w:sz w:val="20"/>
        </w:rPr>
        <w:t>or</w:t>
      </w:r>
      <w:r>
        <w:rPr>
          <w:spacing w:val="-6"/>
          <w:sz w:val="20"/>
        </w:rPr>
        <w:t xml:space="preserve"> </w:t>
      </w:r>
      <w:r>
        <w:rPr>
          <w:sz w:val="20"/>
        </w:rPr>
        <w:t>for</w:t>
      </w:r>
      <w:r>
        <w:rPr>
          <w:spacing w:val="-6"/>
          <w:sz w:val="20"/>
        </w:rPr>
        <w:t xml:space="preserve"> </w:t>
      </w:r>
      <w:r>
        <w:rPr>
          <w:sz w:val="20"/>
        </w:rPr>
        <w:t>any delay in making or communicating a decision.</w:t>
      </w:r>
    </w:p>
    <w:p>
      <w:pPr>
        <w:pStyle w:val="TextBody"/>
        <w:bidi w:val="0"/>
        <w:spacing w:before="240" w:after="0"/>
        <w:ind w:left="21" w:right="329" w:firstLine="721"/>
        <w:jc w:val="left"/>
        <w:rPr>
          <w:sz w:val="20"/>
        </w:rPr>
      </w:pPr>
      <w:r>
        <w:rPr>
          <w:sz w:val="20"/>
        </w:rPr>
        <w:t>2.</w:t>
      </w:r>
      <w:r>
        <w:rPr>
          <w:caps w:val="false"/>
          <w:smallCaps w:val="false"/>
          <w:sz w:val="20"/>
        </w:rPr>
        <w:t xml:space="preserve">                    </w:t>
      </w:r>
      <w:r>
        <w:rPr>
          <w:sz w:val="20"/>
          <w:u w:val="single"/>
        </w:rPr>
        <w:t>Blackout Periods</w:t>
      </w:r>
      <w:r>
        <w:rPr>
          <w:sz w:val="20"/>
        </w:rPr>
        <w:t>. The persons specified below may not engage in any transaction involving our securities during “blackout periods” as described below. Persons subject to these provisions should note that</w:t>
      </w:r>
      <w:r>
        <w:rPr>
          <w:spacing w:val="-2"/>
          <w:sz w:val="20"/>
        </w:rPr>
        <w:t xml:space="preserve"> </w:t>
      </w:r>
      <w:r>
        <w:rPr>
          <w:sz w:val="20"/>
        </w:rPr>
        <w:t>even if a</w:t>
      </w:r>
      <w:r>
        <w:rPr>
          <w:spacing w:val="-1"/>
          <w:sz w:val="20"/>
        </w:rPr>
        <w:t xml:space="preserve"> </w:t>
      </w:r>
      <w:r>
        <w:rPr>
          <w:sz w:val="20"/>
        </w:rPr>
        <w:t>blackout period is</w:t>
      </w:r>
      <w:r>
        <w:rPr>
          <w:spacing w:val="-1"/>
          <w:sz w:val="20"/>
        </w:rPr>
        <w:t xml:space="preserve"> </w:t>
      </w:r>
      <w:r>
        <w:rPr>
          <w:sz w:val="20"/>
        </w:rPr>
        <w:t>not in effect,</w:t>
      </w:r>
      <w:r>
        <w:rPr>
          <w:spacing w:val="-1"/>
          <w:sz w:val="20"/>
        </w:rPr>
        <w:t xml:space="preserve"> </w:t>
      </w:r>
      <w:r>
        <w:rPr>
          <w:sz w:val="20"/>
        </w:rPr>
        <w:t>(a) Covered Persons must comply with the pre-clearance procedures set forth above and (b) at no time</w:t>
      </w:r>
      <w:r>
        <w:rPr>
          <w:spacing w:val="-1"/>
          <w:sz w:val="20"/>
        </w:rPr>
        <w:t xml:space="preserve"> </w:t>
      </w:r>
      <w:r>
        <w:rPr>
          <w:sz w:val="20"/>
        </w:rPr>
        <w:t>may anyone trade</w:t>
      </w:r>
      <w:r>
        <w:rPr>
          <w:spacing w:val="-1"/>
          <w:sz w:val="20"/>
        </w:rPr>
        <w:t xml:space="preserve"> </w:t>
      </w:r>
      <w:r>
        <w:rPr>
          <w:sz w:val="20"/>
        </w:rPr>
        <w:t>in Company</w:t>
      </w:r>
      <w:r>
        <w:rPr>
          <w:spacing w:val="-11"/>
          <w:sz w:val="20"/>
        </w:rPr>
        <w:t xml:space="preserve"> </w:t>
      </w:r>
      <w:r>
        <w:rPr>
          <w:sz w:val="20"/>
        </w:rPr>
        <w:t>securities</w:t>
      </w:r>
      <w:r>
        <w:rPr>
          <w:spacing w:val="-11"/>
          <w:sz w:val="20"/>
        </w:rPr>
        <w:t xml:space="preserve"> </w:t>
      </w:r>
      <w:r>
        <w:rPr>
          <w:sz w:val="20"/>
        </w:rPr>
        <w:t>if</w:t>
      </w:r>
      <w:r>
        <w:rPr>
          <w:spacing w:val="-10"/>
          <w:sz w:val="20"/>
        </w:rPr>
        <w:t xml:space="preserve"> </w:t>
      </w:r>
      <w:r>
        <w:rPr>
          <w:sz w:val="20"/>
        </w:rPr>
        <w:t>such</w:t>
      </w:r>
      <w:r>
        <w:rPr>
          <w:spacing w:val="-11"/>
          <w:sz w:val="20"/>
        </w:rPr>
        <w:t xml:space="preserve"> </w:t>
      </w:r>
      <w:r>
        <w:rPr>
          <w:sz w:val="20"/>
        </w:rPr>
        <w:t>person</w:t>
      </w:r>
      <w:r>
        <w:rPr>
          <w:spacing w:val="-9"/>
          <w:sz w:val="20"/>
        </w:rPr>
        <w:t xml:space="preserve"> </w:t>
      </w:r>
      <w:r>
        <w:rPr>
          <w:sz w:val="20"/>
        </w:rPr>
        <w:t>is</w:t>
      </w:r>
      <w:r>
        <w:rPr>
          <w:spacing w:val="-9"/>
          <w:sz w:val="20"/>
        </w:rPr>
        <w:t xml:space="preserve"> </w:t>
      </w:r>
      <w:r>
        <w:rPr>
          <w:sz w:val="20"/>
        </w:rPr>
        <w:t>aware</w:t>
      </w:r>
      <w:r>
        <w:rPr>
          <w:spacing w:val="-9"/>
          <w:sz w:val="20"/>
        </w:rPr>
        <w:t xml:space="preserve"> </w:t>
      </w:r>
      <w:r>
        <w:rPr>
          <w:sz w:val="20"/>
        </w:rPr>
        <w:t>of</w:t>
      </w:r>
      <w:r>
        <w:rPr>
          <w:spacing w:val="-9"/>
          <w:sz w:val="20"/>
        </w:rPr>
        <w:t xml:space="preserve"> </w:t>
      </w:r>
      <w:r>
        <w:rPr>
          <w:sz w:val="20"/>
        </w:rPr>
        <w:t>material,</w:t>
      </w:r>
      <w:r>
        <w:rPr>
          <w:spacing w:val="-11"/>
          <w:sz w:val="20"/>
        </w:rPr>
        <w:t xml:space="preserve"> </w:t>
      </w:r>
      <w:r>
        <w:rPr>
          <w:sz w:val="20"/>
        </w:rPr>
        <w:t>non-public</w:t>
      </w:r>
      <w:r>
        <w:rPr>
          <w:spacing w:val="-11"/>
          <w:sz w:val="20"/>
        </w:rPr>
        <w:t xml:space="preserve"> </w:t>
      </w:r>
      <w:r>
        <w:rPr>
          <w:sz w:val="20"/>
        </w:rPr>
        <w:t>information</w:t>
      </w:r>
      <w:r>
        <w:rPr>
          <w:spacing w:val="-11"/>
          <w:sz w:val="20"/>
        </w:rPr>
        <w:t xml:space="preserve"> </w:t>
      </w:r>
      <w:r>
        <w:rPr>
          <w:sz w:val="20"/>
        </w:rPr>
        <w:t>about</w:t>
      </w:r>
      <w:r>
        <w:rPr>
          <w:spacing w:val="-6"/>
          <w:sz w:val="20"/>
        </w:rPr>
        <w:t xml:space="preserve"> </w:t>
      </w:r>
      <w:r>
        <w:rPr>
          <w:sz w:val="20"/>
        </w:rPr>
        <w:t>the</w:t>
      </w:r>
      <w:r>
        <w:rPr>
          <w:spacing w:val="-9"/>
          <w:sz w:val="20"/>
        </w:rPr>
        <w:t xml:space="preserve"> </w:t>
      </w:r>
      <w:r>
        <w:rPr>
          <w:sz w:val="20"/>
        </w:rPr>
        <w:t>Company. For example, if the Company issues a quarterly earnings release and a person is aware of other material, non-public information not disclosed in</w:t>
      </w:r>
      <w:r>
        <w:rPr>
          <w:spacing w:val="-1"/>
          <w:sz w:val="20"/>
        </w:rPr>
        <w:t xml:space="preserve"> </w:t>
      </w:r>
      <w:r>
        <w:rPr>
          <w:sz w:val="20"/>
        </w:rPr>
        <w:t>the</w:t>
      </w:r>
      <w:r>
        <w:rPr>
          <w:spacing w:val="-1"/>
          <w:sz w:val="20"/>
        </w:rPr>
        <w:t xml:space="preserve"> </w:t>
      </w:r>
      <w:r>
        <w:rPr>
          <w:sz w:val="20"/>
        </w:rPr>
        <w:t>earnings release, the person</w:t>
      </w:r>
      <w:r>
        <w:rPr>
          <w:spacing w:val="-1"/>
          <w:sz w:val="20"/>
        </w:rPr>
        <w:t xml:space="preserve"> </w:t>
      </w:r>
      <w:r>
        <w:rPr>
          <w:sz w:val="20"/>
        </w:rPr>
        <w:t>may</w:t>
      </w:r>
      <w:r>
        <w:rPr>
          <w:spacing w:val="-1"/>
          <w:sz w:val="20"/>
        </w:rPr>
        <w:t xml:space="preserve"> </w:t>
      </w:r>
      <w:r>
        <w:rPr>
          <w:sz w:val="20"/>
        </w:rPr>
        <w:t>not trade in Company securities.</w:t>
      </w:r>
    </w:p>
    <w:p>
      <w:pPr>
        <w:pStyle w:val="TextBody"/>
        <w:bidi w:val="0"/>
        <w:spacing w:before="240" w:after="0"/>
        <w:ind w:left="740" w:right="215" w:firstLine="722"/>
        <w:jc w:val="left"/>
        <w:rPr>
          <w:sz w:val="20"/>
        </w:rPr>
      </w:pPr>
      <w:r>
        <w:rPr>
          <w:sz w:val="20"/>
        </w:rPr>
        <w:t>(a)</w:t>
      </w:r>
      <w:r>
        <w:rPr>
          <w:caps w:val="false"/>
          <w:smallCaps w:val="false"/>
          <w:sz w:val="20"/>
        </w:rPr>
        <w:t xml:space="preserve">                 </w:t>
      </w:r>
      <w:r>
        <w:rPr>
          <w:sz w:val="20"/>
          <w:u w:val="single"/>
        </w:rPr>
        <w:t>Quarterly Blackout Periods</w:t>
      </w:r>
      <w:r>
        <w:rPr>
          <w:sz w:val="20"/>
        </w:rPr>
        <w:t>. The Company’s announcement of its quarterly financial results generally has the potential to have a material effect on the market for the Company’s securities. Therefore, in order to avoid even the appearance of trading</w:t>
      </w:r>
      <w:r>
        <w:rPr>
          <w:spacing w:val="-3"/>
          <w:sz w:val="20"/>
        </w:rPr>
        <w:t xml:space="preserve"> </w:t>
      </w:r>
      <w:r>
        <w:rPr>
          <w:sz w:val="20"/>
        </w:rPr>
        <w:t>while in possession of material non-public information, with</w:t>
      </w:r>
      <w:r>
        <w:rPr>
          <w:spacing w:val="-2"/>
          <w:sz w:val="20"/>
        </w:rPr>
        <w:t xml:space="preserve"> </w:t>
      </w:r>
      <w:r>
        <w:rPr>
          <w:sz w:val="20"/>
        </w:rPr>
        <w:t>respect to each</w:t>
      </w:r>
      <w:r>
        <w:rPr>
          <w:spacing w:val="-3"/>
          <w:sz w:val="20"/>
        </w:rPr>
        <w:t xml:space="preserve"> </w:t>
      </w:r>
      <w:r>
        <w:rPr>
          <w:sz w:val="20"/>
        </w:rPr>
        <w:t>fiscal quarter of the Company, Covered Persons may not purchase or sell or</w:t>
      </w:r>
      <w:r>
        <w:rPr>
          <w:spacing w:val="-1"/>
          <w:sz w:val="20"/>
        </w:rPr>
        <w:t xml:space="preserve"> </w:t>
      </w:r>
      <w:r>
        <w:rPr>
          <w:sz w:val="20"/>
        </w:rPr>
        <w:t>otherwise transfer the Company’s securities</w:t>
      </w:r>
      <w:r>
        <w:rPr>
          <w:spacing w:val="-6"/>
          <w:sz w:val="20"/>
        </w:rPr>
        <w:t xml:space="preserve"> </w:t>
      </w:r>
      <w:r>
        <w:rPr>
          <w:sz w:val="20"/>
        </w:rPr>
        <w:t>during</w:t>
      </w:r>
      <w:r>
        <w:rPr>
          <w:spacing w:val="-9"/>
          <w:sz w:val="20"/>
        </w:rPr>
        <w:t xml:space="preserve"> </w:t>
      </w:r>
      <w:r>
        <w:rPr>
          <w:sz w:val="20"/>
        </w:rPr>
        <w:t>the</w:t>
      </w:r>
      <w:r>
        <w:rPr>
          <w:spacing w:val="-4"/>
          <w:sz w:val="20"/>
        </w:rPr>
        <w:t xml:space="preserve"> </w:t>
      </w:r>
      <w:r>
        <w:rPr>
          <w:sz w:val="20"/>
        </w:rPr>
        <w:t>period</w:t>
      </w:r>
      <w:r>
        <w:rPr>
          <w:spacing w:val="-11"/>
          <w:sz w:val="20"/>
        </w:rPr>
        <w:t xml:space="preserve"> </w:t>
      </w:r>
      <w:r>
        <w:rPr>
          <w:sz w:val="20"/>
        </w:rPr>
        <w:t>beginning</w:t>
      </w:r>
      <w:r>
        <w:rPr>
          <w:spacing w:val="-9"/>
          <w:sz w:val="20"/>
        </w:rPr>
        <w:t xml:space="preserve"> </w:t>
      </w:r>
      <w:r>
        <w:rPr>
          <w:sz w:val="20"/>
        </w:rPr>
        <w:t>15</w:t>
      </w:r>
      <w:r>
        <w:rPr>
          <w:spacing w:val="-4"/>
          <w:sz w:val="20"/>
        </w:rPr>
        <w:t xml:space="preserve"> </w:t>
      </w:r>
      <w:r>
        <w:rPr>
          <w:sz w:val="20"/>
        </w:rPr>
        <w:t>days</w:t>
      </w:r>
      <w:r>
        <w:rPr>
          <w:spacing w:val="-6"/>
          <w:sz w:val="20"/>
        </w:rPr>
        <w:t xml:space="preserve"> </w:t>
      </w:r>
      <w:r>
        <w:rPr>
          <w:sz w:val="20"/>
        </w:rPr>
        <w:t>prior</w:t>
      </w:r>
      <w:r>
        <w:rPr>
          <w:spacing w:val="-6"/>
          <w:sz w:val="20"/>
        </w:rPr>
        <w:t xml:space="preserve"> </w:t>
      </w:r>
      <w:r>
        <w:rPr>
          <w:sz w:val="20"/>
        </w:rPr>
        <w:t>to</w:t>
      </w:r>
      <w:r>
        <w:rPr>
          <w:spacing w:val="-9"/>
          <w:sz w:val="20"/>
        </w:rPr>
        <w:t xml:space="preserve"> </w:t>
      </w:r>
      <w:r>
        <w:rPr>
          <w:sz w:val="20"/>
        </w:rPr>
        <w:t>the</w:t>
      </w:r>
      <w:r>
        <w:rPr>
          <w:spacing w:val="-6"/>
          <w:sz w:val="20"/>
        </w:rPr>
        <w:t xml:space="preserve"> </w:t>
      </w:r>
      <w:r>
        <w:rPr>
          <w:sz w:val="20"/>
        </w:rPr>
        <w:t>end</w:t>
      </w:r>
      <w:r>
        <w:rPr>
          <w:spacing w:val="-4"/>
          <w:sz w:val="20"/>
        </w:rPr>
        <w:t xml:space="preserve"> </w:t>
      </w:r>
      <w:r>
        <w:rPr>
          <w:sz w:val="20"/>
        </w:rPr>
        <w:t>of</w:t>
      </w:r>
      <w:r>
        <w:rPr>
          <w:spacing w:val="-11"/>
          <w:sz w:val="20"/>
        </w:rPr>
        <w:t xml:space="preserve"> </w:t>
      </w:r>
      <w:r>
        <w:rPr>
          <w:sz w:val="20"/>
        </w:rPr>
        <w:t>the</w:t>
      </w:r>
      <w:r>
        <w:rPr>
          <w:spacing w:val="-6"/>
          <w:sz w:val="20"/>
        </w:rPr>
        <w:t xml:space="preserve"> </w:t>
      </w:r>
      <w:r>
        <w:rPr>
          <w:sz w:val="20"/>
        </w:rPr>
        <w:t>quarter</w:t>
      </w:r>
      <w:r>
        <w:rPr>
          <w:spacing w:val="-6"/>
          <w:sz w:val="20"/>
        </w:rPr>
        <w:t xml:space="preserve"> </w:t>
      </w:r>
      <w:r>
        <w:rPr>
          <w:sz w:val="20"/>
        </w:rPr>
        <w:t>and</w:t>
      </w:r>
      <w:r>
        <w:rPr>
          <w:spacing w:val="-9"/>
          <w:sz w:val="20"/>
        </w:rPr>
        <w:t xml:space="preserve"> </w:t>
      </w:r>
      <w:r>
        <w:rPr>
          <w:sz w:val="20"/>
        </w:rPr>
        <w:t>ending</w:t>
      </w:r>
      <w:r>
        <w:rPr>
          <w:spacing w:val="-6"/>
          <w:sz w:val="20"/>
        </w:rPr>
        <w:t xml:space="preserve"> </w:t>
      </w:r>
      <w:r>
        <w:rPr>
          <w:sz w:val="20"/>
        </w:rPr>
        <w:t>after the</w:t>
      </w:r>
      <w:r>
        <w:rPr>
          <w:spacing w:val="-4"/>
          <w:sz w:val="20"/>
        </w:rPr>
        <w:t xml:space="preserve"> </w:t>
      </w:r>
      <w:r>
        <w:rPr>
          <w:sz w:val="20"/>
        </w:rPr>
        <w:t>second</w:t>
      </w:r>
      <w:r>
        <w:rPr>
          <w:spacing w:val="-5"/>
          <w:sz w:val="20"/>
        </w:rPr>
        <w:t xml:space="preserve"> </w:t>
      </w:r>
      <w:r>
        <w:rPr>
          <w:sz w:val="20"/>
        </w:rPr>
        <w:t>full</w:t>
      </w:r>
      <w:r>
        <w:rPr>
          <w:spacing w:val="-6"/>
          <w:sz w:val="20"/>
        </w:rPr>
        <w:t xml:space="preserve"> </w:t>
      </w:r>
      <w:r>
        <w:rPr>
          <w:sz w:val="20"/>
        </w:rPr>
        <w:t>business</w:t>
      </w:r>
      <w:r>
        <w:rPr>
          <w:spacing w:val="-4"/>
          <w:sz w:val="20"/>
        </w:rPr>
        <w:t xml:space="preserve"> </w:t>
      </w:r>
      <w:r>
        <w:rPr>
          <w:sz w:val="20"/>
        </w:rPr>
        <w:t>day</w:t>
      </w:r>
      <w:r>
        <w:rPr>
          <w:spacing w:val="-7"/>
          <w:sz w:val="20"/>
        </w:rPr>
        <w:t xml:space="preserve"> </w:t>
      </w:r>
      <w:r>
        <w:rPr>
          <w:sz w:val="20"/>
        </w:rPr>
        <w:t>following</w:t>
      </w:r>
      <w:r>
        <w:rPr>
          <w:spacing w:val="-5"/>
          <w:sz w:val="20"/>
        </w:rPr>
        <w:t xml:space="preserve"> </w:t>
      </w:r>
      <w:r>
        <w:rPr>
          <w:sz w:val="20"/>
        </w:rPr>
        <w:t>the</w:t>
      </w:r>
      <w:r>
        <w:rPr>
          <w:spacing w:val="-4"/>
          <w:sz w:val="20"/>
        </w:rPr>
        <w:t xml:space="preserve"> </w:t>
      </w:r>
      <w:r>
        <w:rPr>
          <w:sz w:val="20"/>
        </w:rPr>
        <w:t>release</w:t>
      </w:r>
      <w:r>
        <w:rPr>
          <w:spacing w:val="-4"/>
          <w:sz w:val="20"/>
        </w:rPr>
        <w:t xml:space="preserve"> </w:t>
      </w:r>
      <w:r>
        <w:rPr>
          <w:sz w:val="20"/>
        </w:rPr>
        <w:t>of</w:t>
      </w:r>
      <w:r>
        <w:rPr>
          <w:spacing w:val="-6"/>
          <w:sz w:val="20"/>
        </w:rPr>
        <w:t xml:space="preserve"> </w:t>
      </w:r>
      <w:r>
        <w:rPr>
          <w:sz w:val="20"/>
        </w:rPr>
        <w:t>the</w:t>
      </w:r>
      <w:r>
        <w:rPr>
          <w:spacing w:val="-4"/>
          <w:sz w:val="20"/>
        </w:rPr>
        <w:t xml:space="preserve"> </w:t>
      </w:r>
      <w:r>
        <w:rPr>
          <w:sz w:val="20"/>
        </w:rPr>
        <w:t>Company’s</w:t>
      </w:r>
      <w:r>
        <w:rPr>
          <w:spacing w:val="-4"/>
          <w:sz w:val="20"/>
        </w:rPr>
        <w:t xml:space="preserve"> </w:t>
      </w:r>
      <w:r>
        <w:rPr>
          <w:sz w:val="20"/>
        </w:rPr>
        <w:t>financial</w:t>
      </w:r>
      <w:r>
        <w:rPr>
          <w:spacing w:val="-6"/>
          <w:sz w:val="20"/>
        </w:rPr>
        <w:t xml:space="preserve"> </w:t>
      </w:r>
      <w:r>
        <w:rPr>
          <w:sz w:val="20"/>
        </w:rPr>
        <w:t>results</w:t>
      </w:r>
      <w:r>
        <w:rPr>
          <w:spacing w:val="-4"/>
          <w:sz w:val="20"/>
        </w:rPr>
        <w:t xml:space="preserve"> </w:t>
      </w:r>
      <w:r>
        <w:rPr>
          <w:sz w:val="20"/>
        </w:rPr>
        <w:t>for</w:t>
      </w:r>
      <w:r>
        <w:rPr>
          <w:spacing w:val="-4"/>
          <w:sz w:val="20"/>
        </w:rPr>
        <w:t xml:space="preserve"> </w:t>
      </w:r>
      <w:r>
        <w:rPr>
          <w:sz w:val="20"/>
        </w:rPr>
        <w:t>that quarter. The announcement date of the quarterly results varies, but occurs normally</w:t>
      </w:r>
      <w:r>
        <w:rPr>
          <w:spacing w:val="-2"/>
          <w:sz w:val="20"/>
        </w:rPr>
        <w:t xml:space="preserve"> </w:t>
      </w:r>
      <w:r>
        <w:rPr>
          <w:sz w:val="20"/>
        </w:rPr>
        <w:t>toward the end of the month following the end of the fiscal quarter.</w:t>
      </w:r>
    </w:p>
    <w:p>
      <w:pPr>
        <w:pStyle w:val="TextBody"/>
        <w:bidi w:val="0"/>
        <w:spacing w:before="238" w:after="120"/>
        <w:ind w:left="742" w:right="134" w:firstLine="720"/>
        <w:jc w:val="left"/>
        <w:rPr>
          <w:sz w:val="20"/>
        </w:rPr>
      </w:pPr>
      <w:r>
        <w:rPr>
          <w:sz w:val="20"/>
        </w:rPr>
        <w:t>(b)</w:t>
      </w:r>
      <w:r>
        <w:rPr>
          <w:caps w:val="false"/>
          <w:smallCaps w:val="false"/>
          <w:sz w:val="20"/>
        </w:rPr>
        <w:t xml:space="preserve">                 </w:t>
      </w:r>
      <w:r>
        <w:rPr>
          <w:sz w:val="20"/>
          <w:u w:val="single"/>
        </w:rPr>
        <w:t>Other</w:t>
      </w:r>
      <w:r>
        <w:rPr>
          <w:spacing w:val="-7"/>
          <w:sz w:val="20"/>
          <w:u w:val="single"/>
        </w:rPr>
        <w:t xml:space="preserve"> </w:t>
      </w:r>
      <w:r>
        <w:rPr>
          <w:sz w:val="20"/>
          <w:u w:val="single"/>
        </w:rPr>
        <w:t>Blackout</w:t>
      </w:r>
      <w:r>
        <w:rPr>
          <w:spacing w:val="-10"/>
          <w:sz w:val="20"/>
          <w:u w:val="single"/>
        </w:rPr>
        <w:t xml:space="preserve"> </w:t>
      </w:r>
      <w:r>
        <w:rPr>
          <w:sz w:val="20"/>
          <w:u w:val="single"/>
        </w:rPr>
        <w:t>Periods</w:t>
      </w:r>
      <w:r>
        <w:rPr>
          <w:sz w:val="20"/>
        </w:rPr>
        <w:t>.</w:t>
      </w:r>
      <w:r>
        <w:rPr>
          <w:spacing w:val="-8"/>
          <w:sz w:val="20"/>
        </w:rPr>
        <w:t xml:space="preserve"> </w:t>
      </w:r>
      <w:r>
        <w:rPr>
          <w:sz w:val="20"/>
        </w:rPr>
        <w:t>In</w:t>
      </w:r>
      <w:r>
        <w:rPr>
          <w:spacing w:val="-8"/>
          <w:sz w:val="20"/>
        </w:rPr>
        <w:t xml:space="preserve"> </w:t>
      </w:r>
      <w:r>
        <w:rPr>
          <w:sz w:val="20"/>
        </w:rPr>
        <w:t>addition,</w:t>
      </w:r>
      <w:r>
        <w:rPr>
          <w:spacing w:val="-11"/>
          <w:sz w:val="20"/>
        </w:rPr>
        <w:t xml:space="preserve"> </w:t>
      </w:r>
      <w:r>
        <w:rPr>
          <w:sz w:val="20"/>
        </w:rPr>
        <w:t>the</w:t>
      </w:r>
      <w:r>
        <w:rPr>
          <w:spacing w:val="-8"/>
          <w:sz w:val="20"/>
        </w:rPr>
        <w:t xml:space="preserve"> </w:t>
      </w:r>
      <w:r>
        <w:rPr>
          <w:sz w:val="20"/>
        </w:rPr>
        <w:t>Company</w:t>
      </w:r>
      <w:r>
        <w:rPr>
          <w:spacing w:val="-11"/>
          <w:sz w:val="20"/>
        </w:rPr>
        <w:t xml:space="preserve"> </w:t>
      </w:r>
      <w:r>
        <w:rPr>
          <w:sz w:val="20"/>
        </w:rPr>
        <w:t>may</w:t>
      </w:r>
      <w:r>
        <w:rPr>
          <w:spacing w:val="-12"/>
          <w:sz w:val="20"/>
        </w:rPr>
        <w:t xml:space="preserve"> </w:t>
      </w:r>
      <w:r>
        <w:rPr>
          <w:sz w:val="20"/>
        </w:rPr>
        <w:t>impose</w:t>
      </w:r>
      <w:r>
        <w:rPr>
          <w:spacing w:val="-10"/>
          <w:sz w:val="20"/>
        </w:rPr>
        <w:t xml:space="preserve"> </w:t>
      </w:r>
      <w:r>
        <w:rPr>
          <w:sz w:val="20"/>
        </w:rPr>
        <w:t>event</w:t>
      </w:r>
      <w:r>
        <w:rPr>
          <w:spacing w:val="-10"/>
          <w:sz w:val="20"/>
        </w:rPr>
        <w:t xml:space="preserve"> </w:t>
      </w:r>
      <w:r>
        <w:rPr>
          <w:sz w:val="20"/>
        </w:rPr>
        <w:t>specific restricted periods during which Covered Persons who are aware of the event may not purchase or sell or otherwise transfer any</w:t>
      </w:r>
      <w:r>
        <w:rPr>
          <w:spacing w:val="-2"/>
          <w:sz w:val="20"/>
        </w:rPr>
        <w:t xml:space="preserve"> </w:t>
      </w:r>
      <w:r>
        <w:rPr>
          <w:sz w:val="20"/>
        </w:rPr>
        <w:t>securities of</w:t>
      </w:r>
      <w:r>
        <w:rPr>
          <w:spacing w:val="-1"/>
          <w:sz w:val="20"/>
        </w:rPr>
        <w:t xml:space="preserve"> </w:t>
      </w:r>
      <w:r>
        <w:rPr>
          <w:sz w:val="20"/>
        </w:rPr>
        <w:t>the Company. These blackout periods may be imposed as a result of an event, contingency or potential transaction</w:t>
      </w:r>
      <w:r>
        <w:rPr>
          <w:spacing w:val="-2"/>
          <w:sz w:val="20"/>
        </w:rPr>
        <w:t xml:space="preserve"> </w:t>
      </w:r>
      <w:r>
        <w:rPr>
          <w:sz w:val="20"/>
        </w:rPr>
        <w:t>that may be material to</w:t>
      </w:r>
      <w:r>
        <w:rPr>
          <w:spacing w:val="-3"/>
          <w:sz w:val="20"/>
        </w:rPr>
        <w:t xml:space="preserve"> </w:t>
      </w:r>
      <w:r>
        <w:rPr>
          <w:sz w:val="20"/>
        </w:rPr>
        <w:t>the Company. Also, the Company may on occasion issue interim earnings guidance</w:t>
      </w:r>
      <w:r>
        <w:rPr>
          <w:spacing w:val="-6"/>
          <w:sz w:val="20"/>
        </w:rPr>
        <w:t xml:space="preserve"> </w:t>
      </w:r>
      <w:r>
        <w:rPr>
          <w:sz w:val="20"/>
        </w:rPr>
        <w:t>or</w:t>
      </w:r>
      <w:r>
        <w:rPr>
          <w:spacing w:val="-6"/>
          <w:sz w:val="20"/>
        </w:rPr>
        <w:t xml:space="preserve"> </w:t>
      </w:r>
      <w:r>
        <w:rPr>
          <w:sz w:val="20"/>
        </w:rPr>
        <w:t>other</w:t>
      </w:r>
      <w:r>
        <w:rPr>
          <w:spacing w:val="-3"/>
          <w:sz w:val="20"/>
        </w:rPr>
        <w:t xml:space="preserve"> </w:t>
      </w:r>
      <w:r>
        <w:rPr>
          <w:sz w:val="20"/>
        </w:rPr>
        <w:t>potentially</w:t>
      </w:r>
      <w:r>
        <w:rPr>
          <w:spacing w:val="-7"/>
          <w:sz w:val="20"/>
        </w:rPr>
        <w:t xml:space="preserve"> </w:t>
      </w:r>
      <w:r>
        <w:rPr>
          <w:sz w:val="20"/>
        </w:rPr>
        <w:t>material</w:t>
      </w:r>
      <w:r>
        <w:rPr>
          <w:spacing w:val="-8"/>
          <w:sz w:val="20"/>
        </w:rPr>
        <w:t xml:space="preserve"> </w:t>
      </w:r>
      <w:r>
        <w:rPr>
          <w:sz w:val="20"/>
        </w:rPr>
        <w:t>information</w:t>
      </w:r>
      <w:r>
        <w:rPr>
          <w:spacing w:val="-4"/>
          <w:sz w:val="20"/>
        </w:rPr>
        <w:t xml:space="preserve"> </w:t>
      </w:r>
      <w:r>
        <w:rPr>
          <w:sz w:val="20"/>
        </w:rPr>
        <w:t>by</w:t>
      </w:r>
      <w:r>
        <w:rPr>
          <w:spacing w:val="-12"/>
          <w:sz w:val="20"/>
        </w:rPr>
        <w:t xml:space="preserve"> </w:t>
      </w:r>
      <w:r>
        <w:rPr>
          <w:sz w:val="20"/>
        </w:rPr>
        <w:t>means</w:t>
      </w:r>
      <w:r>
        <w:rPr>
          <w:spacing w:val="-4"/>
          <w:sz w:val="20"/>
        </w:rPr>
        <w:t xml:space="preserve"> </w:t>
      </w:r>
      <w:r>
        <w:rPr>
          <w:sz w:val="20"/>
        </w:rPr>
        <w:t>of</w:t>
      </w:r>
      <w:r>
        <w:rPr>
          <w:spacing w:val="-3"/>
          <w:sz w:val="20"/>
        </w:rPr>
        <w:t xml:space="preserve"> </w:t>
      </w:r>
      <w:r>
        <w:rPr>
          <w:sz w:val="20"/>
        </w:rPr>
        <w:t>a</w:t>
      </w:r>
      <w:r>
        <w:rPr>
          <w:spacing w:val="-6"/>
          <w:sz w:val="20"/>
        </w:rPr>
        <w:t xml:space="preserve"> </w:t>
      </w:r>
      <w:r>
        <w:rPr>
          <w:sz w:val="20"/>
        </w:rPr>
        <w:t>press</w:t>
      </w:r>
      <w:r>
        <w:rPr>
          <w:spacing w:val="-6"/>
          <w:sz w:val="20"/>
        </w:rPr>
        <w:t xml:space="preserve"> </w:t>
      </w:r>
      <w:r>
        <w:rPr>
          <w:sz w:val="20"/>
        </w:rPr>
        <w:t>release,</w:t>
      </w:r>
      <w:r>
        <w:rPr>
          <w:spacing w:val="-7"/>
          <w:sz w:val="20"/>
        </w:rPr>
        <w:t xml:space="preserve"> </w:t>
      </w:r>
      <w:r>
        <w:rPr>
          <w:sz w:val="20"/>
        </w:rPr>
        <w:t>Form</w:t>
      </w:r>
      <w:r>
        <w:rPr>
          <w:spacing w:val="-8"/>
          <w:sz w:val="20"/>
        </w:rPr>
        <w:t xml:space="preserve"> </w:t>
      </w:r>
      <w:r>
        <w:rPr>
          <w:sz w:val="20"/>
        </w:rPr>
        <w:t>8-K</w:t>
      </w:r>
      <w:r>
        <w:rPr>
          <w:spacing w:val="-5"/>
          <w:sz w:val="20"/>
        </w:rPr>
        <w:t xml:space="preserve"> </w:t>
      </w:r>
      <w:r>
        <w:rPr>
          <w:sz w:val="20"/>
        </w:rPr>
        <w:t>or other</w:t>
      </w:r>
      <w:r>
        <w:rPr>
          <w:spacing w:val="-8"/>
          <w:sz w:val="20"/>
        </w:rPr>
        <w:t xml:space="preserve"> </w:t>
      </w:r>
      <w:r>
        <w:rPr>
          <w:sz w:val="20"/>
        </w:rPr>
        <w:t>means</w:t>
      </w:r>
      <w:r>
        <w:rPr>
          <w:spacing w:val="-6"/>
          <w:sz w:val="20"/>
        </w:rPr>
        <w:t xml:space="preserve"> </w:t>
      </w:r>
      <w:r>
        <w:rPr>
          <w:sz w:val="20"/>
        </w:rPr>
        <w:t>designed</w:t>
      </w:r>
      <w:r>
        <w:rPr>
          <w:spacing w:val="-9"/>
          <w:sz w:val="20"/>
        </w:rPr>
        <w:t xml:space="preserve"> </w:t>
      </w:r>
      <w:r>
        <w:rPr>
          <w:sz w:val="20"/>
        </w:rPr>
        <w:t>to</w:t>
      </w:r>
      <w:r>
        <w:rPr>
          <w:spacing w:val="-9"/>
          <w:sz w:val="20"/>
        </w:rPr>
        <w:t xml:space="preserve"> </w:t>
      </w:r>
      <w:r>
        <w:rPr>
          <w:sz w:val="20"/>
        </w:rPr>
        <w:t>achieve</w:t>
      </w:r>
      <w:r>
        <w:rPr>
          <w:spacing w:val="-6"/>
          <w:sz w:val="20"/>
        </w:rPr>
        <w:t xml:space="preserve"> </w:t>
      </w:r>
      <w:r>
        <w:rPr>
          <w:sz w:val="20"/>
        </w:rPr>
        <w:t>widespread</w:t>
      </w:r>
      <w:r>
        <w:rPr>
          <w:spacing w:val="-9"/>
          <w:sz w:val="20"/>
        </w:rPr>
        <w:t xml:space="preserve"> </w:t>
      </w:r>
      <w:r>
        <w:rPr>
          <w:sz w:val="20"/>
        </w:rPr>
        <w:t>dissemination</w:t>
      </w:r>
      <w:r>
        <w:rPr>
          <w:spacing w:val="-6"/>
          <w:sz w:val="20"/>
        </w:rPr>
        <w:t xml:space="preserve"> </w:t>
      </w:r>
      <w:r>
        <w:rPr>
          <w:sz w:val="20"/>
        </w:rPr>
        <w:t>of</w:t>
      </w:r>
      <w:r>
        <w:rPr>
          <w:spacing w:val="-8"/>
          <w:sz w:val="20"/>
        </w:rPr>
        <w:t xml:space="preserve"> </w:t>
      </w:r>
      <w:r>
        <w:rPr>
          <w:sz w:val="20"/>
        </w:rPr>
        <w:t>the</w:t>
      </w:r>
      <w:r>
        <w:rPr>
          <w:spacing w:val="-11"/>
          <w:sz w:val="20"/>
        </w:rPr>
        <w:t xml:space="preserve"> </w:t>
      </w:r>
      <w:r>
        <w:rPr>
          <w:sz w:val="20"/>
        </w:rPr>
        <w:t>information.</w:t>
      </w:r>
      <w:r>
        <w:rPr>
          <w:spacing w:val="-11"/>
          <w:sz w:val="20"/>
        </w:rPr>
        <w:t xml:space="preserve"> </w:t>
      </w:r>
      <w:r>
        <w:rPr>
          <w:sz w:val="20"/>
        </w:rPr>
        <w:t>Transactions are unlikely to be pre-cleared while the Company is in the process of assembling the information</w:t>
      </w:r>
      <w:r>
        <w:rPr>
          <w:spacing w:val="-9"/>
          <w:sz w:val="20"/>
        </w:rPr>
        <w:t xml:space="preserve"> </w:t>
      </w:r>
      <w:r>
        <w:rPr>
          <w:sz w:val="20"/>
        </w:rPr>
        <w:t>to</w:t>
      </w:r>
      <w:r>
        <w:rPr>
          <w:spacing w:val="-5"/>
          <w:sz w:val="20"/>
        </w:rPr>
        <w:t xml:space="preserve"> </w:t>
      </w:r>
      <w:r>
        <w:rPr>
          <w:sz w:val="20"/>
        </w:rPr>
        <w:t>be</w:t>
      </w:r>
      <w:r>
        <w:rPr>
          <w:spacing w:val="-9"/>
          <w:sz w:val="20"/>
        </w:rPr>
        <w:t xml:space="preserve"> </w:t>
      </w:r>
      <w:r>
        <w:rPr>
          <w:sz w:val="20"/>
        </w:rPr>
        <w:t>released</w:t>
      </w:r>
      <w:r>
        <w:rPr>
          <w:spacing w:val="-9"/>
          <w:sz w:val="20"/>
        </w:rPr>
        <w:t xml:space="preserve"> </w:t>
      </w:r>
      <w:r>
        <w:rPr>
          <w:sz w:val="20"/>
        </w:rPr>
        <w:t>and</w:t>
      </w:r>
      <w:r>
        <w:rPr>
          <w:spacing w:val="-7"/>
          <w:sz w:val="20"/>
        </w:rPr>
        <w:t xml:space="preserve"> </w:t>
      </w:r>
      <w:r>
        <w:rPr>
          <w:sz w:val="20"/>
        </w:rPr>
        <w:t>until</w:t>
      </w:r>
      <w:r>
        <w:rPr>
          <w:spacing w:val="-8"/>
          <w:sz w:val="20"/>
        </w:rPr>
        <w:t xml:space="preserve"> </w:t>
      </w:r>
      <w:r>
        <w:rPr>
          <w:sz w:val="20"/>
        </w:rPr>
        <w:t>the</w:t>
      </w:r>
      <w:r>
        <w:rPr>
          <w:spacing w:val="-9"/>
          <w:sz w:val="20"/>
        </w:rPr>
        <w:t xml:space="preserve"> </w:t>
      </w:r>
      <w:r>
        <w:rPr>
          <w:sz w:val="20"/>
        </w:rPr>
        <w:t>information</w:t>
      </w:r>
      <w:r>
        <w:rPr>
          <w:spacing w:val="-7"/>
          <w:sz w:val="20"/>
        </w:rPr>
        <w:t xml:space="preserve"> </w:t>
      </w:r>
      <w:r>
        <w:rPr>
          <w:sz w:val="20"/>
        </w:rPr>
        <w:t>has</w:t>
      </w:r>
      <w:r>
        <w:rPr>
          <w:spacing w:val="-9"/>
          <w:sz w:val="20"/>
        </w:rPr>
        <w:t xml:space="preserve"> </w:t>
      </w:r>
      <w:r>
        <w:rPr>
          <w:sz w:val="20"/>
        </w:rPr>
        <w:t>been</w:t>
      </w:r>
      <w:r>
        <w:rPr>
          <w:spacing w:val="-9"/>
          <w:sz w:val="20"/>
        </w:rPr>
        <w:t xml:space="preserve"> </w:t>
      </w:r>
      <w:r>
        <w:rPr>
          <w:sz w:val="20"/>
        </w:rPr>
        <w:t>released</w:t>
      </w:r>
      <w:r>
        <w:rPr>
          <w:spacing w:val="-7"/>
          <w:sz w:val="20"/>
        </w:rPr>
        <w:t xml:space="preserve"> </w:t>
      </w:r>
      <w:r>
        <w:rPr>
          <w:sz w:val="20"/>
        </w:rPr>
        <w:t>and</w:t>
      </w:r>
      <w:r>
        <w:rPr>
          <w:spacing w:val="-7"/>
          <w:sz w:val="20"/>
        </w:rPr>
        <w:t xml:space="preserve"> </w:t>
      </w:r>
      <w:r>
        <w:rPr>
          <w:sz w:val="20"/>
        </w:rPr>
        <w:t>fully</w:t>
      </w:r>
      <w:r>
        <w:rPr>
          <w:spacing w:val="-9"/>
          <w:sz w:val="20"/>
        </w:rPr>
        <w:t xml:space="preserve"> </w:t>
      </w:r>
      <w:r>
        <w:rPr>
          <w:sz w:val="20"/>
        </w:rPr>
        <w:t>absorbed</w:t>
      </w:r>
      <w:r>
        <w:rPr>
          <w:spacing w:val="-7"/>
          <w:sz w:val="20"/>
        </w:rPr>
        <w:t xml:space="preserve"> </w:t>
      </w:r>
      <w:r>
        <w:rPr>
          <w:sz w:val="20"/>
        </w:rPr>
        <w:t>by the market.</w:t>
      </w:r>
    </w:p>
    <w:p>
      <w:pPr>
        <w:pStyle w:val="TextBody"/>
        <w:bidi w:val="0"/>
        <w:spacing w:before="0" w:after="0"/>
        <w:jc w:val="left"/>
        <w:rPr/>
      </w:pPr>
      <w:r>
        <w:rPr/>
        <w:t> </w:t>
      </w:r>
    </w:p>
    <w:p>
      <w:pPr>
        <w:pStyle w:val="TextBody"/>
        <w:bidi w:val="0"/>
        <w:spacing w:before="0" w:after="0"/>
        <w:jc w:val="center"/>
        <w:rPr>
          <w:sz w:val="20"/>
        </w:rPr>
      </w:pPr>
      <w:r>
        <w:rPr>
          <w:sz w:val="20"/>
        </w:rPr>
        <w:t>6</w:t>
      </w:r>
    </w:p>
    <w:p>
      <w:pPr>
        <w:pStyle w:val="HorizontalLine"/>
        <w:pBdr>
          <w:bottom w:val="double" w:sz="2" w:space="0" w:color="808080"/>
        </w:pBdr>
        <w:bidi w:val="0"/>
        <w:jc w:val="center"/>
        <w:rPr/>
      </w:pPr>
      <w:r>
        <w:rPr/>
      </w:r>
    </w:p>
    <w:p>
      <w:pPr>
        <w:pStyle w:val="TextBody"/>
        <w:bidi w:val="0"/>
        <w:spacing w:lineRule="auto" w:line="14" w:before="0" w:after="0"/>
        <w:jc w:val="left"/>
        <w:rPr/>
      </w:pPr>
      <w:r>
        <w:drawing>
          <wp:anchor behindDoc="0" distT="1828800" distB="0" distL="3202940" distR="0" simplePos="0" locked="0" layoutInCell="1" allowOverlap="1" relativeHeight="8">
            <wp:simplePos x="0" y="0"/>
            <wp:positionH relativeFrom="character">
              <wp:align>left</wp:align>
            </wp:positionH>
            <wp:positionV relativeFrom="line">
              <wp:align>top</wp:align>
            </wp:positionV>
            <wp:extent cx="285750" cy="180975"/>
            <wp:effectExtent l="0" t="0" r="0" b="0"/>
            <wp:wrapNone/>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5"/>
                    <a:stretch>
                      <a:fillRect/>
                    </a:stretch>
                  </pic:blipFill>
                  <pic:spPr bwMode="auto">
                    <a:xfrm>
                      <a:off x="0" y="0"/>
                      <a:ext cx="285750" cy="180975"/>
                    </a:xfrm>
                    <a:prstGeom prst="rect">
                      <a:avLst/>
                    </a:prstGeom>
                  </pic:spPr>
                </pic:pic>
              </a:graphicData>
            </a:graphic>
          </wp:anchor>
        </w:drawing>
      </w:r>
      <w:r>
        <w:rPr/>
        <w:t> </w:t>
      </w:r>
    </w:p>
    <w:p>
      <w:pPr>
        <w:pStyle w:val="TextBody"/>
        <w:bidi w:val="0"/>
        <w:spacing w:before="0" w:after="0"/>
        <w:ind w:left="740" w:right="97" w:firstLine="722"/>
        <w:jc w:val="left"/>
        <w:rPr>
          <w:sz w:val="20"/>
        </w:rPr>
      </w:pPr>
      <w:r>
        <w:rPr>
          <w:sz w:val="20"/>
        </w:rPr>
        <w:t>The</w:t>
      </w:r>
      <w:r>
        <w:rPr>
          <w:spacing w:val="-7"/>
          <w:sz w:val="20"/>
        </w:rPr>
        <w:t xml:space="preserve"> </w:t>
      </w:r>
      <w:r>
        <w:rPr>
          <w:sz w:val="20"/>
        </w:rPr>
        <w:t>existence</w:t>
      </w:r>
      <w:r>
        <w:rPr>
          <w:spacing w:val="-6"/>
          <w:sz w:val="20"/>
        </w:rPr>
        <w:t xml:space="preserve"> </w:t>
      </w:r>
      <w:r>
        <w:rPr>
          <w:sz w:val="20"/>
        </w:rPr>
        <w:t>of</w:t>
      </w:r>
      <w:r>
        <w:rPr>
          <w:spacing w:val="-7"/>
          <w:sz w:val="20"/>
        </w:rPr>
        <w:t xml:space="preserve"> </w:t>
      </w:r>
      <w:r>
        <w:rPr>
          <w:sz w:val="20"/>
        </w:rPr>
        <w:t>an</w:t>
      </w:r>
      <w:r>
        <w:rPr>
          <w:spacing w:val="-8"/>
          <w:sz w:val="20"/>
        </w:rPr>
        <w:t xml:space="preserve"> </w:t>
      </w:r>
      <w:r>
        <w:rPr>
          <w:sz w:val="20"/>
        </w:rPr>
        <w:t>event-specific</w:t>
      </w:r>
      <w:r>
        <w:rPr>
          <w:spacing w:val="-6"/>
          <w:sz w:val="20"/>
        </w:rPr>
        <w:t xml:space="preserve"> </w:t>
      </w:r>
      <w:r>
        <w:rPr>
          <w:sz w:val="20"/>
        </w:rPr>
        <w:t>blackout</w:t>
      </w:r>
      <w:r>
        <w:rPr>
          <w:spacing w:val="-7"/>
          <w:sz w:val="20"/>
        </w:rPr>
        <w:t xml:space="preserve"> </w:t>
      </w:r>
      <w:r>
        <w:rPr>
          <w:sz w:val="20"/>
        </w:rPr>
        <w:t>period</w:t>
      </w:r>
      <w:r>
        <w:rPr>
          <w:spacing w:val="-8"/>
          <w:sz w:val="20"/>
        </w:rPr>
        <w:t xml:space="preserve"> </w:t>
      </w:r>
      <w:r>
        <w:rPr>
          <w:sz w:val="20"/>
        </w:rPr>
        <w:t>may</w:t>
      </w:r>
      <w:r>
        <w:rPr>
          <w:spacing w:val="-12"/>
          <w:sz w:val="20"/>
        </w:rPr>
        <w:t xml:space="preserve"> </w:t>
      </w:r>
      <w:r>
        <w:rPr>
          <w:sz w:val="20"/>
        </w:rPr>
        <w:t>not</w:t>
      </w:r>
      <w:r>
        <w:rPr>
          <w:spacing w:val="-5"/>
          <w:sz w:val="20"/>
        </w:rPr>
        <w:t xml:space="preserve"> </w:t>
      </w:r>
      <w:r>
        <w:rPr>
          <w:sz w:val="20"/>
        </w:rPr>
        <w:t>be</w:t>
      </w:r>
      <w:r>
        <w:rPr>
          <w:spacing w:val="-7"/>
          <w:sz w:val="20"/>
        </w:rPr>
        <w:t xml:space="preserve"> </w:t>
      </w:r>
      <w:r>
        <w:rPr>
          <w:sz w:val="20"/>
        </w:rPr>
        <w:t>announced,</w:t>
      </w:r>
      <w:r>
        <w:rPr>
          <w:spacing w:val="-6"/>
          <w:sz w:val="20"/>
        </w:rPr>
        <w:t xml:space="preserve"> </w:t>
      </w:r>
      <w:r>
        <w:rPr>
          <w:sz w:val="20"/>
        </w:rPr>
        <w:t>or</w:t>
      </w:r>
      <w:r>
        <w:rPr>
          <w:spacing w:val="-7"/>
          <w:sz w:val="20"/>
        </w:rPr>
        <w:t xml:space="preserve"> </w:t>
      </w:r>
      <w:r>
        <w:rPr>
          <w:sz w:val="20"/>
        </w:rPr>
        <w:t>may</w:t>
      </w:r>
      <w:r>
        <w:rPr>
          <w:spacing w:val="-12"/>
          <w:sz w:val="20"/>
        </w:rPr>
        <w:t xml:space="preserve"> </w:t>
      </w:r>
      <w:r>
        <w:rPr>
          <w:sz w:val="20"/>
        </w:rPr>
        <w:t>be announced</w:t>
      </w:r>
      <w:r>
        <w:rPr>
          <w:spacing w:val="-4"/>
          <w:sz w:val="20"/>
        </w:rPr>
        <w:t xml:space="preserve"> </w:t>
      </w:r>
      <w:r>
        <w:rPr>
          <w:sz w:val="20"/>
        </w:rPr>
        <w:t>only</w:t>
      </w:r>
      <w:r>
        <w:rPr>
          <w:spacing w:val="-9"/>
          <w:sz w:val="20"/>
        </w:rPr>
        <w:t xml:space="preserve"> </w:t>
      </w:r>
      <w:r>
        <w:rPr>
          <w:sz w:val="20"/>
        </w:rPr>
        <w:t>to</w:t>
      </w:r>
      <w:r>
        <w:rPr>
          <w:spacing w:val="-7"/>
          <w:sz w:val="20"/>
        </w:rPr>
        <w:t xml:space="preserve"> </w:t>
      </w:r>
      <w:r>
        <w:rPr>
          <w:sz w:val="20"/>
        </w:rPr>
        <w:t>those</w:t>
      </w:r>
      <w:r>
        <w:rPr>
          <w:spacing w:val="-4"/>
          <w:sz w:val="20"/>
        </w:rPr>
        <w:t xml:space="preserve"> </w:t>
      </w:r>
      <w:r>
        <w:rPr>
          <w:sz w:val="20"/>
        </w:rPr>
        <w:t>who</w:t>
      </w:r>
      <w:r>
        <w:rPr>
          <w:spacing w:val="-7"/>
          <w:sz w:val="20"/>
        </w:rPr>
        <w:t xml:space="preserve"> </w:t>
      </w:r>
      <w:r>
        <w:rPr>
          <w:sz w:val="20"/>
        </w:rPr>
        <w:t>are</w:t>
      </w:r>
      <w:r>
        <w:rPr>
          <w:spacing w:val="-6"/>
          <w:sz w:val="20"/>
        </w:rPr>
        <w:t xml:space="preserve"> </w:t>
      </w:r>
      <w:r>
        <w:rPr>
          <w:sz w:val="20"/>
        </w:rPr>
        <w:t>aware</w:t>
      </w:r>
      <w:r>
        <w:rPr>
          <w:spacing w:val="-4"/>
          <w:sz w:val="20"/>
        </w:rPr>
        <w:t xml:space="preserve"> </w:t>
      </w:r>
      <w:r>
        <w:rPr>
          <w:sz w:val="20"/>
        </w:rPr>
        <w:t>of</w:t>
      </w:r>
      <w:r>
        <w:rPr>
          <w:spacing w:val="-6"/>
          <w:sz w:val="20"/>
        </w:rPr>
        <w:t xml:space="preserve"> </w:t>
      </w:r>
      <w:r>
        <w:rPr>
          <w:sz w:val="20"/>
        </w:rPr>
        <w:t>the</w:t>
      </w:r>
      <w:r>
        <w:rPr>
          <w:spacing w:val="-6"/>
          <w:sz w:val="20"/>
        </w:rPr>
        <w:t xml:space="preserve"> </w:t>
      </w:r>
      <w:r>
        <w:rPr>
          <w:sz w:val="20"/>
        </w:rPr>
        <w:t>transaction</w:t>
      </w:r>
      <w:r>
        <w:rPr>
          <w:spacing w:val="-4"/>
          <w:sz w:val="20"/>
        </w:rPr>
        <w:t xml:space="preserve"> </w:t>
      </w:r>
      <w:r>
        <w:rPr>
          <w:sz w:val="20"/>
        </w:rPr>
        <w:t>or</w:t>
      </w:r>
      <w:r>
        <w:rPr>
          <w:spacing w:val="-6"/>
          <w:sz w:val="20"/>
        </w:rPr>
        <w:t xml:space="preserve"> </w:t>
      </w:r>
      <w:r>
        <w:rPr>
          <w:sz w:val="20"/>
        </w:rPr>
        <w:t>event</w:t>
      </w:r>
      <w:r>
        <w:rPr>
          <w:spacing w:val="-3"/>
          <w:sz w:val="20"/>
        </w:rPr>
        <w:t xml:space="preserve"> </w:t>
      </w:r>
      <w:r>
        <w:rPr>
          <w:sz w:val="20"/>
        </w:rPr>
        <w:t>giving</w:t>
      </w:r>
      <w:r>
        <w:rPr>
          <w:spacing w:val="-9"/>
          <w:sz w:val="20"/>
        </w:rPr>
        <w:t xml:space="preserve"> </w:t>
      </w:r>
      <w:r>
        <w:rPr>
          <w:sz w:val="20"/>
        </w:rPr>
        <w:t>rise</w:t>
      </w:r>
      <w:r>
        <w:rPr>
          <w:spacing w:val="-4"/>
          <w:sz w:val="20"/>
        </w:rPr>
        <w:t xml:space="preserve"> </w:t>
      </w:r>
      <w:r>
        <w:rPr>
          <w:sz w:val="20"/>
        </w:rPr>
        <w:t>to</w:t>
      </w:r>
      <w:r>
        <w:rPr>
          <w:spacing w:val="-12"/>
          <w:sz w:val="20"/>
        </w:rPr>
        <w:t xml:space="preserve"> </w:t>
      </w:r>
      <w:r>
        <w:rPr>
          <w:sz w:val="20"/>
        </w:rPr>
        <w:t>the</w:t>
      </w:r>
      <w:r>
        <w:rPr>
          <w:spacing w:val="-4"/>
          <w:sz w:val="20"/>
        </w:rPr>
        <w:t xml:space="preserve"> </w:t>
      </w:r>
      <w:r>
        <w:rPr>
          <w:sz w:val="20"/>
        </w:rPr>
        <w:t>blackout period. If you are</w:t>
      </w:r>
      <w:r>
        <w:rPr>
          <w:spacing w:val="-1"/>
          <w:sz w:val="20"/>
        </w:rPr>
        <w:t xml:space="preserve"> </w:t>
      </w:r>
      <w:r>
        <w:rPr>
          <w:sz w:val="20"/>
        </w:rPr>
        <w:t>made aware of the existence of an</w:t>
      </w:r>
      <w:r>
        <w:rPr>
          <w:spacing w:val="-1"/>
          <w:sz w:val="20"/>
        </w:rPr>
        <w:t xml:space="preserve"> </w:t>
      </w:r>
      <w:r>
        <w:rPr>
          <w:sz w:val="20"/>
        </w:rPr>
        <w:t>event-specific blackout period,</w:t>
      </w:r>
      <w:r>
        <w:rPr>
          <w:spacing w:val="-1"/>
          <w:sz w:val="20"/>
        </w:rPr>
        <w:t xml:space="preserve"> </w:t>
      </w:r>
      <w:r>
        <w:rPr>
          <w:sz w:val="20"/>
        </w:rPr>
        <w:t>you should not disclose the existence of</w:t>
      </w:r>
      <w:r>
        <w:rPr>
          <w:spacing w:val="-1"/>
          <w:sz w:val="20"/>
        </w:rPr>
        <w:t xml:space="preserve"> </w:t>
      </w:r>
      <w:r>
        <w:rPr>
          <w:sz w:val="20"/>
        </w:rPr>
        <w:t>such</w:t>
      </w:r>
      <w:r>
        <w:rPr>
          <w:spacing w:val="-2"/>
          <w:sz w:val="20"/>
        </w:rPr>
        <w:t xml:space="preserve"> </w:t>
      </w:r>
      <w:r>
        <w:rPr>
          <w:sz w:val="20"/>
        </w:rPr>
        <w:t>blackout period to any</w:t>
      </w:r>
      <w:r>
        <w:rPr>
          <w:spacing w:val="-2"/>
          <w:sz w:val="20"/>
        </w:rPr>
        <w:t xml:space="preserve"> </w:t>
      </w:r>
      <w:r>
        <w:rPr>
          <w:sz w:val="20"/>
        </w:rPr>
        <w:t>other person or purchase or sell or otherwise transfer any Company securities. Individuals who are subject to event- specific blackout periods will be contacted when these periods are instituted from time to time. Whether or not you are designated as being subject to an event-specific blackout, you still have the obligation not to trade while aware of material non-public information.</w:t>
      </w:r>
    </w:p>
    <w:p>
      <w:pPr>
        <w:pStyle w:val="TextBody"/>
        <w:bidi w:val="0"/>
        <w:spacing w:before="239" w:after="0"/>
        <w:ind w:left="741" w:right="138" w:firstLine="721"/>
        <w:jc w:val="left"/>
        <w:rPr>
          <w:sz w:val="20"/>
        </w:rPr>
      </w:pPr>
      <w:r>
        <w:rPr>
          <w:sz w:val="20"/>
        </w:rPr>
        <w:t>(c)</w:t>
      </w:r>
      <w:r>
        <w:rPr>
          <w:caps w:val="false"/>
          <w:smallCaps w:val="false"/>
          <w:sz w:val="20"/>
        </w:rPr>
        <w:t xml:space="preserve">                 </w:t>
      </w:r>
      <w:r>
        <w:rPr>
          <w:sz w:val="20"/>
          <w:u w:val="single"/>
        </w:rPr>
        <w:t>Pension Fund Blackout Periods</w:t>
      </w:r>
      <w:r>
        <w:rPr>
          <w:sz w:val="20"/>
        </w:rPr>
        <w:t>. Subject to certain exceptions, directors and executive</w:t>
      </w:r>
      <w:r>
        <w:rPr>
          <w:spacing w:val="-5"/>
          <w:sz w:val="20"/>
        </w:rPr>
        <w:t xml:space="preserve"> </w:t>
      </w:r>
      <w:r>
        <w:rPr>
          <w:sz w:val="20"/>
        </w:rPr>
        <w:t>officers</w:t>
      </w:r>
      <w:r>
        <w:rPr>
          <w:spacing w:val="-7"/>
          <w:sz w:val="20"/>
        </w:rPr>
        <w:t xml:space="preserve"> </w:t>
      </w:r>
      <w:r>
        <w:rPr>
          <w:sz w:val="20"/>
        </w:rPr>
        <w:t>of</w:t>
      </w:r>
      <w:r>
        <w:rPr>
          <w:spacing w:val="-7"/>
          <w:sz w:val="20"/>
        </w:rPr>
        <w:t xml:space="preserve"> </w:t>
      </w:r>
      <w:r>
        <w:rPr>
          <w:sz w:val="20"/>
        </w:rPr>
        <w:t>the</w:t>
      </w:r>
      <w:r>
        <w:rPr>
          <w:spacing w:val="-5"/>
          <w:sz w:val="20"/>
        </w:rPr>
        <w:t xml:space="preserve"> </w:t>
      </w:r>
      <w:r>
        <w:rPr>
          <w:sz w:val="20"/>
        </w:rPr>
        <w:t>Company</w:t>
      </w:r>
      <w:r>
        <w:rPr>
          <w:spacing w:val="-8"/>
          <w:sz w:val="20"/>
        </w:rPr>
        <w:t xml:space="preserve"> </w:t>
      </w:r>
      <w:r>
        <w:rPr>
          <w:sz w:val="20"/>
        </w:rPr>
        <w:t>may</w:t>
      </w:r>
      <w:r>
        <w:rPr>
          <w:spacing w:val="-10"/>
          <w:sz w:val="20"/>
        </w:rPr>
        <w:t xml:space="preserve"> </w:t>
      </w:r>
      <w:r>
        <w:rPr>
          <w:sz w:val="20"/>
        </w:rPr>
        <w:t>not</w:t>
      </w:r>
      <w:r>
        <w:rPr>
          <w:spacing w:val="-4"/>
          <w:sz w:val="20"/>
        </w:rPr>
        <w:t xml:space="preserve"> </w:t>
      </w:r>
      <w:r>
        <w:rPr>
          <w:sz w:val="20"/>
        </w:rPr>
        <w:t>purchase,</w:t>
      </w:r>
      <w:r>
        <w:rPr>
          <w:spacing w:val="-8"/>
          <w:sz w:val="20"/>
        </w:rPr>
        <w:t xml:space="preserve"> </w:t>
      </w:r>
      <w:r>
        <w:rPr>
          <w:sz w:val="20"/>
        </w:rPr>
        <w:t>sell</w:t>
      </w:r>
      <w:r>
        <w:rPr>
          <w:spacing w:val="-6"/>
          <w:sz w:val="20"/>
        </w:rPr>
        <w:t xml:space="preserve"> </w:t>
      </w:r>
      <w:r>
        <w:rPr>
          <w:sz w:val="20"/>
        </w:rPr>
        <w:t>or</w:t>
      </w:r>
      <w:r>
        <w:rPr>
          <w:spacing w:val="-7"/>
          <w:sz w:val="20"/>
        </w:rPr>
        <w:t xml:space="preserve"> </w:t>
      </w:r>
      <w:r>
        <w:rPr>
          <w:sz w:val="20"/>
        </w:rPr>
        <w:t>otherwise</w:t>
      </w:r>
      <w:r>
        <w:rPr>
          <w:spacing w:val="-5"/>
          <w:sz w:val="20"/>
        </w:rPr>
        <w:t xml:space="preserve"> </w:t>
      </w:r>
      <w:r>
        <w:rPr>
          <w:sz w:val="20"/>
        </w:rPr>
        <w:t>acquire</w:t>
      </w:r>
      <w:r>
        <w:rPr>
          <w:spacing w:val="-7"/>
          <w:sz w:val="20"/>
        </w:rPr>
        <w:t xml:space="preserve"> </w:t>
      </w:r>
      <w:r>
        <w:rPr>
          <w:sz w:val="20"/>
        </w:rPr>
        <w:t>or</w:t>
      </w:r>
      <w:r>
        <w:rPr>
          <w:spacing w:val="-7"/>
          <w:sz w:val="20"/>
        </w:rPr>
        <w:t xml:space="preserve"> </w:t>
      </w:r>
      <w:r>
        <w:rPr>
          <w:sz w:val="20"/>
        </w:rPr>
        <w:t>transfer</w:t>
      </w:r>
      <w:r>
        <w:rPr>
          <w:spacing w:val="-7"/>
          <w:sz w:val="20"/>
        </w:rPr>
        <w:t xml:space="preserve"> </w:t>
      </w:r>
      <w:r>
        <w:rPr>
          <w:sz w:val="20"/>
        </w:rPr>
        <w:t>any equity security of the Company during any “pension fund blackout period” with</w:t>
      </w:r>
      <w:r>
        <w:rPr>
          <w:spacing w:val="-1"/>
          <w:sz w:val="20"/>
        </w:rPr>
        <w:t xml:space="preserve"> </w:t>
      </w:r>
      <w:r>
        <w:rPr>
          <w:sz w:val="20"/>
        </w:rPr>
        <w:t>respect to such equity security, if the director or executive officer acquired the equity security in connection</w:t>
      </w:r>
      <w:r>
        <w:rPr>
          <w:spacing w:val="-7"/>
          <w:sz w:val="20"/>
        </w:rPr>
        <w:t xml:space="preserve"> </w:t>
      </w:r>
      <w:r>
        <w:rPr>
          <w:sz w:val="20"/>
        </w:rPr>
        <w:t>with</w:t>
      </w:r>
      <w:r>
        <w:rPr>
          <w:spacing w:val="-7"/>
          <w:sz w:val="20"/>
        </w:rPr>
        <w:t xml:space="preserve"> </w:t>
      </w:r>
      <w:r>
        <w:rPr>
          <w:sz w:val="20"/>
        </w:rPr>
        <w:t>his</w:t>
      </w:r>
      <w:r>
        <w:rPr>
          <w:spacing w:val="-9"/>
          <w:sz w:val="20"/>
        </w:rPr>
        <w:t xml:space="preserve"> </w:t>
      </w:r>
      <w:r>
        <w:rPr>
          <w:sz w:val="20"/>
        </w:rPr>
        <w:t>or</w:t>
      </w:r>
      <w:r>
        <w:rPr>
          <w:spacing w:val="-6"/>
          <w:sz w:val="20"/>
        </w:rPr>
        <w:t xml:space="preserve"> </w:t>
      </w:r>
      <w:r>
        <w:rPr>
          <w:sz w:val="20"/>
        </w:rPr>
        <w:t>her</w:t>
      </w:r>
      <w:r>
        <w:rPr>
          <w:spacing w:val="-9"/>
          <w:sz w:val="20"/>
        </w:rPr>
        <w:t xml:space="preserve"> </w:t>
      </w:r>
      <w:r>
        <w:rPr>
          <w:sz w:val="20"/>
        </w:rPr>
        <w:t>service</w:t>
      </w:r>
      <w:r>
        <w:rPr>
          <w:spacing w:val="-7"/>
          <w:sz w:val="20"/>
        </w:rPr>
        <w:t xml:space="preserve"> </w:t>
      </w:r>
      <w:r>
        <w:rPr>
          <w:sz w:val="20"/>
        </w:rPr>
        <w:t>or</w:t>
      </w:r>
      <w:r>
        <w:rPr>
          <w:spacing w:val="-9"/>
          <w:sz w:val="20"/>
        </w:rPr>
        <w:t xml:space="preserve"> </w:t>
      </w:r>
      <w:r>
        <w:rPr>
          <w:sz w:val="20"/>
        </w:rPr>
        <w:t>employment</w:t>
      </w:r>
      <w:r>
        <w:rPr>
          <w:spacing w:val="-8"/>
          <w:sz w:val="20"/>
        </w:rPr>
        <w:t xml:space="preserve"> </w:t>
      </w:r>
      <w:r>
        <w:rPr>
          <w:sz w:val="20"/>
        </w:rPr>
        <w:t>as</w:t>
      </w:r>
      <w:r>
        <w:rPr>
          <w:spacing w:val="-9"/>
          <w:sz w:val="20"/>
        </w:rPr>
        <w:t xml:space="preserve"> </w:t>
      </w:r>
      <w:r>
        <w:rPr>
          <w:sz w:val="20"/>
        </w:rPr>
        <w:t>a</w:t>
      </w:r>
      <w:r>
        <w:rPr>
          <w:spacing w:val="-9"/>
          <w:sz w:val="20"/>
        </w:rPr>
        <w:t xml:space="preserve"> </w:t>
      </w:r>
      <w:r>
        <w:rPr>
          <w:sz w:val="20"/>
        </w:rPr>
        <w:t>director</w:t>
      </w:r>
      <w:r>
        <w:rPr>
          <w:spacing w:val="-6"/>
          <w:sz w:val="20"/>
        </w:rPr>
        <w:t xml:space="preserve"> </w:t>
      </w:r>
      <w:r>
        <w:rPr>
          <w:sz w:val="20"/>
        </w:rPr>
        <w:t>or</w:t>
      </w:r>
      <w:r>
        <w:rPr>
          <w:spacing w:val="-11"/>
          <w:sz w:val="20"/>
        </w:rPr>
        <w:t xml:space="preserve"> </w:t>
      </w:r>
      <w:r>
        <w:rPr>
          <w:sz w:val="20"/>
        </w:rPr>
        <w:t>executive</w:t>
      </w:r>
      <w:r>
        <w:rPr>
          <w:spacing w:val="-7"/>
          <w:sz w:val="20"/>
        </w:rPr>
        <w:t xml:space="preserve"> </w:t>
      </w:r>
      <w:r>
        <w:rPr>
          <w:sz w:val="20"/>
        </w:rPr>
        <w:t>officer.</w:t>
      </w:r>
      <w:r>
        <w:rPr>
          <w:spacing w:val="-9"/>
          <w:sz w:val="20"/>
        </w:rPr>
        <w:t xml:space="preserve"> </w:t>
      </w:r>
      <w:r>
        <w:rPr>
          <w:sz w:val="20"/>
        </w:rPr>
        <w:t>A</w:t>
      </w:r>
      <w:r>
        <w:rPr>
          <w:spacing w:val="-8"/>
          <w:sz w:val="20"/>
        </w:rPr>
        <w:t xml:space="preserve"> </w:t>
      </w:r>
      <w:r>
        <w:rPr>
          <w:sz w:val="20"/>
        </w:rPr>
        <w:t>pension fund blackout period exists whenever 50% or more of the participants in a Company benefit plan are unable to conduct transactions in their Company equity security accounts for more than three consecutive business days. Individuals who</w:t>
      </w:r>
      <w:r>
        <w:rPr>
          <w:spacing w:val="-2"/>
          <w:sz w:val="20"/>
        </w:rPr>
        <w:t xml:space="preserve"> </w:t>
      </w:r>
      <w:r>
        <w:rPr>
          <w:sz w:val="20"/>
        </w:rPr>
        <w:t>are subject to these blackout periods will be contacted by the Company at such times as these blackout periods occur.</w:t>
      </w:r>
    </w:p>
    <w:p>
      <w:pPr>
        <w:pStyle w:val="TextBody"/>
        <w:bidi w:val="0"/>
        <w:spacing w:before="239" w:after="0"/>
        <w:ind w:left="740" w:right="106" w:firstLine="722"/>
        <w:jc w:val="left"/>
        <w:rPr>
          <w:sz w:val="20"/>
        </w:rPr>
      </w:pPr>
      <w:r>
        <w:rPr>
          <w:sz w:val="20"/>
        </w:rPr>
        <w:t>(d)</w:t>
      </w:r>
      <w:r>
        <w:rPr>
          <w:caps w:val="false"/>
          <w:smallCaps w:val="false"/>
          <w:sz w:val="20"/>
        </w:rPr>
        <w:t xml:space="preserve">                 </w:t>
      </w:r>
      <w:r>
        <w:rPr>
          <w:sz w:val="20"/>
          <w:u w:val="single"/>
        </w:rPr>
        <w:t>Hardship Exceptions</w:t>
      </w:r>
      <w:r>
        <w:rPr>
          <w:sz w:val="20"/>
        </w:rPr>
        <w:t>. If you have an unexpected and urgent need to sell Company securities in order to generate cash you may, in appropriate circumstances, be permitted to sell Company securities during a quarterly earnings blackout period. Hardship exceptions may be granted only by EWI’s General Counsel and must be requested at least two business days in advance of the proposed</w:t>
      </w:r>
      <w:r>
        <w:rPr>
          <w:spacing w:val="-1"/>
          <w:sz w:val="20"/>
        </w:rPr>
        <w:t xml:space="preserve"> </w:t>
      </w:r>
      <w:r>
        <w:rPr>
          <w:sz w:val="20"/>
        </w:rPr>
        <w:t>transaction. A hardship exception will not be granted</w:t>
      </w:r>
      <w:r>
        <w:rPr>
          <w:spacing w:val="-9"/>
          <w:sz w:val="20"/>
        </w:rPr>
        <w:t xml:space="preserve"> </w:t>
      </w:r>
      <w:r>
        <w:rPr>
          <w:sz w:val="20"/>
        </w:rPr>
        <w:t>in</w:t>
      </w:r>
      <w:r>
        <w:rPr>
          <w:spacing w:val="-6"/>
          <w:sz w:val="20"/>
        </w:rPr>
        <w:t xml:space="preserve"> </w:t>
      </w:r>
      <w:r>
        <w:rPr>
          <w:sz w:val="20"/>
        </w:rPr>
        <w:t>any</w:t>
      </w:r>
      <w:r>
        <w:rPr>
          <w:spacing w:val="-11"/>
          <w:sz w:val="20"/>
        </w:rPr>
        <w:t xml:space="preserve"> </w:t>
      </w:r>
      <w:r>
        <w:rPr>
          <w:sz w:val="20"/>
        </w:rPr>
        <w:t>event</w:t>
      </w:r>
      <w:r>
        <w:rPr>
          <w:spacing w:val="-8"/>
          <w:sz w:val="20"/>
        </w:rPr>
        <w:t xml:space="preserve"> </w:t>
      </w:r>
      <w:r>
        <w:rPr>
          <w:sz w:val="20"/>
        </w:rPr>
        <w:t>if</w:t>
      </w:r>
      <w:r>
        <w:rPr>
          <w:spacing w:val="-8"/>
          <w:sz w:val="20"/>
        </w:rPr>
        <w:t xml:space="preserve"> </w:t>
      </w:r>
      <w:r>
        <w:rPr>
          <w:sz w:val="20"/>
        </w:rPr>
        <w:t>EWI’s</w:t>
      </w:r>
      <w:r>
        <w:rPr>
          <w:spacing w:val="-11"/>
          <w:sz w:val="20"/>
        </w:rPr>
        <w:t xml:space="preserve"> </w:t>
      </w:r>
      <w:r>
        <w:rPr>
          <w:sz w:val="20"/>
        </w:rPr>
        <w:t>General</w:t>
      </w:r>
      <w:r>
        <w:rPr>
          <w:spacing w:val="-6"/>
          <w:sz w:val="20"/>
        </w:rPr>
        <w:t xml:space="preserve"> </w:t>
      </w:r>
      <w:r>
        <w:rPr>
          <w:sz w:val="20"/>
        </w:rPr>
        <w:t>Counsel</w:t>
      </w:r>
      <w:r>
        <w:rPr>
          <w:spacing w:val="-10"/>
          <w:sz w:val="20"/>
        </w:rPr>
        <w:t xml:space="preserve"> </w:t>
      </w:r>
      <w:r>
        <w:rPr>
          <w:sz w:val="20"/>
        </w:rPr>
        <w:t>concludes</w:t>
      </w:r>
      <w:r>
        <w:rPr>
          <w:spacing w:val="-10"/>
          <w:sz w:val="20"/>
        </w:rPr>
        <w:t xml:space="preserve"> </w:t>
      </w:r>
      <w:r>
        <w:rPr>
          <w:sz w:val="20"/>
        </w:rPr>
        <w:t>that</w:t>
      </w:r>
      <w:r>
        <w:rPr>
          <w:spacing w:val="-8"/>
          <w:sz w:val="20"/>
        </w:rPr>
        <w:t xml:space="preserve"> </w:t>
      </w:r>
      <w:r>
        <w:rPr>
          <w:sz w:val="20"/>
        </w:rPr>
        <w:t>the</w:t>
      </w:r>
      <w:r>
        <w:rPr>
          <w:spacing w:val="-6"/>
          <w:sz w:val="20"/>
        </w:rPr>
        <w:t xml:space="preserve"> </w:t>
      </w:r>
      <w:r>
        <w:rPr>
          <w:sz w:val="20"/>
        </w:rPr>
        <w:t>Company’s</w:t>
      </w:r>
      <w:r>
        <w:rPr>
          <w:spacing w:val="-8"/>
          <w:sz w:val="20"/>
        </w:rPr>
        <w:t xml:space="preserve"> </w:t>
      </w:r>
      <w:r>
        <w:rPr>
          <w:sz w:val="20"/>
        </w:rPr>
        <w:t>financial</w:t>
      </w:r>
      <w:r>
        <w:rPr>
          <w:spacing w:val="-6"/>
          <w:sz w:val="20"/>
        </w:rPr>
        <w:t xml:space="preserve"> </w:t>
      </w:r>
      <w:r>
        <w:rPr>
          <w:sz w:val="20"/>
        </w:rPr>
        <w:t>results</w:t>
      </w:r>
      <w:r>
        <w:rPr>
          <w:spacing w:val="-8"/>
          <w:sz w:val="20"/>
        </w:rPr>
        <w:t xml:space="preserve"> </w:t>
      </w:r>
      <w:r>
        <w:rPr>
          <w:sz w:val="20"/>
        </w:rPr>
        <w:t>for the applicable quarter constitute material non-public information. EWI’s General Counsel is under</w:t>
      </w:r>
      <w:r>
        <w:rPr>
          <w:spacing w:val="-4"/>
          <w:sz w:val="20"/>
        </w:rPr>
        <w:t xml:space="preserve"> </w:t>
      </w:r>
      <w:r>
        <w:rPr>
          <w:sz w:val="20"/>
        </w:rPr>
        <w:t>no</w:t>
      </w:r>
      <w:r>
        <w:rPr>
          <w:spacing w:val="-2"/>
          <w:sz w:val="20"/>
        </w:rPr>
        <w:t xml:space="preserve"> </w:t>
      </w:r>
      <w:r>
        <w:rPr>
          <w:sz w:val="20"/>
        </w:rPr>
        <w:t>obligation</w:t>
      </w:r>
      <w:r>
        <w:rPr>
          <w:spacing w:val="-7"/>
          <w:sz w:val="20"/>
        </w:rPr>
        <w:t xml:space="preserve"> </w:t>
      </w:r>
      <w:r>
        <w:rPr>
          <w:sz w:val="20"/>
        </w:rPr>
        <w:t>to</w:t>
      </w:r>
      <w:r>
        <w:rPr>
          <w:spacing w:val="-5"/>
          <w:sz w:val="20"/>
        </w:rPr>
        <w:t xml:space="preserve"> </w:t>
      </w:r>
      <w:r>
        <w:rPr>
          <w:sz w:val="20"/>
        </w:rPr>
        <w:t>approve</w:t>
      </w:r>
      <w:r>
        <w:rPr>
          <w:spacing w:val="-2"/>
          <w:sz w:val="20"/>
        </w:rPr>
        <w:t xml:space="preserve"> </w:t>
      </w:r>
      <w:r>
        <w:rPr>
          <w:sz w:val="20"/>
        </w:rPr>
        <w:t>a</w:t>
      </w:r>
      <w:r>
        <w:rPr>
          <w:spacing w:val="-4"/>
          <w:sz w:val="20"/>
        </w:rPr>
        <w:t xml:space="preserve"> </w:t>
      </w:r>
      <w:r>
        <w:rPr>
          <w:sz w:val="20"/>
        </w:rPr>
        <w:t>hardship</w:t>
      </w:r>
      <w:r>
        <w:rPr>
          <w:spacing w:val="-7"/>
          <w:sz w:val="20"/>
        </w:rPr>
        <w:t xml:space="preserve"> </w:t>
      </w:r>
      <w:r>
        <w:rPr>
          <w:sz w:val="20"/>
        </w:rPr>
        <w:t>exception,</w:t>
      </w:r>
      <w:r>
        <w:rPr>
          <w:spacing w:val="-7"/>
          <w:sz w:val="20"/>
        </w:rPr>
        <w:t xml:space="preserve"> </w:t>
      </w:r>
      <w:r>
        <w:rPr>
          <w:sz w:val="20"/>
        </w:rPr>
        <w:t>and</w:t>
      </w:r>
      <w:r>
        <w:rPr>
          <w:spacing w:val="-5"/>
          <w:sz w:val="20"/>
        </w:rPr>
        <w:t xml:space="preserve"> </w:t>
      </w:r>
      <w:r>
        <w:rPr>
          <w:sz w:val="20"/>
        </w:rPr>
        <w:t>neither</w:t>
      </w:r>
      <w:r>
        <w:rPr>
          <w:spacing w:val="-4"/>
          <w:sz w:val="20"/>
        </w:rPr>
        <w:t xml:space="preserve"> </w:t>
      </w:r>
      <w:r>
        <w:rPr>
          <w:sz w:val="20"/>
        </w:rPr>
        <w:t>the</w:t>
      </w:r>
      <w:r>
        <w:rPr>
          <w:spacing w:val="-2"/>
          <w:sz w:val="20"/>
        </w:rPr>
        <w:t xml:space="preserve"> </w:t>
      </w:r>
      <w:r>
        <w:rPr>
          <w:sz w:val="20"/>
        </w:rPr>
        <w:t>Company</w:t>
      </w:r>
      <w:r>
        <w:rPr>
          <w:spacing w:val="-7"/>
          <w:sz w:val="20"/>
        </w:rPr>
        <w:t xml:space="preserve"> </w:t>
      </w:r>
      <w:r>
        <w:rPr>
          <w:sz w:val="20"/>
        </w:rPr>
        <w:t>nor</w:t>
      </w:r>
      <w:r>
        <w:rPr>
          <w:spacing w:val="-4"/>
          <w:sz w:val="20"/>
        </w:rPr>
        <w:t xml:space="preserve"> </w:t>
      </w:r>
      <w:r>
        <w:rPr>
          <w:sz w:val="20"/>
        </w:rPr>
        <w:t>its</w:t>
      </w:r>
      <w:r>
        <w:rPr>
          <w:spacing w:val="-2"/>
          <w:sz w:val="20"/>
        </w:rPr>
        <w:t xml:space="preserve"> </w:t>
      </w:r>
      <w:r>
        <w:rPr>
          <w:sz w:val="20"/>
        </w:rPr>
        <w:t>officers shall have any liability for any refusal to grant a hardship exception or for any delay in making or communicating a decision. Under no circumstances will a hardship exception be granted during an event-specific blackout period or pension fund blackout period.</w:t>
      </w:r>
    </w:p>
    <w:p>
      <w:pPr>
        <w:pStyle w:val="TextBody"/>
        <w:bidi w:val="0"/>
        <w:spacing w:before="238" w:after="0"/>
        <w:ind w:left="19" w:right="182" w:firstLine="723"/>
        <w:jc w:val="left"/>
        <w:rPr>
          <w:sz w:val="20"/>
        </w:rPr>
      </w:pPr>
      <w:r>
        <w:rPr>
          <w:sz w:val="20"/>
        </w:rPr>
        <w:t>3.</w:t>
      </w:r>
      <w:r>
        <w:rPr>
          <w:caps w:val="false"/>
          <w:smallCaps w:val="false"/>
          <w:sz w:val="20"/>
        </w:rPr>
        <w:t xml:space="preserve">                    </w:t>
      </w:r>
      <w:r>
        <w:rPr>
          <w:sz w:val="20"/>
          <w:u w:val="single"/>
        </w:rPr>
        <w:t>Exception for Approved Rule 10b5-1 Trading Plans</w:t>
      </w:r>
      <w:r>
        <w:rPr>
          <w:sz w:val="20"/>
        </w:rPr>
        <w:t>. Trades by Covered Persons in the Company’s securities that are executed pursuant to a Rule 10b5-1 trading plan are not subject to the prohibition on trading</w:t>
      </w:r>
      <w:r>
        <w:rPr>
          <w:spacing w:val="-4"/>
          <w:sz w:val="20"/>
        </w:rPr>
        <w:t xml:space="preserve"> </w:t>
      </w:r>
      <w:r>
        <w:rPr>
          <w:sz w:val="20"/>
        </w:rPr>
        <w:t>while in possession of material non-public information contained in</w:t>
      </w:r>
      <w:r>
        <w:rPr>
          <w:spacing w:val="-4"/>
          <w:sz w:val="20"/>
        </w:rPr>
        <w:t xml:space="preserve"> </w:t>
      </w:r>
      <w:r>
        <w:rPr>
          <w:sz w:val="20"/>
        </w:rPr>
        <w:t>the Policy Relating to Insider Trading and Confidentiality</w:t>
      </w:r>
      <w:r>
        <w:rPr>
          <w:spacing w:val="-4"/>
          <w:sz w:val="20"/>
        </w:rPr>
        <w:t xml:space="preserve"> </w:t>
      </w:r>
      <w:r>
        <w:rPr>
          <w:sz w:val="20"/>
        </w:rPr>
        <w:t>of Information or the restrictions set forth above relating to pre-clearance procedures and</w:t>
      </w:r>
      <w:r>
        <w:rPr>
          <w:spacing w:val="-1"/>
          <w:sz w:val="20"/>
        </w:rPr>
        <w:t xml:space="preserve"> </w:t>
      </w:r>
      <w:r>
        <w:rPr>
          <w:sz w:val="20"/>
        </w:rPr>
        <w:t>blackout periods. A Rule 10b5-1 trading</w:t>
      </w:r>
      <w:r>
        <w:rPr>
          <w:spacing w:val="-1"/>
          <w:sz w:val="20"/>
        </w:rPr>
        <w:t xml:space="preserve"> </w:t>
      </w:r>
      <w:r>
        <w:rPr>
          <w:sz w:val="20"/>
        </w:rPr>
        <w:t>plan is a trading</w:t>
      </w:r>
      <w:r>
        <w:rPr>
          <w:spacing w:val="-6"/>
          <w:sz w:val="20"/>
        </w:rPr>
        <w:t xml:space="preserve"> </w:t>
      </w:r>
      <w:r>
        <w:rPr>
          <w:sz w:val="20"/>
        </w:rPr>
        <w:t>plan</w:t>
      </w:r>
      <w:r>
        <w:rPr>
          <w:spacing w:val="-4"/>
          <w:sz w:val="20"/>
        </w:rPr>
        <w:t xml:space="preserve"> </w:t>
      </w:r>
      <w:r>
        <w:rPr>
          <w:sz w:val="20"/>
        </w:rPr>
        <w:t>adopted</w:t>
      </w:r>
      <w:r>
        <w:rPr>
          <w:spacing w:val="-6"/>
          <w:sz w:val="20"/>
        </w:rPr>
        <w:t xml:space="preserve"> </w:t>
      </w:r>
      <w:r>
        <w:rPr>
          <w:sz w:val="20"/>
        </w:rPr>
        <w:t>pursuant to</w:t>
      </w:r>
      <w:r>
        <w:rPr>
          <w:spacing w:val="-4"/>
          <w:sz w:val="20"/>
        </w:rPr>
        <w:t xml:space="preserve"> </w:t>
      </w:r>
      <w:r>
        <w:rPr>
          <w:sz w:val="20"/>
        </w:rPr>
        <w:t>Rule</w:t>
      </w:r>
      <w:r>
        <w:rPr>
          <w:spacing w:val="-3"/>
          <w:sz w:val="20"/>
        </w:rPr>
        <w:t xml:space="preserve"> </w:t>
      </w:r>
      <w:r>
        <w:rPr>
          <w:sz w:val="20"/>
        </w:rPr>
        <w:t>10b5-1</w:t>
      </w:r>
      <w:r>
        <w:rPr>
          <w:spacing w:val="-4"/>
          <w:sz w:val="20"/>
        </w:rPr>
        <w:t xml:space="preserve"> </w:t>
      </w:r>
      <w:r>
        <w:rPr>
          <w:sz w:val="20"/>
        </w:rPr>
        <w:t>(“Rule</w:t>
      </w:r>
      <w:r>
        <w:rPr>
          <w:spacing w:val="-3"/>
          <w:sz w:val="20"/>
        </w:rPr>
        <w:t xml:space="preserve"> </w:t>
      </w:r>
      <w:r>
        <w:rPr>
          <w:sz w:val="20"/>
        </w:rPr>
        <w:t>10b5-1”)</w:t>
      </w:r>
      <w:r>
        <w:rPr>
          <w:spacing w:val="-3"/>
          <w:sz w:val="20"/>
        </w:rPr>
        <w:t xml:space="preserve"> </w:t>
      </w:r>
      <w:r>
        <w:rPr>
          <w:sz w:val="20"/>
        </w:rPr>
        <w:t>promulgated</w:t>
      </w:r>
      <w:r>
        <w:rPr>
          <w:spacing w:val="-1"/>
          <w:sz w:val="20"/>
        </w:rPr>
        <w:t xml:space="preserve"> </w:t>
      </w:r>
      <w:r>
        <w:rPr>
          <w:sz w:val="20"/>
        </w:rPr>
        <w:t>under</w:t>
      </w:r>
      <w:r>
        <w:rPr>
          <w:spacing w:val="-3"/>
          <w:sz w:val="20"/>
        </w:rPr>
        <w:t xml:space="preserve"> </w:t>
      </w:r>
      <w:r>
        <w:rPr>
          <w:sz w:val="20"/>
        </w:rPr>
        <w:t>the</w:t>
      </w:r>
      <w:r>
        <w:rPr>
          <w:spacing w:val="-1"/>
          <w:sz w:val="20"/>
        </w:rPr>
        <w:t xml:space="preserve"> </w:t>
      </w:r>
      <w:r>
        <w:rPr>
          <w:sz w:val="20"/>
        </w:rPr>
        <w:t>Exchange</w:t>
      </w:r>
      <w:r>
        <w:rPr>
          <w:spacing w:val="-3"/>
          <w:sz w:val="20"/>
        </w:rPr>
        <w:t xml:space="preserve"> </w:t>
      </w:r>
      <w:r>
        <w:rPr>
          <w:sz w:val="20"/>
        </w:rPr>
        <w:t>Act. Notwithstanding</w:t>
      </w:r>
      <w:r>
        <w:rPr>
          <w:spacing w:val="-10"/>
          <w:sz w:val="20"/>
        </w:rPr>
        <w:t xml:space="preserve"> </w:t>
      </w:r>
      <w:r>
        <w:rPr>
          <w:sz w:val="20"/>
        </w:rPr>
        <w:t>any</w:t>
      </w:r>
      <w:r>
        <w:rPr>
          <w:spacing w:val="-10"/>
          <w:sz w:val="20"/>
        </w:rPr>
        <w:t xml:space="preserve"> </w:t>
      </w:r>
      <w:r>
        <w:rPr>
          <w:sz w:val="20"/>
        </w:rPr>
        <w:t>approval</w:t>
      </w:r>
      <w:r>
        <w:rPr>
          <w:spacing w:val="-4"/>
          <w:sz w:val="20"/>
        </w:rPr>
        <w:t xml:space="preserve"> </w:t>
      </w:r>
      <w:r>
        <w:rPr>
          <w:sz w:val="20"/>
        </w:rPr>
        <w:t>of</w:t>
      </w:r>
      <w:r>
        <w:rPr>
          <w:spacing w:val="-4"/>
          <w:sz w:val="20"/>
        </w:rPr>
        <w:t xml:space="preserve"> </w:t>
      </w:r>
      <w:r>
        <w:rPr>
          <w:sz w:val="20"/>
        </w:rPr>
        <w:t>a</w:t>
      </w:r>
      <w:r>
        <w:rPr>
          <w:spacing w:val="-5"/>
          <w:sz w:val="20"/>
        </w:rPr>
        <w:t xml:space="preserve"> </w:t>
      </w:r>
      <w:r>
        <w:rPr>
          <w:sz w:val="20"/>
        </w:rPr>
        <w:t>Rule</w:t>
      </w:r>
      <w:r>
        <w:rPr>
          <w:spacing w:val="-5"/>
          <w:sz w:val="20"/>
        </w:rPr>
        <w:t xml:space="preserve"> </w:t>
      </w:r>
      <w:r>
        <w:rPr>
          <w:sz w:val="20"/>
        </w:rPr>
        <w:t>10b5-1</w:t>
      </w:r>
      <w:r>
        <w:rPr>
          <w:spacing w:val="-8"/>
          <w:sz w:val="20"/>
        </w:rPr>
        <w:t xml:space="preserve"> </w:t>
      </w:r>
      <w:r>
        <w:rPr>
          <w:sz w:val="20"/>
        </w:rPr>
        <w:t>trading</w:t>
      </w:r>
      <w:r>
        <w:rPr>
          <w:spacing w:val="-8"/>
          <w:sz w:val="20"/>
        </w:rPr>
        <w:t xml:space="preserve"> </w:t>
      </w:r>
      <w:r>
        <w:rPr>
          <w:sz w:val="20"/>
        </w:rPr>
        <w:t>plan,</w:t>
      </w:r>
      <w:r>
        <w:rPr>
          <w:spacing w:val="-8"/>
          <w:sz w:val="20"/>
        </w:rPr>
        <w:t xml:space="preserve"> </w:t>
      </w:r>
      <w:r>
        <w:rPr>
          <w:sz w:val="20"/>
        </w:rPr>
        <w:t>the</w:t>
      </w:r>
      <w:r>
        <w:rPr>
          <w:spacing w:val="-7"/>
          <w:sz w:val="20"/>
        </w:rPr>
        <w:t xml:space="preserve"> </w:t>
      </w:r>
      <w:r>
        <w:rPr>
          <w:sz w:val="20"/>
        </w:rPr>
        <w:t>Company</w:t>
      </w:r>
      <w:r>
        <w:rPr>
          <w:spacing w:val="-7"/>
          <w:sz w:val="20"/>
        </w:rPr>
        <w:t xml:space="preserve"> </w:t>
      </w:r>
      <w:r>
        <w:rPr>
          <w:sz w:val="20"/>
        </w:rPr>
        <w:t>and</w:t>
      </w:r>
      <w:r>
        <w:rPr>
          <w:spacing w:val="-8"/>
          <w:sz w:val="20"/>
        </w:rPr>
        <w:t xml:space="preserve"> </w:t>
      </w:r>
      <w:r>
        <w:rPr>
          <w:sz w:val="20"/>
        </w:rPr>
        <w:t>its</w:t>
      </w:r>
      <w:r>
        <w:rPr>
          <w:spacing w:val="-7"/>
          <w:sz w:val="20"/>
        </w:rPr>
        <w:t xml:space="preserve"> </w:t>
      </w:r>
      <w:r>
        <w:rPr>
          <w:sz w:val="20"/>
        </w:rPr>
        <w:t>officers</w:t>
      </w:r>
      <w:r>
        <w:rPr>
          <w:spacing w:val="-10"/>
          <w:sz w:val="20"/>
        </w:rPr>
        <w:t xml:space="preserve"> </w:t>
      </w:r>
      <w:r>
        <w:rPr>
          <w:sz w:val="20"/>
        </w:rPr>
        <w:t>assume</w:t>
      </w:r>
      <w:r>
        <w:rPr>
          <w:spacing w:val="-5"/>
          <w:sz w:val="20"/>
        </w:rPr>
        <w:t xml:space="preserve"> </w:t>
      </w:r>
      <w:r>
        <w:rPr>
          <w:sz w:val="20"/>
        </w:rPr>
        <w:t>no liability with respect to any</w:t>
      </w:r>
      <w:r>
        <w:rPr>
          <w:spacing w:val="-2"/>
          <w:sz w:val="20"/>
        </w:rPr>
        <w:t xml:space="preserve"> </w:t>
      </w:r>
      <w:r>
        <w:rPr>
          <w:sz w:val="20"/>
        </w:rPr>
        <w:t>transaction made pursuant to the plan. Rule 10b5-1 trading</w:t>
      </w:r>
      <w:r>
        <w:rPr>
          <w:spacing w:val="-2"/>
          <w:sz w:val="20"/>
        </w:rPr>
        <w:t xml:space="preserve"> </w:t>
      </w:r>
      <w:r>
        <w:rPr>
          <w:sz w:val="20"/>
        </w:rPr>
        <w:t>plans are subject to the following restrictions and limitations:</w:t>
      </w:r>
    </w:p>
    <w:p>
      <w:pPr>
        <w:pStyle w:val="TextBody"/>
        <w:bidi w:val="0"/>
        <w:spacing w:before="240" w:after="0"/>
        <w:ind w:left="1102" w:right="184" w:hanging="360"/>
        <w:jc w:val="left"/>
        <w:rPr/>
      </w:pPr>
      <w:r>
        <w:rPr/>
        <w:t></w:t>
      </w:r>
      <w:r>
        <w:rPr>
          <w:caps w:val="false"/>
          <w:smallCaps w:val="false"/>
        </w:rPr>
        <w:t xml:space="preserve">         </w:t>
      </w:r>
      <w:r>
        <w:rPr>
          <w:sz w:val="20"/>
        </w:rPr>
        <w:t>The</w:t>
      </w:r>
      <w:r>
        <w:rPr>
          <w:spacing w:val="-7"/>
          <w:sz w:val="20"/>
        </w:rPr>
        <w:t xml:space="preserve"> </w:t>
      </w:r>
      <w:r>
        <w:rPr>
          <w:sz w:val="20"/>
        </w:rPr>
        <w:t>Rule</w:t>
      </w:r>
      <w:r>
        <w:rPr>
          <w:spacing w:val="-7"/>
          <w:sz w:val="20"/>
        </w:rPr>
        <w:t xml:space="preserve"> </w:t>
      </w:r>
      <w:r>
        <w:rPr>
          <w:sz w:val="20"/>
        </w:rPr>
        <w:t>10b5-1</w:t>
      </w:r>
      <w:r>
        <w:rPr>
          <w:spacing w:val="-8"/>
          <w:sz w:val="20"/>
        </w:rPr>
        <w:t xml:space="preserve"> </w:t>
      </w:r>
      <w:r>
        <w:rPr>
          <w:sz w:val="20"/>
        </w:rPr>
        <w:t>trading</w:t>
      </w:r>
      <w:r>
        <w:rPr>
          <w:spacing w:val="-10"/>
          <w:sz w:val="20"/>
        </w:rPr>
        <w:t xml:space="preserve"> </w:t>
      </w:r>
      <w:r>
        <w:rPr>
          <w:sz w:val="20"/>
        </w:rPr>
        <w:t>plan</w:t>
      </w:r>
      <w:r>
        <w:rPr>
          <w:spacing w:val="-8"/>
          <w:sz w:val="20"/>
        </w:rPr>
        <w:t xml:space="preserve"> </w:t>
      </w:r>
      <w:r>
        <w:rPr>
          <w:sz w:val="20"/>
        </w:rPr>
        <w:t>must</w:t>
      </w:r>
      <w:r>
        <w:rPr>
          <w:spacing w:val="-4"/>
          <w:sz w:val="20"/>
        </w:rPr>
        <w:t xml:space="preserve"> </w:t>
      </w:r>
      <w:r>
        <w:rPr>
          <w:sz w:val="20"/>
        </w:rPr>
        <w:t>be</w:t>
      </w:r>
      <w:r>
        <w:rPr>
          <w:spacing w:val="-7"/>
          <w:sz w:val="20"/>
        </w:rPr>
        <w:t xml:space="preserve"> </w:t>
      </w:r>
      <w:r>
        <w:rPr>
          <w:sz w:val="20"/>
        </w:rPr>
        <w:t>in</w:t>
      </w:r>
      <w:r>
        <w:rPr>
          <w:spacing w:val="-5"/>
          <w:sz w:val="20"/>
        </w:rPr>
        <w:t xml:space="preserve"> </w:t>
      </w:r>
      <w:r>
        <w:rPr>
          <w:sz w:val="20"/>
        </w:rPr>
        <w:t>writing</w:t>
      </w:r>
      <w:r>
        <w:rPr>
          <w:spacing w:val="-8"/>
          <w:sz w:val="20"/>
        </w:rPr>
        <w:t xml:space="preserve"> </w:t>
      </w:r>
      <w:r>
        <w:rPr>
          <w:sz w:val="20"/>
        </w:rPr>
        <w:t>and</w:t>
      </w:r>
      <w:r>
        <w:rPr>
          <w:spacing w:val="-5"/>
          <w:sz w:val="20"/>
        </w:rPr>
        <w:t xml:space="preserve"> </w:t>
      </w:r>
      <w:r>
        <w:rPr>
          <w:sz w:val="20"/>
        </w:rPr>
        <w:t>approved</w:t>
      </w:r>
      <w:r>
        <w:rPr>
          <w:spacing w:val="-5"/>
          <w:sz w:val="20"/>
        </w:rPr>
        <w:t xml:space="preserve"> </w:t>
      </w:r>
      <w:r>
        <w:rPr>
          <w:sz w:val="20"/>
        </w:rPr>
        <w:t>in</w:t>
      </w:r>
      <w:r>
        <w:rPr>
          <w:spacing w:val="-10"/>
          <w:sz w:val="20"/>
        </w:rPr>
        <w:t xml:space="preserve"> </w:t>
      </w:r>
      <w:r>
        <w:rPr>
          <w:sz w:val="20"/>
        </w:rPr>
        <w:t>advance</w:t>
      </w:r>
      <w:r>
        <w:rPr>
          <w:spacing w:val="-7"/>
          <w:sz w:val="20"/>
        </w:rPr>
        <w:t xml:space="preserve"> </w:t>
      </w:r>
      <w:r>
        <w:rPr>
          <w:sz w:val="20"/>
        </w:rPr>
        <w:t>by</w:t>
      </w:r>
      <w:r>
        <w:rPr>
          <w:spacing w:val="-10"/>
          <w:sz w:val="20"/>
        </w:rPr>
        <w:t xml:space="preserve"> </w:t>
      </w:r>
      <w:r>
        <w:rPr>
          <w:sz w:val="20"/>
        </w:rPr>
        <w:t>the</w:t>
      </w:r>
      <w:r>
        <w:rPr>
          <w:spacing w:val="-10"/>
          <w:sz w:val="20"/>
        </w:rPr>
        <w:t xml:space="preserve"> </w:t>
      </w:r>
      <w:r>
        <w:rPr>
          <w:sz w:val="20"/>
        </w:rPr>
        <w:t>General Counsel for EWI.</w:t>
      </w:r>
    </w:p>
    <w:p>
      <w:pPr>
        <w:pStyle w:val="TextBody"/>
        <w:bidi w:val="0"/>
        <w:spacing w:before="121" w:after="0"/>
        <w:ind w:left="1102" w:right="370" w:hanging="360"/>
        <w:jc w:val="left"/>
        <w:rPr/>
      </w:pPr>
      <w:r>
        <w:rPr/>
        <w:t></w:t>
      </w:r>
      <w:r>
        <w:rPr>
          <w:caps w:val="false"/>
          <w:smallCaps w:val="false"/>
        </w:rPr>
        <w:t xml:space="preserve">         </w:t>
      </w:r>
      <w:r>
        <w:rPr>
          <w:sz w:val="20"/>
        </w:rPr>
        <w:t>The</w:t>
      </w:r>
      <w:r>
        <w:rPr>
          <w:spacing w:val="-7"/>
          <w:sz w:val="20"/>
        </w:rPr>
        <w:t xml:space="preserve"> </w:t>
      </w:r>
      <w:r>
        <w:rPr>
          <w:sz w:val="20"/>
        </w:rPr>
        <w:t>Rule</w:t>
      </w:r>
      <w:r>
        <w:rPr>
          <w:spacing w:val="-7"/>
          <w:sz w:val="20"/>
        </w:rPr>
        <w:t xml:space="preserve"> </w:t>
      </w:r>
      <w:r>
        <w:rPr>
          <w:sz w:val="20"/>
        </w:rPr>
        <w:t>10b5-1</w:t>
      </w:r>
      <w:r>
        <w:rPr>
          <w:spacing w:val="-8"/>
          <w:sz w:val="20"/>
        </w:rPr>
        <w:t xml:space="preserve"> </w:t>
      </w:r>
      <w:r>
        <w:rPr>
          <w:sz w:val="20"/>
        </w:rPr>
        <w:t>trading</w:t>
      </w:r>
      <w:r>
        <w:rPr>
          <w:spacing w:val="-10"/>
          <w:sz w:val="20"/>
        </w:rPr>
        <w:t xml:space="preserve"> </w:t>
      </w:r>
      <w:r>
        <w:rPr>
          <w:sz w:val="20"/>
        </w:rPr>
        <w:t>plan</w:t>
      </w:r>
      <w:r>
        <w:rPr>
          <w:spacing w:val="-8"/>
          <w:sz w:val="20"/>
        </w:rPr>
        <w:t xml:space="preserve"> </w:t>
      </w:r>
      <w:r>
        <w:rPr>
          <w:sz w:val="20"/>
        </w:rPr>
        <w:t>must</w:t>
      </w:r>
      <w:r>
        <w:rPr>
          <w:spacing w:val="-5"/>
          <w:sz w:val="20"/>
        </w:rPr>
        <w:t xml:space="preserve"> </w:t>
      </w:r>
      <w:r>
        <w:rPr>
          <w:sz w:val="20"/>
        </w:rPr>
        <w:t>comply</w:t>
      </w:r>
      <w:r>
        <w:rPr>
          <w:spacing w:val="-10"/>
          <w:sz w:val="20"/>
        </w:rPr>
        <w:t xml:space="preserve"> </w:t>
      </w:r>
      <w:r>
        <w:rPr>
          <w:sz w:val="20"/>
        </w:rPr>
        <w:t>with</w:t>
      </w:r>
      <w:r>
        <w:rPr>
          <w:spacing w:val="-6"/>
          <w:sz w:val="20"/>
        </w:rPr>
        <w:t xml:space="preserve"> </w:t>
      </w:r>
      <w:r>
        <w:rPr>
          <w:sz w:val="20"/>
        </w:rPr>
        <w:t>and</w:t>
      </w:r>
      <w:r>
        <w:rPr>
          <w:spacing w:val="-6"/>
          <w:sz w:val="20"/>
        </w:rPr>
        <w:t xml:space="preserve"> </w:t>
      </w:r>
      <w:r>
        <w:rPr>
          <w:sz w:val="20"/>
        </w:rPr>
        <w:t>be</w:t>
      </w:r>
      <w:r>
        <w:rPr>
          <w:spacing w:val="-7"/>
          <w:sz w:val="20"/>
        </w:rPr>
        <w:t xml:space="preserve"> </w:t>
      </w:r>
      <w:r>
        <w:rPr>
          <w:sz w:val="20"/>
        </w:rPr>
        <w:t>adopted</w:t>
      </w:r>
      <w:r>
        <w:rPr>
          <w:spacing w:val="-8"/>
          <w:sz w:val="20"/>
        </w:rPr>
        <w:t xml:space="preserve"> </w:t>
      </w:r>
      <w:r>
        <w:rPr>
          <w:sz w:val="20"/>
        </w:rPr>
        <w:t>in</w:t>
      </w:r>
      <w:r>
        <w:rPr>
          <w:spacing w:val="-8"/>
          <w:sz w:val="20"/>
        </w:rPr>
        <w:t xml:space="preserve"> </w:t>
      </w:r>
      <w:r>
        <w:rPr>
          <w:sz w:val="20"/>
        </w:rPr>
        <w:t>accordance</w:t>
      </w:r>
      <w:r>
        <w:rPr>
          <w:spacing w:val="-6"/>
          <w:sz w:val="20"/>
        </w:rPr>
        <w:t xml:space="preserve"> </w:t>
      </w:r>
      <w:r>
        <w:rPr>
          <w:sz w:val="20"/>
        </w:rPr>
        <w:t>with</w:t>
      </w:r>
      <w:r>
        <w:rPr>
          <w:spacing w:val="-8"/>
          <w:sz w:val="20"/>
        </w:rPr>
        <w:t xml:space="preserve"> </w:t>
      </w:r>
      <w:r>
        <w:rPr>
          <w:sz w:val="20"/>
        </w:rPr>
        <w:t>the provisions of Rule 10b5-1.</w:t>
      </w:r>
    </w:p>
    <w:p>
      <w:pPr>
        <w:pStyle w:val="TextBody"/>
        <w:bidi w:val="0"/>
        <w:spacing w:before="115" w:after="0"/>
        <w:ind w:left="1102" w:right="346" w:hanging="360"/>
        <w:jc w:val="left"/>
        <w:rPr/>
      </w:pPr>
      <w:r>
        <w:rPr/>
        <w:t></w:t>
      </w:r>
      <w:r>
        <w:rPr>
          <w:caps w:val="false"/>
          <w:smallCaps w:val="false"/>
        </w:rPr>
        <w:t xml:space="preserve">         </w:t>
      </w:r>
      <w:r>
        <w:rPr>
          <w:sz w:val="20"/>
        </w:rPr>
        <w:t>The</w:t>
      </w:r>
      <w:r>
        <w:rPr>
          <w:spacing w:val="-8"/>
          <w:sz w:val="20"/>
        </w:rPr>
        <w:t xml:space="preserve"> </w:t>
      </w:r>
      <w:r>
        <w:rPr>
          <w:sz w:val="20"/>
        </w:rPr>
        <w:t>Rule</w:t>
      </w:r>
      <w:r>
        <w:rPr>
          <w:spacing w:val="-8"/>
          <w:sz w:val="20"/>
        </w:rPr>
        <w:t xml:space="preserve"> </w:t>
      </w:r>
      <w:r>
        <w:rPr>
          <w:sz w:val="20"/>
        </w:rPr>
        <w:t>10b5-1</w:t>
      </w:r>
      <w:r>
        <w:rPr>
          <w:spacing w:val="-9"/>
          <w:sz w:val="20"/>
        </w:rPr>
        <w:t xml:space="preserve"> </w:t>
      </w:r>
      <w:r>
        <w:rPr>
          <w:sz w:val="20"/>
        </w:rPr>
        <w:t>trading</w:t>
      </w:r>
      <w:r>
        <w:rPr>
          <w:spacing w:val="-11"/>
          <w:sz w:val="20"/>
        </w:rPr>
        <w:t xml:space="preserve"> </w:t>
      </w:r>
      <w:r>
        <w:rPr>
          <w:sz w:val="20"/>
        </w:rPr>
        <w:t>plan</w:t>
      </w:r>
      <w:r>
        <w:rPr>
          <w:spacing w:val="-9"/>
          <w:sz w:val="20"/>
        </w:rPr>
        <w:t xml:space="preserve"> </w:t>
      </w:r>
      <w:r>
        <w:rPr>
          <w:sz w:val="20"/>
        </w:rPr>
        <w:t>generally</w:t>
      </w:r>
      <w:r>
        <w:rPr>
          <w:spacing w:val="-11"/>
          <w:sz w:val="20"/>
        </w:rPr>
        <w:t xml:space="preserve"> </w:t>
      </w:r>
      <w:r>
        <w:rPr>
          <w:sz w:val="20"/>
        </w:rPr>
        <w:t>may</w:t>
      </w:r>
      <w:r>
        <w:rPr>
          <w:spacing w:val="-11"/>
          <w:sz w:val="20"/>
        </w:rPr>
        <w:t xml:space="preserve"> </w:t>
      </w:r>
      <w:r>
        <w:rPr>
          <w:sz w:val="20"/>
        </w:rPr>
        <w:t>not</w:t>
      </w:r>
      <w:r>
        <w:rPr>
          <w:spacing w:val="-5"/>
          <w:sz w:val="20"/>
        </w:rPr>
        <w:t xml:space="preserve"> </w:t>
      </w:r>
      <w:r>
        <w:rPr>
          <w:sz w:val="20"/>
        </w:rPr>
        <w:t>be</w:t>
      </w:r>
      <w:r>
        <w:rPr>
          <w:spacing w:val="-8"/>
          <w:sz w:val="20"/>
        </w:rPr>
        <w:t xml:space="preserve"> </w:t>
      </w:r>
      <w:r>
        <w:rPr>
          <w:sz w:val="20"/>
        </w:rPr>
        <w:t>adopted</w:t>
      </w:r>
      <w:r>
        <w:rPr>
          <w:spacing w:val="-11"/>
          <w:sz w:val="20"/>
        </w:rPr>
        <w:t xml:space="preserve"> </w:t>
      </w:r>
      <w:r>
        <w:rPr>
          <w:sz w:val="20"/>
        </w:rPr>
        <w:t>during</w:t>
      </w:r>
      <w:r>
        <w:rPr>
          <w:spacing w:val="-11"/>
          <w:sz w:val="20"/>
        </w:rPr>
        <w:t xml:space="preserve"> </w:t>
      </w:r>
      <w:r>
        <w:rPr>
          <w:sz w:val="20"/>
        </w:rPr>
        <w:t>a</w:t>
      </w:r>
      <w:r>
        <w:rPr>
          <w:spacing w:val="-8"/>
          <w:sz w:val="20"/>
        </w:rPr>
        <w:t xml:space="preserve"> </w:t>
      </w:r>
      <w:r>
        <w:rPr>
          <w:sz w:val="20"/>
        </w:rPr>
        <w:t>blackout</w:t>
      </w:r>
      <w:r>
        <w:rPr>
          <w:spacing w:val="-5"/>
          <w:sz w:val="20"/>
        </w:rPr>
        <w:t xml:space="preserve"> </w:t>
      </w:r>
      <w:r>
        <w:rPr>
          <w:sz w:val="20"/>
        </w:rPr>
        <w:t>period</w:t>
      </w:r>
      <w:r>
        <w:rPr>
          <w:spacing w:val="-6"/>
          <w:sz w:val="20"/>
        </w:rPr>
        <w:t xml:space="preserve"> </w:t>
      </w:r>
      <w:r>
        <w:rPr>
          <w:sz w:val="20"/>
        </w:rPr>
        <w:t>or when a Covered Person is in possession of material non-public information.</w:t>
      </w:r>
    </w:p>
    <w:p>
      <w:pPr>
        <w:pStyle w:val="TextBody"/>
        <w:bidi w:val="0"/>
        <w:spacing w:before="116" w:after="0"/>
        <w:ind w:left="1101" w:right="248" w:hanging="360"/>
        <w:jc w:val="left"/>
        <w:rPr/>
      </w:pPr>
      <w:r>
        <w:rPr/>
        <w:t></w:t>
      </w:r>
      <w:r>
        <w:rPr>
          <w:caps w:val="false"/>
          <w:smallCaps w:val="false"/>
        </w:rPr>
        <w:t xml:space="preserve">         </w:t>
      </w:r>
      <w:r>
        <w:rPr>
          <w:sz w:val="20"/>
        </w:rPr>
        <w:t>The</w:t>
      </w:r>
      <w:r>
        <w:rPr>
          <w:spacing w:val="-6"/>
          <w:sz w:val="20"/>
        </w:rPr>
        <w:t xml:space="preserve"> </w:t>
      </w:r>
      <w:r>
        <w:rPr>
          <w:sz w:val="20"/>
        </w:rPr>
        <w:t>Rule</w:t>
      </w:r>
      <w:r>
        <w:rPr>
          <w:spacing w:val="-6"/>
          <w:sz w:val="20"/>
        </w:rPr>
        <w:t xml:space="preserve"> </w:t>
      </w:r>
      <w:r>
        <w:rPr>
          <w:sz w:val="20"/>
        </w:rPr>
        <w:t>10b5-1</w:t>
      </w:r>
      <w:r>
        <w:rPr>
          <w:spacing w:val="-7"/>
          <w:sz w:val="20"/>
        </w:rPr>
        <w:t xml:space="preserve"> </w:t>
      </w:r>
      <w:r>
        <w:rPr>
          <w:sz w:val="20"/>
        </w:rPr>
        <w:t>trading</w:t>
      </w:r>
      <w:r>
        <w:rPr>
          <w:spacing w:val="-9"/>
          <w:sz w:val="20"/>
        </w:rPr>
        <w:t xml:space="preserve"> </w:t>
      </w:r>
      <w:r>
        <w:rPr>
          <w:sz w:val="20"/>
        </w:rPr>
        <w:t>plan</w:t>
      </w:r>
      <w:r>
        <w:rPr>
          <w:spacing w:val="-7"/>
          <w:sz w:val="20"/>
        </w:rPr>
        <w:t xml:space="preserve"> </w:t>
      </w:r>
      <w:r>
        <w:rPr>
          <w:sz w:val="20"/>
        </w:rPr>
        <w:t>must</w:t>
      </w:r>
      <w:r>
        <w:rPr>
          <w:spacing w:val="-3"/>
          <w:sz w:val="20"/>
        </w:rPr>
        <w:t xml:space="preserve"> </w:t>
      </w:r>
      <w:r>
        <w:rPr>
          <w:sz w:val="20"/>
        </w:rPr>
        <w:t>be</w:t>
      </w:r>
      <w:r>
        <w:rPr>
          <w:spacing w:val="-6"/>
          <w:sz w:val="20"/>
        </w:rPr>
        <w:t xml:space="preserve"> </w:t>
      </w:r>
      <w:r>
        <w:rPr>
          <w:sz w:val="20"/>
        </w:rPr>
        <w:t>entered</w:t>
      </w:r>
      <w:r>
        <w:rPr>
          <w:spacing w:val="-9"/>
          <w:sz w:val="20"/>
        </w:rPr>
        <w:t xml:space="preserve"> </w:t>
      </w:r>
      <w:r>
        <w:rPr>
          <w:sz w:val="20"/>
        </w:rPr>
        <w:t>into</w:t>
      </w:r>
      <w:r>
        <w:rPr>
          <w:spacing w:val="-7"/>
          <w:sz w:val="20"/>
        </w:rPr>
        <w:t xml:space="preserve"> </w:t>
      </w:r>
      <w:r>
        <w:rPr>
          <w:sz w:val="20"/>
        </w:rPr>
        <w:t>in</w:t>
      </w:r>
      <w:r>
        <w:rPr>
          <w:spacing w:val="-4"/>
          <w:sz w:val="20"/>
        </w:rPr>
        <w:t xml:space="preserve"> </w:t>
      </w:r>
      <w:r>
        <w:rPr>
          <w:sz w:val="20"/>
        </w:rPr>
        <w:t>good</w:t>
      </w:r>
      <w:r>
        <w:rPr>
          <w:spacing w:val="-7"/>
          <w:sz w:val="20"/>
        </w:rPr>
        <w:t xml:space="preserve"> </w:t>
      </w:r>
      <w:r>
        <w:rPr>
          <w:sz w:val="20"/>
        </w:rPr>
        <w:t>faith</w:t>
      </w:r>
      <w:r>
        <w:rPr>
          <w:spacing w:val="-7"/>
          <w:sz w:val="20"/>
        </w:rPr>
        <w:t xml:space="preserve"> </w:t>
      </w:r>
      <w:r>
        <w:rPr>
          <w:sz w:val="20"/>
        </w:rPr>
        <w:t>and</w:t>
      </w:r>
      <w:r>
        <w:rPr>
          <w:spacing w:val="-7"/>
          <w:sz w:val="20"/>
        </w:rPr>
        <w:t xml:space="preserve"> </w:t>
      </w:r>
      <w:r>
        <w:rPr>
          <w:sz w:val="20"/>
        </w:rPr>
        <w:t>not</w:t>
      </w:r>
      <w:r>
        <w:rPr>
          <w:spacing w:val="-6"/>
          <w:sz w:val="20"/>
        </w:rPr>
        <w:t xml:space="preserve"> </w:t>
      </w:r>
      <w:r>
        <w:rPr>
          <w:sz w:val="20"/>
        </w:rPr>
        <w:t>as</w:t>
      </w:r>
      <w:r>
        <w:rPr>
          <w:spacing w:val="-4"/>
          <w:sz w:val="20"/>
        </w:rPr>
        <w:t xml:space="preserve"> </w:t>
      </w:r>
      <w:r>
        <w:rPr>
          <w:sz w:val="20"/>
        </w:rPr>
        <w:t>part</w:t>
      </w:r>
      <w:r>
        <w:rPr>
          <w:spacing w:val="-6"/>
          <w:sz w:val="20"/>
        </w:rPr>
        <w:t xml:space="preserve"> </w:t>
      </w:r>
      <w:r>
        <w:rPr>
          <w:sz w:val="20"/>
        </w:rPr>
        <w:t>of</w:t>
      </w:r>
      <w:r>
        <w:rPr>
          <w:spacing w:val="-8"/>
          <w:sz w:val="20"/>
        </w:rPr>
        <w:t xml:space="preserve"> </w:t>
      </w:r>
      <w:r>
        <w:rPr>
          <w:sz w:val="20"/>
        </w:rPr>
        <w:t>a</w:t>
      </w:r>
      <w:r>
        <w:rPr>
          <w:spacing w:val="-4"/>
          <w:sz w:val="20"/>
        </w:rPr>
        <w:t xml:space="preserve"> </w:t>
      </w:r>
      <w:r>
        <w:rPr>
          <w:sz w:val="20"/>
        </w:rPr>
        <w:t>plan or scheme to evade the prohibitions of Rule 10b5-1.</w:t>
      </w:r>
    </w:p>
    <w:p>
      <w:pPr>
        <w:pStyle w:val="TextBody"/>
        <w:bidi w:val="0"/>
        <w:spacing w:before="0" w:after="0"/>
        <w:ind w:left="1102" w:right="0" w:hanging="360"/>
        <w:jc w:val="left"/>
        <w:rPr/>
      </w:pPr>
      <w:r>
        <w:rPr/>
        <w:t> </w:t>
      </w:r>
    </w:p>
    <w:p>
      <w:pPr>
        <w:pStyle w:val="TextBody"/>
        <w:bidi w:val="0"/>
        <w:spacing w:before="0" w:after="0"/>
        <w:ind w:left="1102" w:right="0" w:hanging="360"/>
        <w:jc w:val="left"/>
        <w:rPr/>
      </w:pPr>
      <w:r>
        <w:rPr/>
        <w:t> </w:t>
      </w:r>
    </w:p>
    <w:p>
      <w:pPr>
        <w:pStyle w:val="TextBody"/>
        <w:bidi w:val="0"/>
        <w:spacing w:before="0" w:after="0"/>
        <w:jc w:val="center"/>
        <w:rPr>
          <w:sz w:val="20"/>
        </w:rPr>
      </w:pPr>
      <w:r>
        <w:rPr>
          <w:sz w:val="20"/>
        </w:rPr>
        <w:t>7</w:t>
      </w:r>
    </w:p>
    <w:p>
      <w:pPr>
        <w:pStyle w:val="HorizontalLine"/>
        <w:pBdr>
          <w:bottom w:val="double" w:sz="2" w:space="0" w:color="808080"/>
        </w:pBdr>
        <w:bidi w:val="0"/>
        <w:jc w:val="center"/>
        <w:rPr/>
      </w:pPr>
      <w:r>
        <w:rPr/>
      </w:r>
    </w:p>
    <w:p>
      <w:pPr>
        <w:pStyle w:val="TextBody"/>
        <w:bidi w:val="0"/>
        <w:spacing w:lineRule="auto" w:line="14" w:before="0" w:after="0"/>
        <w:jc w:val="left"/>
        <w:rPr/>
      </w:pPr>
      <w:r>
        <w:drawing>
          <wp:anchor behindDoc="0" distT="2975610" distB="0" distL="3202940" distR="0" simplePos="0" locked="0" layoutInCell="1" allowOverlap="1" relativeHeight="9">
            <wp:simplePos x="0" y="0"/>
            <wp:positionH relativeFrom="character">
              <wp:align>left</wp:align>
            </wp:positionH>
            <wp:positionV relativeFrom="line">
              <wp:align>top</wp:align>
            </wp:positionV>
            <wp:extent cx="285750" cy="180975"/>
            <wp:effectExtent l="0" t="0" r="0" b="0"/>
            <wp:wrapNone/>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6"/>
                    <a:stretch>
                      <a:fillRect/>
                    </a:stretch>
                  </pic:blipFill>
                  <pic:spPr bwMode="auto">
                    <a:xfrm>
                      <a:off x="0" y="0"/>
                      <a:ext cx="285750" cy="180975"/>
                    </a:xfrm>
                    <a:prstGeom prst="rect">
                      <a:avLst/>
                    </a:prstGeom>
                  </pic:spPr>
                </pic:pic>
              </a:graphicData>
            </a:graphic>
          </wp:anchor>
        </w:drawing>
      </w:r>
      <w:r>
        <w:rPr/>
        <w:t> </w:t>
      </w:r>
    </w:p>
    <w:p>
      <w:pPr>
        <w:pStyle w:val="TextBody"/>
        <w:bidi w:val="0"/>
        <w:spacing w:before="89" w:after="0"/>
        <w:ind w:left="1102" w:right="738" w:hanging="360"/>
        <w:jc w:val="left"/>
        <w:rPr/>
      </w:pPr>
      <w:r>
        <w:rPr/>
        <w:t></w:t>
      </w:r>
      <w:r>
        <w:rPr>
          <w:caps w:val="false"/>
          <w:smallCaps w:val="false"/>
        </w:rPr>
        <w:t xml:space="preserve">         </w:t>
      </w:r>
      <w:r>
        <w:rPr>
          <w:sz w:val="20"/>
        </w:rPr>
        <w:t>A</w:t>
      </w:r>
      <w:r>
        <w:rPr>
          <w:spacing w:val="-6"/>
          <w:sz w:val="20"/>
        </w:rPr>
        <w:t xml:space="preserve"> </w:t>
      </w:r>
      <w:r>
        <w:rPr>
          <w:sz w:val="20"/>
        </w:rPr>
        <w:t>Covered</w:t>
      </w:r>
      <w:r>
        <w:rPr>
          <w:spacing w:val="-5"/>
          <w:sz w:val="20"/>
        </w:rPr>
        <w:t xml:space="preserve"> </w:t>
      </w:r>
      <w:r>
        <w:rPr>
          <w:sz w:val="20"/>
        </w:rPr>
        <w:t>Person</w:t>
      </w:r>
      <w:r>
        <w:rPr>
          <w:spacing w:val="-5"/>
          <w:sz w:val="20"/>
        </w:rPr>
        <w:t xml:space="preserve"> </w:t>
      </w:r>
      <w:r>
        <w:rPr>
          <w:sz w:val="20"/>
        </w:rPr>
        <w:t>may</w:t>
      </w:r>
      <w:r>
        <w:rPr>
          <w:spacing w:val="-12"/>
          <w:sz w:val="20"/>
        </w:rPr>
        <w:t xml:space="preserve"> </w:t>
      </w:r>
      <w:r>
        <w:rPr>
          <w:sz w:val="20"/>
        </w:rPr>
        <w:t>not</w:t>
      </w:r>
      <w:r>
        <w:rPr>
          <w:spacing w:val="-7"/>
          <w:sz w:val="20"/>
        </w:rPr>
        <w:t xml:space="preserve"> </w:t>
      </w:r>
      <w:r>
        <w:rPr>
          <w:sz w:val="20"/>
        </w:rPr>
        <w:t>amend</w:t>
      </w:r>
      <w:r>
        <w:rPr>
          <w:spacing w:val="-5"/>
          <w:sz w:val="20"/>
        </w:rPr>
        <w:t xml:space="preserve"> </w:t>
      </w:r>
      <w:r>
        <w:rPr>
          <w:sz w:val="20"/>
        </w:rPr>
        <w:t>or</w:t>
      </w:r>
      <w:r>
        <w:rPr>
          <w:spacing w:val="-7"/>
          <w:sz w:val="20"/>
        </w:rPr>
        <w:t xml:space="preserve"> </w:t>
      </w:r>
      <w:r>
        <w:rPr>
          <w:sz w:val="20"/>
        </w:rPr>
        <w:t>terminate</w:t>
      </w:r>
      <w:r>
        <w:rPr>
          <w:spacing w:val="-7"/>
          <w:sz w:val="20"/>
        </w:rPr>
        <w:t xml:space="preserve"> </w:t>
      </w:r>
      <w:r>
        <w:rPr>
          <w:sz w:val="20"/>
        </w:rPr>
        <w:t>his</w:t>
      </w:r>
      <w:r>
        <w:rPr>
          <w:spacing w:val="-7"/>
          <w:sz w:val="20"/>
        </w:rPr>
        <w:t xml:space="preserve"> </w:t>
      </w:r>
      <w:r>
        <w:rPr>
          <w:sz w:val="20"/>
        </w:rPr>
        <w:t>or</w:t>
      </w:r>
      <w:r>
        <w:rPr>
          <w:spacing w:val="-7"/>
          <w:sz w:val="20"/>
        </w:rPr>
        <w:t xml:space="preserve"> </w:t>
      </w:r>
      <w:r>
        <w:rPr>
          <w:sz w:val="20"/>
        </w:rPr>
        <w:t>her</w:t>
      </w:r>
      <w:r>
        <w:rPr>
          <w:spacing w:val="-4"/>
          <w:sz w:val="20"/>
        </w:rPr>
        <w:t xml:space="preserve"> </w:t>
      </w:r>
      <w:r>
        <w:rPr>
          <w:sz w:val="20"/>
        </w:rPr>
        <w:t>Rule</w:t>
      </w:r>
      <w:r>
        <w:rPr>
          <w:spacing w:val="-5"/>
          <w:sz w:val="20"/>
        </w:rPr>
        <w:t xml:space="preserve"> </w:t>
      </w:r>
      <w:r>
        <w:rPr>
          <w:sz w:val="20"/>
        </w:rPr>
        <w:t>10b5-1</w:t>
      </w:r>
      <w:r>
        <w:rPr>
          <w:spacing w:val="-8"/>
          <w:sz w:val="20"/>
        </w:rPr>
        <w:t xml:space="preserve"> </w:t>
      </w:r>
      <w:r>
        <w:rPr>
          <w:sz w:val="20"/>
        </w:rPr>
        <w:t>trading</w:t>
      </w:r>
      <w:r>
        <w:rPr>
          <w:spacing w:val="-10"/>
          <w:sz w:val="20"/>
        </w:rPr>
        <w:t xml:space="preserve"> </w:t>
      </w:r>
      <w:r>
        <w:rPr>
          <w:sz w:val="20"/>
        </w:rPr>
        <w:t>plan without the prior approval of EWI’s General Counsel.</w:t>
      </w:r>
    </w:p>
    <w:p>
      <w:pPr>
        <w:pStyle w:val="TextBody"/>
        <w:bidi w:val="0"/>
        <w:spacing w:before="118" w:after="0"/>
        <w:ind w:left="1102" w:right="110" w:hanging="360"/>
        <w:jc w:val="left"/>
        <w:rPr/>
      </w:pPr>
      <w:r>
        <w:rPr/>
        <w:t></w:t>
      </w:r>
      <w:r>
        <w:rPr>
          <w:caps w:val="false"/>
          <w:smallCaps w:val="false"/>
        </w:rPr>
        <w:t xml:space="preserve">         </w:t>
      </w:r>
      <w:r>
        <w:rPr>
          <w:sz w:val="20"/>
        </w:rPr>
        <w:t>A</w:t>
      </w:r>
      <w:r>
        <w:rPr>
          <w:spacing w:val="-8"/>
          <w:sz w:val="20"/>
        </w:rPr>
        <w:t xml:space="preserve"> </w:t>
      </w:r>
      <w:r>
        <w:rPr>
          <w:sz w:val="20"/>
        </w:rPr>
        <w:t>Covered</w:t>
      </w:r>
      <w:r>
        <w:rPr>
          <w:spacing w:val="-7"/>
          <w:sz w:val="20"/>
        </w:rPr>
        <w:t xml:space="preserve"> </w:t>
      </w:r>
      <w:r>
        <w:rPr>
          <w:sz w:val="20"/>
        </w:rPr>
        <w:t>Person</w:t>
      </w:r>
      <w:r>
        <w:rPr>
          <w:spacing w:val="-7"/>
          <w:sz w:val="20"/>
        </w:rPr>
        <w:t xml:space="preserve"> </w:t>
      </w:r>
      <w:r>
        <w:rPr>
          <w:sz w:val="20"/>
        </w:rPr>
        <w:t>may</w:t>
      </w:r>
      <w:r>
        <w:rPr>
          <w:spacing w:val="-13"/>
          <w:sz w:val="20"/>
        </w:rPr>
        <w:t xml:space="preserve"> </w:t>
      </w:r>
      <w:r>
        <w:rPr>
          <w:sz w:val="20"/>
        </w:rPr>
        <w:t>not</w:t>
      </w:r>
      <w:r>
        <w:rPr>
          <w:spacing w:val="-9"/>
          <w:sz w:val="20"/>
        </w:rPr>
        <w:t xml:space="preserve"> </w:t>
      </w:r>
      <w:r>
        <w:rPr>
          <w:sz w:val="20"/>
        </w:rPr>
        <w:t>separately</w:t>
      </w:r>
      <w:r>
        <w:rPr>
          <w:spacing w:val="-11"/>
          <w:sz w:val="20"/>
        </w:rPr>
        <w:t xml:space="preserve"> </w:t>
      </w:r>
      <w:r>
        <w:rPr>
          <w:sz w:val="20"/>
        </w:rPr>
        <w:t>enter</w:t>
      </w:r>
      <w:r>
        <w:rPr>
          <w:spacing w:val="-10"/>
          <w:sz w:val="20"/>
        </w:rPr>
        <w:t xml:space="preserve"> </w:t>
      </w:r>
      <w:r>
        <w:rPr>
          <w:sz w:val="20"/>
        </w:rPr>
        <w:t>into</w:t>
      </w:r>
      <w:r>
        <w:rPr>
          <w:spacing w:val="-7"/>
          <w:sz w:val="20"/>
        </w:rPr>
        <w:t xml:space="preserve"> </w:t>
      </w:r>
      <w:r>
        <w:rPr>
          <w:sz w:val="20"/>
        </w:rPr>
        <w:t>a</w:t>
      </w:r>
      <w:r>
        <w:rPr>
          <w:spacing w:val="-11"/>
          <w:sz w:val="20"/>
        </w:rPr>
        <w:t xml:space="preserve"> </w:t>
      </w:r>
      <w:r>
        <w:rPr>
          <w:sz w:val="20"/>
        </w:rPr>
        <w:t>corresponding</w:t>
      </w:r>
      <w:r>
        <w:rPr>
          <w:spacing w:val="-11"/>
          <w:sz w:val="20"/>
        </w:rPr>
        <w:t xml:space="preserve"> </w:t>
      </w:r>
      <w:r>
        <w:rPr>
          <w:sz w:val="20"/>
        </w:rPr>
        <w:t>or</w:t>
      </w:r>
      <w:r>
        <w:rPr>
          <w:spacing w:val="-9"/>
          <w:sz w:val="20"/>
        </w:rPr>
        <w:t xml:space="preserve"> </w:t>
      </w:r>
      <w:r>
        <w:rPr>
          <w:sz w:val="20"/>
        </w:rPr>
        <w:t>hedging</w:t>
      </w:r>
      <w:r>
        <w:rPr>
          <w:spacing w:val="-11"/>
          <w:sz w:val="20"/>
        </w:rPr>
        <w:t xml:space="preserve"> </w:t>
      </w:r>
      <w:r>
        <w:rPr>
          <w:sz w:val="20"/>
        </w:rPr>
        <w:t>transaction</w:t>
      </w:r>
      <w:r>
        <w:rPr>
          <w:spacing w:val="-7"/>
          <w:sz w:val="20"/>
        </w:rPr>
        <w:t xml:space="preserve"> </w:t>
      </w:r>
      <w:r>
        <w:rPr>
          <w:sz w:val="20"/>
        </w:rPr>
        <w:t>or position with respect to the securities traded pursuant to the Rule 10b5-1 trading plan.</w:t>
      </w:r>
    </w:p>
    <w:p>
      <w:pPr>
        <w:pStyle w:val="TextBody"/>
        <w:bidi w:val="0"/>
        <w:spacing w:before="118" w:after="0"/>
        <w:ind w:left="1101" w:right="145" w:hanging="360"/>
        <w:jc w:val="left"/>
        <w:rPr/>
      </w:pPr>
      <w:r>
        <w:rPr/>
        <w:t></w:t>
      </w:r>
      <w:r>
        <w:rPr>
          <w:caps w:val="false"/>
          <w:smallCaps w:val="false"/>
        </w:rPr>
        <w:t xml:space="preserve">         </w:t>
      </w:r>
      <w:r>
        <w:rPr>
          <w:sz w:val="20"/>
        </w:rPr>
        <w:t>A Covered Person or his or her broker must inform EWI’s General Counsel of each transaction under the Rule 10b5-1 trading plan so that the Company may monitor compliance</w:t>
      </w:r>
      <w:r>
        <w:rPr>
          <w:spacing w:val="-7"/>
          <w:sz w:val="20"/>
        </w:rPr>
        <w:t xml:space="preserve"> </w:t>
      </w:r>
      <w:r>
        <w:rPr>
          <w:sz w:val="20"/>
        </w:rPr>
        <w:t>with</w:t>
      </w:r>
      <w:r>
        <w:rPr>
          <w:spacing w:val="-8"/>
          <w:sz w:val="20"/>
        </w:rPr>
        <w:t xml:space="preserve"> </w:t>
      </w:r>
      <w:r>
        <w:rPr>
          <w:sz w:val="20"/>
        </w:rPr>
        <w:t>the</w:t>
      </w:r>
      <w:r>
        <w:rPr>
          <w:spacing w:val="-7"/>
          <w:sz w:val="20"/>
        </w:rPr>
        <w:t xml:space="preserve"> </w:t>
      </w:r>
      <w:r>
        <w:rPr>
          <w:sz w:val="20"/>
        </w:rPr>
        <w:t>filing</w:t>
      </w:r>
      <w:r>
        <w:rPr>
          <w:spacing w:val="-8"/>
          <w:sz w:val="20"/>
        </w:rPr>
        <w:t xml:space="preserve"> </w:t>
      </w:r>
      <w:r>
        <w:rPr>
          <w:sz w:val="20"/>
        </w:rPr>
        <w:t>obligations</w:t>
      </w:r>
      <w:r>
        <w:rPr>
          <w:spacing w:val="-6"/>
          <w:sz w:val="20"/>
        </w:rPr>
        <w:t xml:space="preserve"> </w:t>
      </w:r>
      <w:r>
        <w:rPr>
          <w:sz w:val="20"/>
        </w:rPr>
        <w:t>of</w:t>
      </w:r>
      <w:r>
        <w:rPr>
          <w:spacing w:val="-5"/>
          <w:sz w:val="20"/>
        </w:rPr>
        <w:t xml:space="preserve"> </w:t>
      </w:r>
      <w:r>
        <w:rPr>
          <w:sz w:val="20"/>
        </w:rPr>
        <w:t>Section</w:t>
      </w:r>
      <w:r>
        <w:rPr>
          <w:spacing w:val="-8"/>
          <w:sz w:val="20"/>
        </w:rPr>
        <w:t xml:space="preserve"> </w:t>
      </w:r>
      <w:r>
        <w:rPr>
          <w:sz w:val="20"/>
        </w:rPr>
        <w:t>16</w:t>
      </w:r>
      <w:r>
        <w:rPr>
          <w:spacing w:val="-6"/>
          <w:sz w:val="20"/>
        </w:rPr>
        <w:t xml:space="preserve"> </w:t>
      </w:r>
      <w:r>
        <w:rPr>
          <w:sz w:val="20"/>
        </w:rPr>
        <w:t>of</w:t>
      </w:r>
      <w:r>
        <w:rPr>
          <w:spacing w:val="-9"/>
          <w:sz w:val="20"/>
        </w:rPr>
        <w:t xml:space="preserve"> </w:t>
      </w:r>
      <w:r>
        <w:rPr>
          <w:sz w:val="20"/>
        </w:rPr>
        <w:t>the</w:t>
      </w:r>
      <w:r>
        <w:rPr>
          <w:spacing w:val="-6"/>
          <w:sz w:val="20"/>
        </w:rPr>
        <w:t xml:space="preserve"> </w:t>
      </w:r>
      <w:r>
        <w:rPr>
          <w:sz w:val="20"/>
        </w:rPr>
        <w:t>Exchange</w:t>
      </w:r>
      <w:r>
        <w:rPr>
          <w:spacing w:val="-7"/>
          <w:sz w:val="20"/>
        </w:rPr>
        <w:t xml:space="preserve"> </w:t>
      </w:r>
      <w:r>
        <w:rPr>
          <w:sz w:val="20"/>
        </w:rPr>
        <w:t>Act</w:t>
      </w:r>
      <w:r>
        <w:rPr>
          <w:spacing w:val="-7"/>
          <w:sz w:val="20"/>
        </w:rPr>
        <w:t xml:space="preserve"> </w:t>
      </w:r>
      <w:r>
        <w:rPr>
          <w:sz w:val="20"/>
        </w:rPr>
        <w:t>and</w:t>
      </w:r>
      <w:r>
        <w:rPr>
          <w:spacing w:val="-6"/>
          <w:sz w:val="20"/>
        </w:rPr>
        <w:t xml:space="preserve"> </w:t>
      </w:r>
      <w:r>
        <w:rPr>
          <w:sz w:val="20"/>
        </w:rPr>
        <w:t>Rule</w:t>
      </w:r>
      <w:r>
        <w:rPr>
          <w:spacing w:val="-10"/>
          <w:sz w:val="20"/>
        </w:rPr>
        <w:t xml:space="preserve"> </w:t>
      </w:r>
      <w:r>
        <w:rPr>
          <w:sz w:val="20"/>
        </w:rPr>
        <w:t>144</w:t>
      </w:r>
      <w:r>
        <w:rPr>
          <w:spacing w:val="-6"/>
          <w:sz w:val="20"/>
        </w:rPr>
        <w:t xml:space="preserve"> </w:t>
      </w:r>
      <w:r>
        <w:rPr>
          <w:sz w:val="20"/>
        </w:rPr>
        <w:t>of the Securities Act of 1933, as amended.</w:t>
      </w:r>
    </w:p>
    <w:p>
      <w:pPr>
        <w:pStyle w:val="TextBody"/>
        <w:bidi w:val="0"/>
        <w:spacing w:before="117" w:after="0"/>
        <w:ind w:left="1100" w:right="144" w:hanging="360"/>
        <w:jc w:val="left"/>
        <w:rPr/>
      </w:pPr>
      <w:r>
        <w:rPr/>
        <w:t></w:t>
      </w:r>
      <w:r>
        <w:rPr>
          <w:caps w:val="false"/>
          <w:smallCaps w:val="false"/>
        </w:rPr>
        <w:t xml:space="preserve">         </w:t>
      </w:r>
      <w:r>
        <w:rPr>
          <w:sz w:val="20"/>
        </w:rPr>
        <w:t>The Rule 10b5-1 trading plan must comply with and be adopted in accordance with the such other requirements as may be directed by EWI’s General Counsel, which may include without limitation the imposition of a cooling off period between the adoption or amendment</w:t>
      </w:r>
      <w:r>
        <w:rPr>
          <w:spacing w:val="-4"/>
          <w:sz w:val="20"/>
        </w:rPr>
        <w:t xml:space="preserve"> </w:t>
      </w:r>
      <w:r>
        <w:rPr>
          <w:sz w:val="20"/>
        </w:rPr>
        <w:t>of</w:t>
      </w:r>
      <w:r>
        <w:rPr>
          <w:spacing w:val="-9"/>
          <w:sz w:val="20"/>
        </w:rPr>
        <w:t xml:space="preserve"> </w:t>
      </w:r>
      <w:r>
        <w:rPr>
          <w:sz w:val="20"/>
        </w:rPr>
        <w:t>the</w:t>
      </w:r>
      <w:r>
        <w:rPr>
          <w:spacing w:val="-5"/>
          <w:sz w:val="20"/>
        </w:rPr>
        <w:t xml:space="preserve"> </w:t>
      </w:r>
      <w:r>
        <w:rPr>
          <w:sz w:val="20"/>
        </w:rPr>
        <w:t>Rule</w:t>
      </w:r>
      <w:r>
        <w:rPr>
          <w:spacing w:val="-5"/>
          <w:sz w:val="20"/>
        </w:rPr>
        <w:t xml:space="preserve"> </w:t>
      </w:r>
      <w:r>
        <w:rPr>
          <w:sz w:val="20"/>
        </w:rPr>
        <w:t>10b5-1</w:t>
      </w:r>
      <w:r>
        <w:rPr>
          <w:spacing w:val="-8"/>
          <w:sz w:val="20"/>
        </w:rPr>
        <w:t xml:space="preserve"> </w:t>
      </w:r>
      <w:r>
        <w:rPr>
          <w:sz w:val="20"/>
        </w:rPr>
        <w:t>trading</w:t>
      </w:r>
      <w:r>
        <w:rPr>
          <w:spacing w:val="-8"/>
          <w:sz w:val="20"/>
        </w:rPr>
        <w:t xml:space="preserve"> </w:t>
      </w:r>
      <w:r>
        <w:rPr>
          <w:sz w:val="20"/>
        </w:rPr>
        <w:t>plan</w:t>
      </w:r>
      <w:r>
        <w:rPr>
          <w:spacing w:val="-8"/>
          <w:sz w:val="20"/>
        </w:rPr>
        <w:t xml:space="preserve"> </w:t>
      </w:r>
      <w:r>
        <w:rPr>
          <w:sz w:val="20"/>
        </w:rPr>
        <w:t>and</w:t>
      </w:r>
      <w:r>
        <w:rPr>
          <w:spacing w:val="-8"/>
          <w:sz w:val="20"/>
        </w:rPr>
        <w:t xml:space="preserve"> </w:t>
      </w:r>
      <w:r>
        <w:rPr>
          <w:sz w:val="20"/>
        </w:rPr>
        <w:t>the</w:t>
      </w:r>
      <w:r>
        <w:rPr>
          <w:spacing w:val="-7"/>
          <w:sz w:val="20"/>
        </w:rPr>
        <w:t xml:space="preserve"> </w:t>
      </w:r>
      <w:r>
        <w:rPr>
          <w:sz w:val="20"/>
        </w:rPr>
        <w:t>first</w:t>
      </w:r>
      <w:r>
        <w:rPr>
          <w:spacing w:val="-7"/>
          <w:sz w:val="20"/>
        </w:rPr>
        <w:t xml:space="preserve"> </w:t>
      </w:r>
      <w:r>
        <w:rPr>
          <w:sz w:val="20"/>
        </w:rPr>
        <w:t>transaction</w:t>
      </w:r>
      <w:r>
        <w:rPr>
          <w:spacing w:val="-10"/>
          <w:sz w:val="20"/>
        </w:rPr>
        <w:t xml:space="preserve"> </w:t>
      </w:r>
      <w:r>
        <w:rPr>
          <w:sz w:val="20"/>
        </w:rPr>
        <w:t>under</w:t>
      </w:r>
      <w:r>
        <w:rPr>
          <w:spacing w:val="-7"/>
          <w:sz w:val="20"/>
        </w:rPr>
        <w:t xml:space="preserve"> </w:t>
      </w:r>
      <w:r>
        <w:rPr>
          <w:sz w:val="20"/>
        </w:rPr>
        <w:t>the</w:t>
      </w:r>
      <w:r>
        <w:rPr>
          <w:spacing w:val="-2"/>
          <w:sz w:val="20"/>
        </w:rPr>
        <w:t xml:space="preserve"> </w:t>
      </w:r>
      <w:r>
        <w:rPr>
          <w:sz w:val="20"/>
        </w:rPr>
        <w:t>Rule</w:t>
      </w:r>
      <w:r>
        <w:rPr>
          <w:spacing w:val="-10"/>
          <w:sz w:val="20"/>
        </w:rPr>
        <w:t xml:space="preserve"> </w:t>
      </w:r>
      <w:r>
        <w:rPr>
          <w:sz w:val="20"/>
        </w:rPr>
        <w:t>10b5- 1</w:t>
      </w:r>
      <w:r>
        <w:rPr>
          <w:spacing w:val="-3"/>
          <w:sz w:val="20"/>
        </w:rPr>
        <w:t xml:space="preserve"> </w:t>
      </w:r>
      <w:r>
        <w:rPr>
          <w:sz w:val="20"/>
        </w:rPr>
        <w:t>trading</w:t>
      </w:r>
      <w:r>
        <w:rPr>
          <w:spacing w:val="-8"/>
          <w:sz w:val="20"/>
        </w:rPr>
        <w:t xml:space="preserve"> </w:t>
      </w:r>
      <w:r>
        <w:rPr>
          <w:sz w:val="20"/>
        </w:rPr>
        <w:t>plan</w:t>
      </w:r>
      <w:r>
        <w:rPr>
          <w:spacing w:val="-3"/>
          <w:sz w:val="20"/>
        </w:rPr>
        <w:t xml:space="preserve"> </w:t>
      </w:r>
      <w:r>
        <w:rPr>
          <w:sz w:val="20"/>
        </w:rPr>
        <w:t>or</w:t>
      </w:r>
      <w:r>
        <w:rPr>
          <w:spacing w:val="-7"/>
          <w:sz w:val="20"/>
        </w:rPr>
        <w:t xml:space="preserve"> </w:t>
      </w:r>
      <w:r>
        <w:rPr>
          <w:sz w:val="20"/>
        </w:rPr>
        <w:t>between</w:t>
      </w:r>
      <w:r>
        <w:rPr>
          <w:spacing w:val="-8"/>
          <w:sz w:val="20"/>
        </w:rPr>
        <w:t xml:space="preserve"> </w:t>
      </w:r>
      <w:r>
        <w:rPr>
          <w:sz w:val="20"/>
        </w:rPr>
        <w:t>the</w:t>
      </w:r>
      <w:r>
        <w:rPr>
          <w:spacing w:val="-5"/>
          <w:sz w:val="20"/>
        </w:rPr>
        <w:t xml:space="preserve"> </w:t>
      </w:r>
      <w:r>
        <w:rPr>
          <w:sz w:val="20"/>
        </w:rPr>
        <w:t>termination</w:t>
      </w:r>
      <w:r>
        <w:rPr>
          <w:spacing w:val="-3"/>
          <w:sz w:val="20"/>
        </w:rPr>
        <w:t xml:space="preserve"> </w:t>
      </w:r>
      <w:r>
        <w:rPr>
          <w:sz w:val="20"/>
        </w:rPr>
        <w:t>of</w:t>
      </w:r>
      <w:r>
        <w:rPr>
          <w:spacing w:val="-7"/>
          <w:sz w:val="20"/>
        </w:rPr>
        <w:t xml:space="preserve"> </w:t>
      </w:r>
      <w:r>
        <w:rPr>
          <w:sz w:val="20"/>
        </w:rPr>
        <w:t>a</w:t>
      </w:r>
      <w:r>
        <w:rPr>
          <w:spacing w:val="-1"/>
          <w:sz w:val="20"/>
        </w:rPr>
        <w:t xml:space="preserve"> </w:t>
      </w:r>
      <w:r>
        <w:rPr>
          <w:sz w:val="20"/>
        </w:rPr>
        <w:t>Rule</w:t>
      </w:r>
      <w:r>
        <w:rPr>
          <w:spacing w:val="-5"/>
          <w:sz w:val="20"/>
        </w:rPr>
        <w:t xml:space="preserve"> </w:t>
      </w:r>
      <w:r>
        <w:rPr>
          <w:sz w:val="20"/>
        </w:rPr>
        <w:t>10b5-1</w:t>
      </w:r>
      <w:r>
        <w:rPr>
          <w:spacing w:val="-6"/>
          <w:sz w:val="20"/>
        </w:rPr>
        <w:t xml:space="preserve"> </w:t>
      </w:r>
      <w:r>
        <w:rPr>
          <w:sz w:val="20"/>
        </w:rPr>
        <w:t>trading</w:t>
      </w:r>
      <w:r>
        <w:rPr>
          <w:spacing w:val="-8"/>
          <w:sz w:val="20"/>
        </w:rPr>
        <w:t xml:space="preserve"> </w:t>
      </w:r>
      <w:r>
        <w:rPr>
          <w:sz w:val="20"/>
        </w:rPr>
        <w:t>plan</w:t>
      </w:r>
      <w:r>
        <w:rPr>
          <w:spacing w:val="-3"/>
          <w:sz w:val="20"/>
        </w:rPr>
        <w:t xml:space="preserve"> </w:t>
      </w:r>
      <w:r>
        <w:rPr>
          <w:sz w:val="20"/>
        </w:rPr>
        <w:t>and</w:t>
      </w:r>
      <w:r>
        <w:rPr>
          <w:spacing w:val="-8"/>
          <w:sz w:val="20"/>
        </w:rPr>
        <w:t xml:space="preserve"> </w:t>
      </w:r>
      <w:r>
        <w:rPr>
          <w:sz w:val="20"/>
        </w:rPr>
        <w:t>adoption</w:t>
      </w:r>
      <w:r>
        <w:rPr>
          <w:spacing w:val="-3"/>
          <w:sz w:val="20"/>
        </w:rPr>
        <w:t xml:space="preserve"> </w:t>
      </w:r>
      <w:r>
        <w:rPr>
          <w:sz w:val="20"/>
        </w:rPr>
        <w:t>of</w:t>
      </w:r>
      <w:r>
        <w:rPr>
          <w:spacing w:val="-5"/>
          <w:sz w:val="20"/>
        </w:rPr>
        <w:t xml:space="preserve"> </w:t>
      </w:r>
      <w:r>
        <w:rPr>
          <w:sz w:val="20"/>
        </w:rPr>
        <w:t>a new Rule 10b5-1 trading plan.</w:t>
      </w:r>
    </w:p>
    <w:p>
      <w:pPr>
        <w:pStyle w:val="TextBody"/>
        <w:bidi w:val="0"/>
        <w:spacing w:before="238" w:after="0"/>
        <w:ind w:left="22" w:right="355" w:firstLine="720"/>
        <w:jc w:val="left"/>
        <w:rPr>
          <w:sz w:val="20"/>
        </w:rPr>
      </w:pPr>
      <w:r>
        <w:rPr>
          <w:sz w:val="20"/>
        </w:rPr>
        <w:t>4.</w:t>
      </w:r>
      <w:r>
        <w:rPr>
          <w:caps w:val="false"/>
          <w:smallCaps w:val="false"/>
          <w:sz w:val="20"/>
        </w:rPr>
        <w:t xml:space="preserve">                    </w:t>
      </w:r>
      <w:r>
        <w:rPr>
          <w:sz w:val="20"/>
          <w:u w:val="single"/>
        </w:rPr>
        <w:t>Margin Accounts and Pledges</w:t>
      </w:r>
      <w:r>
        <w:rPr>
          <w:sz w:val="20"/>
        </w:rPr>
        <w:t>. Covered Persons are prohibited from holding Company</w:t>
      </w:r>
      <w:r>
        <w:rPr>
          <w:spacing w:val="-10"/>
          <w:sz w:val="20"/>
        </w:rPr>
        <w:t xml:space="preserve"> </w:t>
      </w:r>
      <w:r>
        <w:rPr>
          <w:sz w:val="20"/>
        </w:rPr>
        <w:t>securities</w:t>
      </w:r>
      <w:r>
        <w:rPr>
          <w:spacing w:val="-10"/>
          <w:sz w:val="20"/>
        </w:rPr>
        <w:t xml:space="preserve"> </w:t>
      </w:r>
      <w:r>
        <w:rPr>
          <w:sz w:val="20"/>
        </w:rPr>
        <w:t>in</w:t>
      </w:r>
      <w:r>
        <w:rPr>
          <w:spacing w:val="-10"/>
          <w:sz w:val="20"/>
        </w:rPr>
        <w:t xml:space="preserve"> </w:t>
      </w:r>
      <w:r>
        <w:rPr>
          <w:sz w:val="20"/>
        </w:rPr>
        <w:t>a</w:t>
      </w:r>
      <w:r>
        <w:rPr>
          <w:spacing w:val="-8"/>
          <w:sz w:val="20"/>
        </w:rPr>
        <w:t xml:space="preserve"> </w:t>
      </w:r>
      <w:r>
        <w:rPr>
          <w:sz w:val="20"/>
        </w:rPr>
        <w:t>margin</w:t>
      </w:r>
      <w:r>
        <w:rPr>
          <w:spacing w:val="-8"/>
          <w:sz w:val="20"/>
        </w:rPr>
        <w:t xml:space="preserve"> </w:t>
      </w:r>
      <w:r>
        <w:rPr>
          <w:sz w:val="20"/>
        </w:rPr>
        <w:t>account</w:t>
      </w:r>
      <w:r>
        <w:rPr>
          <w:spacing w:val="-8"/>
          <w:sz w:val="20"/>
        </w:rPr>
        <w:t xml:space="preserve"> </w:t>
      </w:r>
      <w:r>
        <w:rPr>
          <w:sz w:val="20"/>
        </w:rPr>
        <w:t>or</w:t>
      </w:r>
      <w:r>
        <w:rPr>
          <w:spacing w:val="-5"/>
          <w:sz w:val="20"/>
        </w:rPr>
        <w:t xml:space="preserve"> </w:t>
      </w:r>
      <w:r>
        <w:rPr>
          <w:sz w:val="20"/>
        </w:rPr>
        <w:t>pledging</w:t>
      </w:r>
      <w:r>
        <w:rPr>
          <w:spacing w:val="-10"/>
          <w:sz w:val="20"/>
        </w:rPr>
        <w:t xml:space="preserve"> </w:t>
      </w:r>
      <w:r>
        <w:rPr>
          <w:sz w:val="20"/>
        </w:rPr>
        <w:t>Company</w:t>
      </w:r>
      <w:r>
        <w:rPr>
          <w:spacing w:val="-8"/>
          <w:sz w:val="20"/>
        </w:rPr>
        <w:t xml:space="preserve"> </w:t>
      </w:r>
      <w:r>
        <w:rPr>
          <w:sz w:val="20"/>
        </w:rPr>
        <w:t>securities</w:t>
      </w:r>
      <w:r>
        <w:rPr>
          <w:spacing w:val="-8"/>
          <w:sz w:val="20"/>
        </w:rPr>
        <w:t xml:space="preserve"> </w:t>
      </w:r>
      <w:r>
        <w:rPr>
          <w:sz w:val="20"/>
        </w:rPr>
        <w:t>as</w:t>
      </w:r>
      <w:r>
        <w:rPr>
          <w:spacing w:val="-10"/>
          <w:sz w:val="20"/>
        </w:rPr>
        <w:t xml:space="preserve"> </w:t>
      </w:r>
      <w:r>
        <w:rPr>
          <w:sz w:val="20"/>
        </w:rPr>
        <w:t>collateral</w:t>
      </w:r>
      <w:r>
        <w:rPr>
          <w:spacing w:val="-5"/>
          <w:sz w:val="20"/>
        </w:rPr>
        <w:t xml:space="preserve"> </w:t>
      </w:r>
      <w:r>
        <w:rPr>
          <w:sz w:val="20"/>
        </w:rPr>
        <w:t>for</w:t>
      </w:r>
      <w:r>
        <w:rPr>
          <w:spacing w:val="-5"/>
          <w:sz w:val="20"/>
        </w:rPr>
        <w:t xml:space="preserve"> </w:t>
      </w:r>
      <w:r>
        <w:rPr>
          <w:sz w:val="20"/>
        </w:rPr>
        <w:t>a</w:t>
      </w:r>
      <w:r>
        <w:rPr>
          <w:spacing w:val="-10"/>
          <w:sz w:val="20"/>
        </w:rPr>
        <w:t xml:space="preserve"> </w:t>
      </w:r>
      <w:r>
        <w:rPr>
          <w:sz w:val="20"/>
        </w:rPr>
        <w:t>loan.</w:t>
      </w:r>
      <w:r>
        <w:rPr>
          <w:spacing w:val="-8"/>
          <w:sz w:val="20"/>
        </w:rPr>
        <w:t xml:space="preserve"> </w:t>
      </w:r>
      <w:r>
        <w:rPr>
          <w:sz w:val="20"/>
        </w:rPr>
        <w:t>An exception to</w:t>
      </w:r>
      <w:r>
        <w:rPr>
          <w:spacing w:val="-2"/>
          <w:sz w:val="20"/>
        </w:rPr>
        <w:t xml:space="preserve"> </w:t>
      </w:r>
      <w:r>
        <w:rPr>
          <w:sz w:val="20"/>
        </w:rPr>
        <w:t>this prohibition</w:t>
      </w:r>
      <w:r>
        <w:rPr>
          <w:spacing w:val="-2"/>
          <w:sz w:val="20"/>
        </w:rPr>
        <w:t xml:space="preserve"> </w:t>
      </w:r>
      <w:r>
        <w:rPr>
          <w:sz w:val="20"/>
        </w:rPr>
        <w:t>may be granted where a Covered Person wishes to</w:t>
      </w:r>
      <w:r>
        <w:rPr>
          <w:spacing w:val="-2"/>
          <w:sz w:val="20"/>
        </w:rPr>
        <w:t xml:space="preserve"> </w:t>
      </w:r>
      <w:r>
        <w:rPr>
          <w:sz w:val="20"/>
        </w:rPr>
        <w:t>pledge Company securities</w:t>
      </w:r>
      <w:r>
        <w:rPr>
          <w:spacing w:val="-3"/>
          <w:sz w:val="20"/>
        </w:rPr>
        <w:t xml:space="preserve"> </w:t>
      </w:r>
      <w:r>
        <w:rPr>
          <w:sz w:val="20"/>
        </w:rPr>
        <w:t>as</w:t>
      </w:r>
      <w:r>
        <w:rPr>
          <w:spacing w:val="-1"/>
          <w:sz w:val="20"/>
        </w:rPr>
        <w:t xml:space="preserve"> </w:t>
      </w:r>
      <w:r>
        <w:rPr>
          <w:sz w:val="20"/>
        </w:rPr>
        <w:t>collateral for a</w:t>
      </w:r>
      <w:r>
        <w:rPr>
          <w:spacing w:val="-6"/>
          <w:sz w:val="20"/>
        </w:rPr>
        <w:t xml:space="preserve"> </w:t>
      </w:r>
      <w:r>
        <w:rPr>
          <w:sz w:val="20"/>
        </w:rPr>
        <w:t>loan</w:t>
      </w:r>
      <w:r>
        <w:rPr>
          <w:spacing w:val="-6"/>
          <w:sz w:val="20"/>
        </w:rPr>
        <w:t xml:space="preserve"> </w:t>
      </w:r>
      <w:r>
        <w:rPr>
          <w:sz w:val="20"/>
        </w:rPr>
        <w:t>(not</w:t>
      </w:r>
      <w:r>
        <w:rPr>
          <w:spacing w:val="-3"/>
          <w:sz w:val="20"/>
        </w:rPr>
        <w:t xml:space="preserve"> </w:t>
      </w:r>
      <w:r>
        <w:rPr>
          <w:sz w:val="20"/>
        </w:rPr>
        <w:t>including</w:t>
      </w:r>
      <w:r>
        <w:rPr>
          <w:spacing w:val="-8"/>
          <w:sz w:val="20"/>
        </w:rPr>
        <w:t xml:space="preserve"> </w:t>
      </w:r>
      <w:r>
        <w:rPr>
          <w:sz w:val="20"/>
        </w:rPr>
        <w:t>margin</w:t>
      </w:r>
      <w:r>
        <w:rPr>
          <w:spacing w:val="-4"/>
          <w:sz w:val="20"/>
        </w:rPr>
        <w:t xml:space="preserve"> </w:t>
      </w:r>
      <w:r>
        <w:rPr>
          <w:sz w:val="20"/>
        </w:rPr>
        <w:t>debt) and</w:t>
      </w:r>
      <w:r>
        <w:rPr>
          <w:spacing w:val="-6"/>
          <w:sz w:val="20"/>
        </w:rPr>
        <w:t xml:space="preserve"> </w:t>
      </w:r>
      <w:r>
        <w:rPr>
          <w:sz w:val="20"/>
        </w:rPr>
        <w:t>clearly</w:t>
      </w:r>
      <w:r>
        <w:rPr>
          <w:spacing w:val="-6"/>
          <w:sz w:val="20"/>
        </w:rPr>
        <w:t xml:space="preserve"> </w:t>
      </w:r>
      <w:r>
        <w:rPr>
          <w:sz w:val="20"/>
        </w:rPr>
        <w:t>demonstrates</w:t>
      </w:r>
      <w:r>
        <w:rPr>
          <w:spacing w:val="-6"/>
          <w:sz w:val="20"/>
        </w:rPr>
        <w:t xml:space="preserve"> </w:t>
      </w:r>
      <w:r>
        <w:rPr>
          <w:sz w:val="20"/>
        </w:rPr>
        <w:t>the</w:t>
      </w:r>
      <w:r>
        <w:rPr>
          <w:spacing w:val="-3"/>
          <w:sz w:val="20"/>
        </w:rPr>
        <w:t xml:space="preserve"> </w:t>
      </w:r>
      <w:r>
        <w:rPr>
          <w:sz w:val="20"/>
        </w:rPr>
        <w:t>financial capacity to repay the loan without resort to the pledged securities. If a Covered Person wishes to pledge Company securities as collateral for a</w:t>
      </w:r>
      <w:r>
        <w:rPr>
          <w:spacing w:val="-1"/>
          <w:sz w:val="20"/>
        </w:rPr>
        <w:t xml:space="preserve"> </w:t>
      </w:r>
      <w:r>
        <w:rPr>
          <w:sz w:val="20"/>
        </w:rPr>
        <w:t>loan, the</w:t>
      </w:r>
      <w:r>
        <w:rPr>
          <w:spacing w:val="-1"/>
          <w:sz w:val="20"/>
        </w:rPr>
        <w:t xml:space="preserve"> </w:t>
      </w:r>
      <w:r>
        <w:rPr>
          <w:sz w:val="20"/>
        </w:rPr>
        <w:t>Covered Person must submit a</w:t>
      </w:r>
      <w:r>
        <w:rPr>
          <w:spacing w:val="-1"/>
          <w:sz w:val="20"/>
        </w:rPr>
        <w:t xml:space="preserve"> </w:t>
      </w:r>
      <w:r>
        <w:rPr>
          <w:sz w:val="20"/>
        </w:rPr>
        <w:t>request for approval to EWI’s General Counsel prior to the proposed execution of documents evidencing the proposed pledge.</w:t>
      </w:r>
    </w:p>
    <w:p>
      <w:pPr>
        <w:pStyle w:val="TextBody"/>
        <w:bidi w:val="0"/>
        <w:spacing w:before="239" w:after="0"/>
        <w:ind w:left="21" w:right="171" w:firstLine="721"/>
        <w:jc w:val="left"/>
        <w:rPr>
          <w:sz w:val="20"/>
        </w:rPr>
      </w:pPr>
      <w:r>
        <w:rPr>
          <w:sz w:val="20"/>
        </w:rPr>
        <w:t>5.</w:t>
      </w:r>
      <w:r>
        <w:rPr>
          <w:caps w:val="false"/>
          <w:smallCaps w:val="false"/>
          <w:sz w:val="20"/>
        </w:rPr>
        <w:t xml:space="preserve">                    </w:t>
      </w:r>
      <w:r>
        <w:rPr>
          <w:sz w:val="20"/>
          <w:u w:val="single"/>
        </w:rPr>
        <w:t>Accelerated</w:t>
      </w:r>
      <w:r>
        <w:rPr>
          <w:spacing w:val="-6"/>
          <w:sz w:val="20"/>
          <w:u w:val="single"/>
        </w:rPr>
        <w:t xml:space="preserve"> </w:t>
      </w:r>
      <w:r>
        <w:rPr>
          <w:sz w:val="20"/>
          <w:u w:val="single"/>
        </w:rPr>
        <w:t>Filing</w:t>
      </w:r>
      <w:r>
        <w:rPr>
          <w:spacing w:val="-10"/>
          <w:sz w:val="20"/>
          <w:u w:val="single"/>
        </w:rPr>
        <w:t xml:space="preserve"> </w:t>
      </w:r>
      <w:r>
        <w:rPr>
          <w:sz w:val="20"/>
          <w:u w:val="single"/>
        </w:rPr>
        <w:t>of</w:t>
      </w:r>
      <w:r>
        <w:rPr>
          <w:spacing w:val="-7"/>
          <w:sz w:val="20"/>
          <w:u w:val="single"/>
        </w:rPr>
        <w:t xml:space="preserve"> </w:t>
      </w:r>
      <w:r>
        <w:rPr>
          <w:sz w:val="20"/>
          <w:u w:val="single"/>
        </w:rPr>
        <w:t>Reports</w:t>
      </w:r>
      <w:r>
        <w:rPr>
          <w:spacing w:val="-7"/>
          <w:sz w:val="20"/>
          <w:u w:val="single"/>
        </w:rPr>
        <w:t xml:space="preserve"> </w:t>
      </w:r>
      <w:r>
        <w:rPr>
          <w:sz w:val="20"/>
          <w:u w:val="single"/>
        </w:rPr>
        <w:t>for</w:t>
      </w:r>
      <w:r>
        <w:rPr>
          <w:spacing w:val="-5"/>
          <w:sz w:val="20"/>
          <w:u w:val="single"/>
        </w:rPr>
        <w:t xml:space="preserve"> </w:t>
      </w:r>
      <w:r>
        <w:rPr>
          <w:sz w:val="20"/>
          <w:u w:val="single"/>
        </w:rPr>
        <w:t>Persons</w:t>
      </w:r>
      <w:r>
        <w:rPr>
          <w:spacing w:val="-6"/>
          <w:sz w:val="20"/>
          <w:u w:val="single"/>
        </w:rPr>
        <w:t xml:space="preserve"> </w:t>
      </w:r>
      <w:r>
        <w:rPr>
          <w:sz w:val="20"/>
          <w:u w:val="single"/>
        </w:rPr>
        <w:t>Subject</w:t>
      </w:r>
      <w:r>
        <w:rPr>
          <w:spacing w:val="-7"/>
          <w:sz w:val="20"/>
          <w:u w:val="single"/>
        </w:rPr>
        <w:t xml:space="preserve"> </w:t>
      </w:r>
      <w:r>
        <w:rPr>
          <w:sz w:val="20"/>
          <w:u w:val="single"/>
        </w:rPr>
        <w:t>to</w:t>
      </w:r>
      <w:r>
        <w:rPr>
          <w:spacing w:val="-8"/>
          <w:sz w:val="20"/>
          <w:u w:val="single"/>
        </w:rPr>
        <w:t xml:space="preserve"> </w:t>
      </w:r>
      <w:r>
        <w:rPr>
          <w:sz w:val="20"/>
          <w:u w:val="single"/>
        </w:rPr>
        <w:t>Section</w:t>
      </w:r>
      <w:r>
        <w:rPr>
          <w:spacing w:val="-6"/>
          <w:sz w:val="20"/>
          <w:u w:val="single"/>
        </w:rPr>
        <w:t xml:space="preserve"> </w:t>
      </w:r>
      <w:r>
        <w:rPr>
          <w:sz w:val="20"/>
          <w:u w:val="single"/>
        </w:rPr>
        <w:t>16</w:t>
      </w:r>
      <w:r>
        <w:rPr>
          <w:spacing w:val="-10"/>
          <w:sz w:val="20"/>
          <w:u w:val="single"/>
        </w:rPr>
        <w:t xml:space="preserve"> </w:t>
      </w:r>
      <w:r>
        <w:rPr>
          <w:sz w:val="20"/>
          <w:u w:val="single"/>
        </w:rPr>
        <w:t>of</w:t>
      </w:r>
      <w:r>
        <w:rPr>
          <w:spacing w:val="-9"/>
          <w:sz w:val="20"/>
          <w:u w:val="single"/>
        </w:rPr>
        <w:t xml:space="preserve"> </w:t>
      </w:r>
      <w:r>
        <w:rPr>
          <w:sz w:val="20"/>
          <w:u w:val="single"/>
        </w:rPr>
        <w:t>the</w:t>
      </w:r>
      <w:r>
        <w:rPr>
          <w:spacing w:val="-7"/>
          <w:sz w:val="20"/>
          <w:u w:val="single"/>
        </w:rPr>
        <w:t xml:space="preserve"> </w:t>
      </w:r>
      <w:r>
        <w:rPr>
          <w:sz w:val="20"/>
          <w:u w:val="single"/>
        </w:rPr>
        <w:t>Exchange</w:t>
      </w:r>
      <w:r>
        <w:rPr>
          <w:spacing w:val="-7"/>
          <w:sz w:val="20"/>
          <w:u w:val="single"/>
        </w:rPr>
        <w:t xml:space="preserve"> </w:t>
      </w:r>
      <w:r>
        <w:rPr>
          <w:sz w:val="20"/>
          <w:u w:val="single"/>
        </w:rPr>
        <w:t>Act</w:t>
      </w:r>
      <w:r>
        <w:rPr>
          <w:sz w:val="20"/>
        </w:rPr>
        <w:t>. Directors</w:t>
      </w:r>
      <w:r>
        <w:rPr>
          <w:spacing w:val="-4"/>
          <w:sz w:val="20"/>
        </w:rPr>
        <w:t xml:space="preserve"> </w:t>
      </w:r>
      <w:r>
        <w:rPr>
          <w:sz w:val="20"/>
        </w:rPr>
        <w:t>and</w:t>
      </w:r>
      <w:r>
        <w:rPr>
          <w:spacing w:val="-4"/>
          <w:sz w:val="20"/>
        </w:rPr>
        <w:t xml:space="preserve"> </w:t>
      </w:r>
      <w:r>
        <w:rPr>
          <w:sz w:val="20"/>
        </w:rPr>
        <w:t>executive</w:t>
      </w:r>
      <w:r>
        <w:rPr>
          <w:spacing w:val="-6"/>
          <w:sz w:val="20"/>
        </w:rPr>
        <w:t xml:space="preserve"> </w:t>
      </w:r>
      <w:r>
        <w:rPr>
          <w:sz w:val="20"/>
        </w:rPr>
        <w:t>officers</w:t>
      </w:r>
      <w:r>
        <w:rPr>
          <w:spacing w:val="-6"/>
          <w:sz w:val="20"/>
        </w:rPr>
        <w:t xml:space="preserve"> </w:t>
      </w:r>
      <w:r>
        <w:rPr>
          <w:sz w:val="20"/>
        </w:rPr>
        <w:t>of</w:t>
      </w:r>
      <w:r>
        <w:rPr>
          <w:spacing w:val="-6"/>
          <w:sz w:val="20"/>
        </w:rPr>
        <w:t xml:space="preserve"> </w:t>
      </w:r>
      <w:r>
        <w:rPr>
          <w:sz w:val="20"/>
        </w:rPr>
        <w:t>the</w:t>
      </w:r>
      <w:r>
        <w:rPr>
          <w:spacing w:val="-4"/>
          <w:sz w:val="20"/>
        </w:rPr>
        <w:t xml:space="preserve"> </w:t>
      </w:r>
      <w:r>
        <w:rPr>
          <w:sz w:val="20"/>
        </w:rPr>
        <w:t>Company</w:t>
      </w:r>
      <w:r>
        <w:rPr>
          <w:spacing w:val="-8"/>
          <w:sz w:val="20"/>
        </w:rPr>
        <w:t xml:space="preserve"> </w:t>
      </w:r>
      <w:r>
        <w:rPr>
          <w:sz w:val="20"/>
        </w:rPr>
        <w:t>subject</w:t>
      </w:r>
      <w:r>
        <w:rPr>
          <w:spacing w:val="-6"/>
          <w:sz w:val="20"/>
        </w:rPr>
        <w:t xml:space="preserve"> </w:t>
      </w:r>
      <w:r>
        <w:rPr>
          <w:sz w:val="20"/>
        </w:rPr>
        <w:t>to</w:t>
      </w:r>
      <w:r>
        <w:rPr>
          <w:spacing w:val="-7"/>
          <w:sz w:val="20"/>
        </w:rPr>
        <w:t xml:space="preserve"> </w:t>
      </w:r>
      <w:r>
        <w:rPr>
          <w:sz w:val="20"/>
        </w:rPr>
        <w:t>Section</w:t>
      </w:r>
      <w:r>
        <w:rPr>
          <w:spacing w:val="-4"/>
          <w:sz w:val="20"/>
        </w:rPr>
        <w:t xml:space="preserve"> </w:t>
      </w:r>
      <w:r>
        <w:rPr>
          <w:sz w:val="20"/>
        </w:rPr>
        <w:t>16</w:t>
      </w:r>
      <w:r>
        <w:rPr>
          <w:spacing w:val="-4"/>
          <w:sz w:val="20"/>
        </w:rPr>
        <w:t xml:space="preserve"> </w:t>
      </w:r>
      <w:r>
        <w:rPr>
          <w:sz w:val="20"/>
        </w:rPr>
        <w:t>of</w:t>
      </w:r>
      <w:r>
        <w:rPr>
          <w:spacing w:val="-8"/>
          <w:sz w:val="20"/>
        </w:rPr>
        <w:t xml:space="preserve"> </w:t>
      </w:r>
      <w:r>
        <w:rPr>
          <w:sz w:val="20"/>
        </w:rPr>
        <w:t>the</w:t>
      </w:r>
      <w:r>
        <w:rPr>
          <w:spacing w:val="-6"/>
          <w:sz w:val="20"/>
        </w:rPr>
        <w:t xml:space="preserve"> </w:t>
      </w:r>
      <w:r>
        <w:rPr>
          <w:sz w:val="20"/>
        </w:rPr>
        <w:t>Exchange</w:t>
      </w:r>
      <w:r>
        <w:rPr>
          <w:spacing w:val="-4"/>
          <w:sz w:val="20"/>
        </w:rPr>
        <w:t xml:space="preserve"> </w:t>
      </w:r>
      <w:r>
        <w:rPr>
          <w:sz w:val="20"/>
        </w:rPr>
        <w:t>Act</w:t>
      </w:r>
      <w:r>
        <w:rPr>
          <w:spacing w:val="-6"/>
          <w:sz w:val="20"/>
        </w:rPr>
        <w:t xml:space="preserve"> </w:t>
      </w:r>
      <w:r>
        <w:rPr>
          <w:sz w:val="20"/>
        </w:rPr>
        <w:t>(“Section 16 Insiders”) must file beneficial ownership reports</w:t>
      </w:r>
      <w:r>
        <w:rPr>
          <w:spacing w:val="-1"/>
          <w:sz w:val="20"/>
        </w:rPr>
        <w:t xml:space="preserve"> </w:t>
      </w:r>
      <w:r>
        <w:rPr>
          <w:sz w:val="20"/>
        </w:rPr>
        <w:t>regarding</w:t>
      </w:r>
      <w:r>
        <w:rPr>
          <w:spacing w:val="-3"/>
          <w:sz w:val="20"/>
        </w:rPr>
        <w:t xml:space="preserve"> </w:t>
      </w:r>
      <w:r>
        <w:rPr>
          <w:sz w:val="20"/>
        </w:rPr>
        <w:t>their ownership of and transactions in Company</w:t>
      </w:r>
      <w:r>
        <w:rPr>
          <w:spacing w:val="-10"/>
          <w:sz w:val="20"/>
        </w:rPr>
        <w:t xml:space="preserve"> </w:t>
      </w:r>
      <w:r>
        <w:rPr>
          <w:sz w:val="20"/>
        </w:rPr>
        <w:t>securities</w:t>
      </w:r>
      <w:r>
        <w:rPr>
          <w:spacing w:val="-10"/>
          <w:sz w:val="20"/>
        </w:rPr>
        <w:t xml:space="preserve"> </w:t>
      </w:r>
      <w:r>
        <w:rPr>
          <w:sz w:val="20"/>
        </w:rPr>
        <w:t>pursuant</w:t>
      </w:r>
      <w:r>
        <w:rPr>
          <w:spacing w:val="-5"/>
          <w:sz w:val="20"/>
        </w:rPr>
        <w:t xml:space="preserve"> </w:t>
      </w:r>
      <w:r>
        <w:rPr>
          <w:sz w:val="20"/>
        </w:rPr>
        <w:t>to</w:t>
      </w:r>
      <w:r>
        <w:rPr>
          <w:spacing w:val="-10"/>
          <w:sz w:val="20"/>
        </w:rPr>
        <w:t xml:space="preserve"> </w:t>
      </w:r>
      <w:r>
        <w:rPr>
          <w:sz w:val="20"/>
        </w:rPr>
        <w:t>Section</w:t>
      </w:r>
      <w:r>
        <w:rPr>
          <w:spacing w:val="-9"/>
          <w:sz w:val="20"/>
        </w:rPr>
        <w:t xml:space="preserve"> </w:t>
      </w:r>
      <w:r>
        <w:rPr>
          <w:sz w:val="20"/>
        </w:rPr>
        <w:t>l6(a)</w:t>
      </w:r>
      <w:r>
        <w:rPr>
          <w:spacing w:val="-8"/>
          <w:sz w:val="20"/>
        </w:rPr>
        <w:t xml:space="preserve"> </w:t>
      </w:r>
      <w:r>
        <w:rPr>
          <w:sz w:val="20"/>
        </w:rPr>
        <w:t>of</w:t>
      </w:r>
      <w:r>
        <w:rPr>
          <w:spacing w:val="-8"/>
          <w:sz w:val="20"/>
        </w:rPr>
        <w:t xml:space="preserve"> </w:t>
      </w:r>
      <w:r>
        <w:rPr>
          <w:sz w:val="20"/>
        </w:rPr>
        <w:t>the</w:t>
      </w:r>
      <w:r>
        <w:rPr>
          <w:spacing w:val="-6"/>
          <w:sz w:val="20"/>
        </w:rPr>
        <w:t xml:space="preserve"> </w:t>
      </w:r>
      <w:r>
        <w:rPr>
          <w:sz w:val="20"/>
        </w:rPr>
        <w:t>Exchange</w:t>
      </w:r>
      <w:r>
        <w:rPr>
          <w:spacing w:val="-8"/>
          <w:sz w:val="20"/>
        </w:rPr>
        <w:t xml:space="preserve"> </w:t>
      </w:r>
      <w:r>
        <w:rPr>
          <w:sz w:val="20"/>
        </w:rPr>
        <w:t>Act,</w:t>
      </w:r>
      <w:r>
        <w:rPr>
          <w:spacing w:val="-10"/>
          <w:sz w:val="20"/>
        </w:rPr>
        <w:t xml:space="preserve"> </w:t>
      </w:r>
      <w:r>
        <w:rPr>
          <w:sz w:val="20"/>
        </w:rPr>
        <w:t>and</w:t>
      </w:r>
      <w:r>
        <w:rPr>
          <w:spacing w:val="-9"/>
          <w:sz w:val="20"/>
        </w:rPr>
        <w:t xml:space="preserve"> </w:t>
      </w:r>
      <w:r>
        <w:rPr>
          <w:sz w:val="20"/>
        </w:rPr>
        <w:t>are</w:t>
      </w:r>
      <w:r>
        <w:rPr>
          <w:spacing w:val="-8"/>
          <w:sz w:val="20"/>
        </w:rPr>
        <w:t xml:space="preserve"> </w:t>
      </w:r>
      <w:r>
        <w:rPr>
          <w:sz w:val="20"/>
        </w:rPr>
        <w:t>subject</w:t>
      </w:r>
      <w:r>
        <w:rPr>
          <w:spacing w:val="-10"/>
          <w:sz w:val="20"/>
        </w:rPr>
        <w:t xml:space="preserve"> </w:t>
      </w:r>
      <w:r>
        <w:rPr>
          <w:sz w:val="20"/>
        </w:rPr>
        <w:t>to</w:t>
      </w:r>
      <w:r>
        <w:rPr>
          <w:spacing w:val="-6"/>
          <w:sz w:val="20"/>
        </w:rPr>
        <w:t xml:space="preserve"> </w:t>
      </w:r>
      <w:r>
        <w:rPr>
          <w:sz w:val="20"/>
        </w:rPr>
        <w:t>disgorgement</w:t>
      </w:r>
      <w:r>
        <w:rPr>
          <w:spacing w:val="-5"/>
          <w:sz w:val="20"/>
        </w:rPr>
        <w:t xml:space="preserve"> </w:t>
      </w:r>
      <w:r>
        <w:rPr>
          <w:sz w:val="20"/>
        </w:rPr>
        <w:t>of “short-swing” profits pursuant to Section l6(b) of the Exchange Act. Under Section 16 of the Exchange</w:t>
      </w:r>
      <w:r>
        <w:rPr>
          <w:spacing w:val="-1"/>
          <w:sz w:val="20"/>
        </w:rPr>
        <w:t xml:space="preserve"> </w:t>
      </w:r>
      <w:r>
        <w:rPr>
          <w:sz w:val="20"/>
        </w:rPr>
        <w:t>Act,</w:t>
      </w:r>
      <w:r>
        <w:rPr>
          <w:spacing w:val="-6"/>
          <w:sz w:val="20"/>
        </w:rPr>
        <w:t xml:space="preserve"> </w:t>
      </w:r>
      <w:r>
        <w:rPr>
          <w:sz w:val="20"/>
        </w:rPr>
        <w:t>the</w:t>
      </w:r>
      <w:r>
        <w:rPr>
          <w:spacing w:val="-3"/>
          <w:sz w:val="20"/>
        </w:rPr>
        <w:t xml:space="preserve"> </w:t>
      </w:r>
      <w:r>
        <w:rPr>
          <w:sz w:val="20"/>
        </w:rPr>
        <w:t>due</w:t>
      </w:r>
      <w:r>
        <w:rPr>
          <w:spacing w:val="-1"/>
          <w:sz w:val="20"/>
        </w:rPr>
        <w:t xml:space="preserve"> </w:t>
      </w:r>
      <w:r>
        <w:rPr>
          <w:sz w:val="20"/>
        </w:rPr>
        <w:t>dates</w:t>
      </w:r>
      <w:r>
        <w:rPr>
          <w:spacing w:val="-3"/>
          <w:sz w:val="20"/>
        </w:rPr>
        <w:t xml:space="preserve"> </w:t>
      </w:r>
      <w:r>
        <w:rPr>
          <w:sz w:val="20"/>
        </w:rPr>
        <w:t>for beneficial</w:t>
      </w:r>
      <w:r>
        <w:rPr>
          <w:spacing w:val="-3"/>
          <w:sz w:val="20"/>
        </w:rPr>
        <w:t xml:space="preserve"> </w:t>
      </w:r>
      <w:r>
        <w:rPr>
          <w:sz w:val="20"/>
        </w:rPr>
        <w:t>ownership</w:t>
      </w:r>
      <w:r>
        <w:rPr>
          <w:spacing w:val="-6"/>
          <w:sz w:val="20"/>
        </w:rPr>
        <w:t xml:space="preserve"> </w:t>
      </w:r>
      <w:r>
        <w:rPr>
          <w:sz w:val="20"/>
        </w:rPr>
        <w:t>reports</w:t>
      </w:r>
      <w:r>
        <w:rPr>
          <w:spacing w:val="-3"/>
          <w:sz w:val="20"/>
        </w:rPr>
        <w:t xml:space="preserve"> </w:t>
      </w:r>
      <w:r>
        <w:rPr>
          <w:sz w:val="20"/>
        </w:rPr>
        <w:t>on</w:t>
      </w:r>
      <w:r>
        <w:rPr>
          <w:spacing w:val="-1"/>
          <w:sz w:val="20"/>
        </w:rPr>
        <w:t xml:space="preserve"> </w:t>
      </w:r>
      <w:r>
        <w:rPr>
          <w:sz w:val="20"/>
        </w:rPr>
        <w:t>Form</w:t>
      </w:r>
      <w:r>
        <w:rPr>
          <w:spacing w:val="-5"/>
          <w:sz w:val="20"/>
        </w:rPr>
        <w:t xml:space="preserve"> </w:t>
      </w:r>
      <w:r>
        <w:rPr>
          <w:sz w:val="20"/>
        </w:rPr>
        <w:t>4</w:t>
      </w:r>
      <w:r>
        <w:rPr>
          <w:spacing w:val="-1"/>
          <w:sz w:val="20"/>
        </w:rPr>
        <w:t xml:space="preserve"> </w:t>
      </w:r>
      <w:r>
        <w:rPr>
          <w:sz w:val="20"/>
        </w:rPr>
        <w:t>of Section</w:t>
      </w:r>
      <w:r>
        <w:rPr>
          <w:spacing w:val="-4"/>
          <w:sz w:val="20"/>
        </w:rPr>
        <w:t xml:space="preserve"> </w:t>
      </w:r>
      <w:r>
        <w:rPr>
          <w:sz w:val="20"/>
        </w:rPr>
        <w:t>16</w:t>
      </w:r>
      <w:r>
        <w:rPr>
          <w:spacing w:val="-1"/>
          <w:sz w:val="20"/>
        </w:rPr>
        <w:t xml:space="preserve"> </w:t>
      </w:r>
      <w:r>
        <w:rPr>
          <w:sz w:val="20"/>
        </w:rPr>
        <w:t>Insiders</w:t>
      </w:r>
      <w:r>
        <w:rPr>
          <w:spacing w:val="-3"/>
          <w:sz w:val="20"/>
        </w:rPr>
        <w:t xml:space="preserve"> </w:t>
      </w:r>
      <w:r>
        <w:rPr>
          <w:sz w:val="20"/>
        </w:rPr>
        <w:t>are</w:t>
      </w:r>
      <w:r>
        <w:rPr>
          <w:spacing w:val="-1"/>
          <w:sz w:val="20"/>
        </w:rPr>
        <w:t xml:space="preserve"> </w:t>
      </w:r>
      <w:r>
        <w:rPr>
          <w:sz w:val="20"/>
        </w:rPr>
        <w:t>as early</w:t>
      </w:r>
      <w:r>
        <w:rPr>
          <w:spacing w:val="-5"/>
          <w:sz w:val="20"/>
        </w:rPr>
        <w:t xml:space="preserve"> </w:t>
      </w:r>
      <w:r>
        <w:rPr>
          <w:sz w:val="20"/>
        </w:rPr>
        <w:t>as</w:t>
      </w:r>
      <w:r>
        <w:rPr>
          <w:spacing w:val="-2"/>
          <w:sz w:val="20"/>
        </w:rPr>
        <w:t xml:space="preserve"> </w:t>
      </w:r>
      <w:r>
        <w:rPr>
          <w:sz w:val="20"/>
        </w:rPr>
        <w:t>the</w:t>
      </w:r>
      <w:r>
        <w:rPr>
          <w:spacing w:val="-2"/>
          <w:sz w:val="20"/>
        </w:rPr>
        <w:t xml:space="preserve"> </w:t>
      </w:r>
      <w:r>
        <w:rPr>
          <w:sz w:val="20"/>
        </w:rPr>
        <w:t>second</w:t>
      </w:r>
      <w:r>
        <w:rPr>
          <w:spacing w:val="-3"/>
          <w:sz w:val="20"/>
        </w:rPr>
        <w:t xml:space="preserve"> </w:t>
      </w:r>
      <w:r>
        <w:rPr>
          <w:sz w:val="20"/>
        </w:rPr>
        <w:t>business</w:t>
      </w:r>
      <w:r>
        <w:rPr>
          <w:spacing w:val="-2"/>
          <w:sz w:val="20"/>
        </w:rPr>
        <w:t xml:space="preserve"> </w:t>
      </w:r>
      <w:r>
        <w:rPr>
          <w:sz w:val="20"/>
        </w:rPr>
        <w:t>day</w:t>
      </w:r>
      <w:r>
        <w:rPr>
          <w:spacing w:val="-5"/>
          <w:sz w:val="20"/>
        </w:rPr>
        <w:t xml:space="preserve"> </w:t>
      </w:r>
      <w:r>
        <w:rPr>
          <w:sz w:val="20"/>
        </w:rPr>
        <w:t>following</w:t>
      </w:r>
      <w:r>
        <w:rPr>
          <w:spacing w:val="-5"/>
          <w:sz w:val="20"/>
        </w:rPr>
        <w:t xml:space="preserve"> </w:t>
      </w:r>
      <w:r>
        <w:rPr>
          <w:sz w:val="20"/>
        </w:rPr>
        <w:t>a</w:t>
      </w:r>
      <w:r>
        <w:rPr>
          <w:spacing w:val="-5"/>
          <w:sz w:val="20"/>
        </w:rPr>
        <w:t xml:space="preserve"> </w:t>
      </w:r>
      <w:r>
        <w:rPr>
          <w:sz w:val="20"/>
        </w:rPr>
        <w:t>transaction</w:t>
      </w:r>
      <w:r>
        <w:rPr>
          <w:spacing w:val="-3"/>
          <w:sz w:val="20"/>
        </w:rPr>
        <w:t xml:space="preserve"> </w:t>
      </w:r>
      <w:r>
        <w:rPr>
          <w:sz w:val="20"/>
        </w:rPr>
        <w:t>that</w:t>
      </w:r>
      <w:r>
        <w:rPr>
          <w:spacing w:val="-2"/>
          <w:sz w:val="20"/>
        </w:rPr>
        <w:t xml:space="preserve"> </w:t>
      </w:r>
      <w:r>
        <w:rPr>
          <w:sz w:val="20"/>
        </w:rPr>
        <w:t>effects a</w:t>
      </w:r>
      <w:r>
        <w:rPr>
          <w:spacing w:val="-2"/>
          <w:sz w:val="20"/>
        </w:rPr>
        <w:t xml:space="preserve"> </w:t>
      </w:r>
      <w:r>
        <w:rPr>
          <w:sz w:val="20"/>
        </w:rPr>
        <w:t>change</w:t>
      </w:r>
      <w:r>
        <w:rPr>
          <w:spacing w:val="-2"/>
          <w:sz w:val="20"/>
        </w:rPr>
        <w:t xml:space="preserve"> </w:t>
      </w:r>
      <w:r>
        <w:rPr>
          <w:sz w:val="20"/>
        </w:rPr>
        <w:t>in</w:t>
      </w:r>
      <w:r>
        <w:rPr>
          <w:spacing w:val="-5"/>
          <w:sz w:val="20"/>
        </w:rPr>
        <w:t xml:space="preserve"> </w:t>
      </w:r>
      <w:r>
        <w:rPr>
          <w:sz w:val="20"/>
        </w:rPr>
        <w:t>the</w:t>
      </w:r>
      <w:r>
        <w:rPr>
          <w:spacing w:val="-2"/>
          <w:sz w:val="20"/>
        </w:rPr>
        <w:t xml:space="preserve"> </w:t>
      </w:r>
      <w:r>
        <w:rPr>
          <w:sz w:val="20"/>
        </w:rPr>
        <w:t>ownership</w:t>
      </w:r>
      <w:r>
        <w:rPr>
          <w:spacing w:val="-3"/>
          <w:sz w:val="20"/>
        </w:rPr>
        <w:t xml:space="preserve"> </w:t>
      </w:r>
      <w:r>
        <w:rPr>
          <w:sz w:val="20"/>
        </w:rPr>
        <w:t xml:space="preserve">of our </w:t>
      </w:r>
      <w:r>
        <w:rPr>
          <w:spacing w:val="-2"/>
          <w:sz w:val="20"/>
        </w:rPr>
        <w:t>securities.</w:t>
      </w:r>
    </w:p>
    <w:p>
      <w:pPr>
        <w:pStyle w:val="TextBody"/>
        <w:bidi w:val="0"/>
        <w:spacing w:before="242" w:after="0"/>
        <w:ind w:left="21" w:right="97" w:firstLine="719"/>
        <w:jc w:val="left"/>
        <w:rPr>
          <w:sz w:val="20"/>
        </w:rPr>
      </w:pPr>
      <w:r>
        <w:rPr>
          <w:sz w:val="20"/>
        </w:rPr>
        <w:t>Given the short time frame for Section 16 Insiders to file their Form 4’s, it is critically important that Section 16 Insiders comply with the procedures in this Addendum to ensure compliance with the accelerated reporting</w:t>
      </w:r>
      <w:r>
        <w:rPr>
          <w:spacing w:val="-1"/>
          <w:sz w:val="20"/>
        </w:rPr>
        <w:t xml:space="preserve"> </w:t>
      </w:r>
      <w:r>
        <w:rPr>
          <w:sz w:val="20"/>
        </w:rPr>
        <w:t>requirements. These procedures will help prevent inadvertent</w:t>
      </w:r>
      <w:r>
        <w:rPr>
          <w:spacing w:val="-2"/>
          <w:sz w:val="20"/>
        </w:rPr>
        <w:t xml:space="preserve"> </w:t>
      </w:r>
      <w:r>
        <w:rPr>
          <w:sz w:val="20"/>
        </w:rPr>
        <w:t>violations</w:t>
      </w:r>
      <w:r>
        <w:rPr>
          <w:spacing w:val="-5"/>
          <w:sz w:val="20"/>
        </w:rPr>
        <w:t xml:space="preserve"> </w:t>
      </w:r>
      <w:r>
        <w:rPr>
          <w:sz w:val="20"/>
        </w:rPr>
        <w:t>of</w:t>
      </w:r>
      <w:r>
        <w:rPr>
          <w:spacing w:val="-2"/>
          <w:sz w:val="20"/>
        </w:rPr>
        <w:t xml:space="preserve"> </w:t>
      </w:r>
      <w:r>
        <w:rPr>
          <w:sz w:val="20"/>
        </w:rPr>
        <w:t>the</w:t>
      </w:r>
      <w:r>
        <w:rPr>
          <w:spacing w:val="-8"/>
          <w:sz w:val="20"/>
        </w:rPr>
        <w:t xml:space="preserve"> </w:t>
      </w:r>
      <w:r>
        <w:rPr>
          <w:sz w:val="20"/>
        </w:rPr>
        <w:t>federal</w:t>
      </w:r>
      <w:r>
        <w:rPr>
          <w:spacing w:val="-2"/>
          <w:sz w:val="20"/>
        </w:rPr>
        <w:t xml:space="preserve"> </w:t>
      </w:r>
      <w:r>
        <w:rPr>
          <w:sz w:val="20"/>
        </w:rPr>
        <w:t>securities</w:t>
      </w:r>
      <w:r>
        <w:rPr>
          <w:spacing w:val="-5"/>
          <w:sz w:val="20"/>
        </w:rPr>
        <w:t xml:space="preserve"> </w:t>
      </w:r>
      <w:r>
        <w:rPr>
          <w:sz w:val="20"/>
        </w:rPr>
        <w:t>laws,</w:t>
      </w:r>
      <w:r>
        <w:rPr>
          <w:spacing w:val="-6"/>
          <w:sz w:val="20"/>
        </w:rPr>
        <w:t xml:space="preserve"> </w:t>
      </w:r>
      <w:r>
        <w:rPr>
          <w:sz w:val="20"/>
        </w:rPr>
        <w:t>will</w:t>
      </w:r>
      <w:r>
        <w:rPr>
          <w:spacing w:val="-5"/>
          <w:sz w:val="20"/>
        </w:rPr>
        <w:t xml:space="preserve"> </w:t>
      </w:r>
      <w:r>
        <w:rPr>
          <w:sz w:val="20"/>
        </w:rPr>
        <w:t>help</w:t>
      </w:r>
      <w:r>
        <w:rPr>
          <w:spacing w:val="-10"/>
          <w:sz w:val="20"/>
        </w:rPr>
        <w:t xml:space="preserve"> </w:t>
      </w:r>
      <w:r>
        <w:rPr>
          <w:sz w:val="20"/>
        </w:rPr>
        <w:t>avoid</w:t>
      </w:r>
      <w:r>
        <w:rPr>
          <w:spacing w:val="-5"/>
          <w:sz w:val="20"/>
        </w:rPr>
        <w:t xml:space="preserve"> </w:t>
      </w:r>
      <w:r>
        <w:rPr>
          <w:sz w:val="20"/>
        </w:rPr>
        <w:t>the</w:t>
      </w:r>
      <w:r>
        <w:rPr>
          <w:spacing w:val="-3"/>
          <w:sz w:val="20"/>
        </w:rPr>
        <w:t xml:space="preserve"> </w:t>
      </w:r>
      <w:r>
        <w:rPr>
          <w:sz w:val="20"/>
        </w:rPr>
        <w:t>appearance of</w:t>
      </w:r>
      <w:r>
        <w:rPr>
          <w:spacing w:val="-5"/>
          <w:sz w:val="20"/>
        </w:rPr>
        <w:t xml:space="preserve"> </w:t>
      </w:r>
      <w:r>
        <w:rPr>
          <w:sz w:val="20"/>
        </w:rPr>
        <w:t>insider</w:t>
      </w:r>
      <w:r>
        <w:rPr>
          <w:spacing w:val="-5"/>
          <w:sz w:val="20"/>
        </w:rPr>
        <w:t xml:space="preserve"> </w:t>
      </w:r>
      <w:r>
        <w:rPr>
          <w:sz w:val="20"/>
        </w:rPr>
        <w:t>trading and</w:t>
      </w:r>
      <w:r>
        <w:rPr>
          <w:spacing w:val="-6"/>
          <w:sz w:val="20"/>
        </w:rPr>
        <w:t xml:space="preserve"> </w:t>
      </w:r>
      <w:r>
        <w:rPr>
          <w:sz w:val="20"/>
        </w:rPr>
        <w:t>will</w:t>
      </w:r>
      <w:r>
        <w:rPr>
          <w:spacing w:val="-5"/>
          <w:sz w:val="20"/>
        </w:rPr>
        <w:t xml:space="preserve"> </w:t>
      </w:r>
      <w:r>
        <w:rPr>
          <w:sz w:val="20"/>
        </w:rPr>
        <w:t>prevent</w:t>
      </w:r>
      <w:r>
        <w:rPr>
          <w:spacing w:val="-9"/>
          <w:sz w:val="20"/>
        </w:rPr>
        <w:t xml:space="preserve"> </w:t>
      </w:r>
      <w:r>
        <w:rPr>
          <w:sz w:val="20"/>
        </w:rPr>
        <w:t>potentially</w:t>
      </w:r>
      <w:r>
        <w:rPr>
          <w:spacing w:val="-10"/>
          <w:sz w:val="20"/>
        </w:rPr>
        <w:t xml:space="preserve"> </w:t>
      </w:r>
      <w:r>
        <w:rPr>
          <w:sz w:val="20"/>
        </w:rPr>
        <w:t>embarrassing</w:t>
      </w:r>
      <w:r>
        <w:rPr>
          <w:spacing w:val="-10"/>
          <w:sz w:val="20"/>
        </w:rPr>
        <w:t xml:space="preserve"> </w:t>
      </w:r>
      <w:r>
        <w:rPr>
          <w:sz w:val="20"/>
        </w:rPr>
        <w:t>proxy</w:t>
      </w:r>
      <w:r>
        <w:rPr>
          <w:spacing w:val="-10"/>
          <w:sz w:val="20"/>
        </w:rPr>
        <w:t xml:space="preserve"> </w:t>
      </w:r>
      <w:r>
        <w:rPr>
          <w:sz w:val="20"/>
        </w:rPr>
        <w:t>disclosures.</w:t>
      </w:r>
      <w:r>
        <w:rPr>
          <w:spacing w:val="-8"/>
          <w:sz w:val="20"/>
        </w:rPr>
        <w:t xml:space="preserve"> </w:t>
      </w:r>
      <w:r>
        <w:rPr>
          <w:sz w:val="20"/>
        </w:rPr>
        <w:t>You</w:t>
      </w:r>
      <w:r>
        <w:rPr>
          <w:spacing w:val="-6"/>
          <w:sz w:val="20"/>
        </w:rPr>
        <w:t xml:space="preserve"> </w:t>
      </w:r>
      <w:r>
        <w:rPr>
          <w:sz w:val="20"/>
        </w:rPr>
        <w:t>will</w:t>
      </w:r>
      <w:r>
        <w:rPr>
          <w:spacing w:val="-7"/>
          <w:sz w:val="20"/>
        </w:rPr>
        <w:t xml:space="preserve"> </w:t>
      </w:r>
      <w:r>
        <w:rPr>
          <w:sz w:val="20"/>
        </w:rPr>
        <w:t>be</w:t>
      </w:r>
      <w:r>
        <w:rPr>
          <w:spacing w:val="-7"/>
          <w:sz w:val="20"/>
        </w:rPr>
        <w:t xml:space="preserve"> </w:t>
      </w:r>
      <w:r>
        <w:rPr>
          <w:sz w:val="20"/>
        </w:rPr>
        <w:t>notified</w:t>
      </w:r>
      <w:r>
        <w:rPr>
          <w:spacing w:val="-10"/>
          <w:sz w:val="20"/>
        </w:rPr>
        <w:t xml:space="preserve"> </w:t>
      </w:r>
      <w:r>
        <w:rPr>
          <w:sz w:val="20"/>
        </w:rPr>
        <w:t>if</w:t>
      </w:r>
      <w:r>
        <w:rPr>
          <w:spacing w:val="-7"/>
          <w:sz w:val="20"/>
        </w:rPr>
        <w:t xml:space="preserve"> </w:t>
      </w:r>
      <w:r>
        <w:rPr>
          <w:sz w:val="20"/>
        </w:rPr>
        <w:t>you</w:t>
      </w:r>
      <w:r>
        <w:rPr>
          <w:spacing w:val="-8"/>
          <w:sz w:val="20"/>
        </w:rPr>
        <w:t xml:space="preserve"> </w:t>
      </w:r>
      <w:r>
        <w:rPr>
          <w:sz w:val="20"/>
        </w:rPr>
        <w:t>are</w:t>
      </w:r>
      <w:r>
        <w:rPr>
          <w:spacing w:val="-7"/>
          <w:sz w:val="20"/>
        </w:rPr>
        <w:t xml:space="preserve"> </w:t>
      </w:r>
      <w:r>
        <w:rPr>
          <w:sz w:val="20"/>
        </w:rPr>
        <w:t>a</w:t>
      </w:r>
      <w:r>
        <w:rPr>
          <w:spacing w:val="-6"/>
          <w:sz w:val="20"/>
        </w:rPr>
        <w:t xml:space="preserve"> </w:t>
      </w:r>
      <w:r>
        <w:rPr>
          <w:sz w:val="20"/>
        </w:rPr>
        <w:t>Section 16 Insider. In connection with</w:t>
      </w:r>
      <w:r>
        <w:rPr>
          <w:spacing w:val="-1"/>
          <w:sz w:val="20"/>
        </w:rPr>
        <w:t xml:space="preserve"> </w:t>
      </w:r>
      <w:r>
        <w:rPr>
          <w:sz w:val="20"/>
        </w:rPr>
        <w:t>sale transactions, in many instances you must also</w:t>
      </w:r>
      <w:r>
        <w:rPr>
          <w:spacing w:val="-1"/>
          <w:sz w:val="20"/>
        </w:rPr>
        <w:t xml:space="preserve"> </w:t>
      </w:r>
      <w:r>
        <w:rPr>
          <w:sz w:val="20"/>
        </w:rPr>
        <w:t>file a Form 144 Notice with the SEC under Rule 144 at the time the sale order is placed.</w:t>
      </w:r>
    </w:p>
    <w:p>
      <w:pPr>
        <w:pStyle w:val="TextBody"/>
        <w:bidi w:val="0"/>
        <w:spacing w:before="238" w:after="0"/>
        <w:ind w:left="22" w:right="97" w:firstLine="717"/>
        <w:jc w:val="left"/>
        <w:rPr>
          <w:sz w:val="20"/>
        </w:rPr>
      </w:pPr>
      <w:r>
        <w:rPr>
          <w:sz w:val="20"/>
        </w:rPr>
        <w:t>To</w:t>
      </w:r>
      <w:r>
        <w:rPr>
          <w:spacing w:val="-9"/>
          <w:sz w:val="20"/>
        </w:rPr>
        <w:t xml:space="preserve"> </w:t>
      </w:r>
      <w:r>
        <w:rPr>
          <w:sz w:val="20"/>
        </w:rPr>
        <w:t>ensure</w:t>
      </w:r>
      <w:r>
        <w:rPr>
          <w:spacing w:val="-8"/>
          <w:sz w:val="20"/>
        </w:rPr>
        <w:t xml:space="preserve"> </w:t>
      </w:r>
      <w:r>
        <w:rPr>
          <w:sz w:val="20"/>
        </w:rPr>
        <w:t>compliance</w:t>
      </w:r>
      <w:r>
        <w:rPr>
          <w:spacing w:val="-8"/>
          <w:sz w:val="20"/>
        </w:rPr>
        <w:t xml:space="preserve"> </w:t>
      </w:r>
      <w:r>
        <w:rPr>
          <w:sz w:val="20"/>
        </w:rPr>
        <w:t>with</w:t>
      </w:r>
      <w:r>
        <w:rPr>
          <w:spacing w:val="-12"/>
          <w:sz w:val="20"/>
        </w:rPr>
        <w:t xml:space="preserve"> </w:t>
      </w:r>
      <w:r>
        <w:rPr>
          <w:sz w:val="20"/>
        </w:rPr>
        <w:t>the</w:t>
      </w:r>
      <w:r>
        <w:rPr>
          <w:spacing w:val="-8"/>
          <w:sz w:val="20"/>
        </w:rPr>
        <w:t xml:space="preserve"> </w:t>
      </w:r>
      <w:r>
        <w:rPr>
          <w:sz w:val="20"/>
        </w:rPr>
        <w:t>accelerated</w:t>
      </w:r>
      <w:r>
        <w:rPr>
          <w:spacing w:val="-9"/>
          <w:sz w:val="20"/>
        </w:rPr>
        <w:t xml:space="preserve"> </w:t>
      </w:r>
      <w:r>
        <w:rPr>
          <w:sz w:val="20"/>
        </w:rPr>
        <w:t>reporting</w:t>
      </w:r>
      <w:r>
        <w:rPr>
          <w:spacing w:val="-11"/>
          <w:sz w:val="20"/>
        </w:rPr>
        <w:t xml:space="preserve"> </w:t>
      </w:r>
      <w:r>
        <w:rPr>
          <w:sz w:val="20"/>
        </w:rPr>
        <w:t>requirements</w:t>
      </w:r>
      <w:r>
        <w:rPr>
          <w:spacing w:val="-6"/>
          <w:sz w:val="20"/>
        </w:rPr>
        <w:t xml:space="preserve"> </w:t>
      </w:r>
      <w:r>
        <w:rPr>
          <w:sz w:val="20"/>
        </w:rPr>
        <w:t>of</w:t>
      </w:r>
      <w:r>
        <w:rPr>
          <w:spacing w:val="-5"/>
          <w:sz w:val="20"/>
        </w:rPr>
        <w:t xml:space="preserve"> </w:t>
      </w:r>
      <w:r>
        <w:rPr>
          <w:sz w:val="20"/>
        </w:rPr>
        <w:t>Section</w:t>
      </w:r>
      <w:r>
        <w:rPr>
          <w:spacing w:val="-11"/>
          <w:sz w:val="20"/>
        </w:rPr>
        <w:t xml:space="preserve"> </w:t>
      </w:r>
      <w:r>
        <w:rPr>
          <w:sz w:val="20"/>
        </w:rPr>
        <w:t>16</w:t>
      </w:r>
      <w:r>
        <w:rPr>
          <w:spacing w:val="-9"/>
          <w:sz w:val="20"/>
        </w:rPr>
        <w:t xml:space="preserve"> </w:t>
      </w:r>
      <w:r>
        <w:rPr>
          <w:sz w:val="20"/>
        </w:rPr>
        <w:t>and</w:t>
      </w:r>
      <w:r>
        <w:rPr>
          <w:spacing w:val="-6"/>
          <w:sz w:val="20"/>
        </w:rPr>
        <w:t xml:space="preserve"> </w:t>
      </w:r>
      <w:r>
        <w:rPr>
          <w:sz w:val="20"/>
        </w:rPr>
        <w:t>to</w:t>
      </w:r>
      <w:r>
        <w:rPr>
          <w:spacing w:val="-9"/>
          <w:sz w:val="20"/>
        </w:rPr>
        <w:t xml:space="preserve"> </w:t>
      </w:r>
      <w:r>
        <w:rPr>
          <w:sz w:val="20"/>
        </w:rPr>
        <w:t>help prevent in advance any</w:t>
      </w:r>
      <w:r>
        <w:rPr>
          <w:spacing w:val="-1"/>
          <w:sz w:val="20"/>
        </w:rPr>
        <w:t xml:space="preserve"> </w:t>
      </w:r>
      <w:r>
        <w:rPr>
          <w:sz w:val="20"/>
        </w:rPr>
        <w:t>inadvertent violations of the federal securities laws, and to</w:t>
      </w:r>
      <w:r>
        <w:rPr>
          <w:spacing w:val="-1"/>
          <w:sz w:val="20"/>
        </w:rPr>
        <w:t xml:space="preserve"> </w:t>
      </w:r>
      <w:r>
        <w:rPr>
          <w:sz w:val="20"/>
        </w:rPr>
        <w:t>avoid even the appearance of trading on inside information, we have implemented the following</w:t>
      </w:r>
      <w:r>
        <w:rPr>
          <w:spacing w:val="-2"/>
          <w:sz w:val="20"/>
        </w:rPr>
        <w:t xml:space="preserve"> </w:t>
      </w:r>
      <w:r>
        <w:rPr>
          <w:sz w:val="20"/>
        </w:rPr>
        <w:t>procedures:</w:t>
      </w:r>
    </w:p>
    <w:p>
      <w:pPr>
        <w:pStyle w:val="TextBody"/>
        <w:bidi w:val="0"/>
        <w:spacing w:before="243" w:after="0"/>
        <w:ind w:left="1103" w:right="698" w:hanging="360"/>
        <w:jc w:val="left"/>
        <w:rPr/>
      </w:pPr>
      <w:r>
        <w:rPr/>
        <w:t></w:t>
      </w:r>
      <w:r>
        <w:rPr>
          <w:caps w:val="false"/>
          <w:smallCaps w:val="false"/>
        </w:rPr>
        <w:t xml:space="preserve">         </w:t>
      </w:r>
      <w:r>
        <w:rPr>
          <w:sz w:val="20"/>
          <w:u w:val="single"/>
        </w:rPr>
        <w:t>Mandatory</w:t>
      </w:r>
      <w:r>
        <w:rPr>
          <w:spacing w:val="-12"/>
          <w:sz w:val="20"/>
          <w:u w:val="single"/>
        </w:rPr>
        <w:t xml:space="preserve"> </w:t>
      </w:r>
      <w:r>
        <w:rPr>
          <w:sz w:val="20"/>
          <w:u w:val="single"/>
        </w:rPr>
        <w:t>Pre-clearance</w:t>
      </w:r>
      <w:r>
        <w:rPr>
          <w:spacing w:val="-10"/>
          <w:sz w:val="20"/>
          <w:u w:val="single"/>
        </w:rPr>
        <w:t xml:space="preserve"> </w:t>
      </w:r>
      <w:r>
        <w:rPr>
          <w:sz w:val="20"/>
          <w:u w:val="single"/>
        </w:rPr>
        <w:t>Procedures</w:t>
      </w:r>
      <w:r>
        <w:rPr>
          <w:sz w:val="20"/>
        </w:rPr>
        <w:t>.</w:t>
      </w:r>
      <w:r>
        <w:rPr>
          <w:spacing w:val="-10"/>
          <w:sz w:val="20"/>
        </w:rPr>
        <w:t xml:space="preserve"> </w:t>
      </w:r>
      <w:r>
        <w:rPr>
          <w:sz w:val="20"/>
        </w:rPr>
        <w:t>All</w:t>
      </w:r>
      <w:r>
        <w:rPr>
          <w:spacing w:val="-13"/>
          <w:sz w:val="20"/>
        </w:rPr>
        <w:t xml:space="preserve"> </w:t>
      </w:r>
      <w:r>
        <w:rPr>
          <w:sz w:val="20"/>
        </w:rPr>
        <w:t>Section</w:t>
      </w:r>
      <w:r>
        <w:rPr>
          <w:spacing w:val="-10"/>
          <w:sz w:val="20"/>
        </w:rPr>
        <w:t xml:space="preserve"> </w:t>
      </w:r>
      <w:r>
        <w:rPr>
          <w:sz w:val="20"/>
        </w:rPr>
        <w:t>16</w:t>
      </w:r>
      <w:r>
        <w:rPr>
          <w:spacing w:val="-10"/>
          <w:sz w:val="20"/>
        </w:rPr>
        <w:t xml:space="preserve"> </w:t>
      </w:r>
      <w:r>
        <w:rPr>
          <w:sz w:val="20"/>
        </w:rPr>
        <w:t>Insiders</w:t>
      </w:r>
      <w:r>
        <w:rPr>
          <w:spacing w:val="-11"/>
          <w:sz w:val="20"/>
        </w:rPr>
        <w:t xml:space="preserve"> </w:t>
      </w:r>
      <w:r>
        <w:rPr>
          <w:sz w:val="20"/>
        </w:rPr>
        <w:t>must</w:t>
      </w:r>
      <w:r>
        <w:rPr>
          <w:spacing w:val="-9"/>
          <w:sz w:val="20"/>
        </w:rPr>
        <w:t xml:space="preserve"> </w:t>
      </w:r>
      <w:r>
        <w:rPr>
          <w:sz w:val="20"/>
        </w:rPr>
        <w:t>comply</w:t>
      </w:r>
      <w:r>
        <w:rPr>
          <w:spacing w:val="-14"/>
          <w:sz w:val="20"/>
        </w:rPr>
        <w:t xml:space="preserve"> </w:t>
      </w:r>
      <w:r>
        <w:rPr>
          <w:sz w:val="20"/>
        </w:rPr>
        <w:t>with</w:t>
      </w:r>
      <w:r>
        <w:rPr>
          <w:spacing w:val="-12"/>
          <w:sz w:val="20"/>
        </w:rPr>
        <w:t xml:space="preserve"> </w:t>
      </w:r>
      <w:r>
        <w:rPr>
          <w:sz w:val="20"/>
        </w:rPr>
        <w:t>the mandatory pre-clearance procedures set forth above.</w:t>
      </w:r>
    </w:p>
    <w:p>
      <w:pPr>
        <w:pStyle w:val="TextBody"/>
        <w:bidi w:val="0"/>
        <w:spacing w:before="116" w:after="0"/>
        <w:ind w:left="1103" w:right="345" w:hanging="360"/>
        <w:jc w:val="left"/>
        <w:rPr/>
      </w:pPr>
      <w:r>
        <w:rPr/>
        <w:t></w:t>
      </w:r>
      <w:r>
        <w:rPr>
          <w:caps w:val="false"/>
          <w:smallCaps w:val="false"/>
        </w:rPr>
        <w:t xml:space="preserve">         </w:t>
      </w:r>
      <w:r>
        <w:rPr>
          <w:sz w:val="20"/>
          <w:u w:val="single"/>
        </w:rPr>
        <w:t>Immediate</w:t>
      </w:r>
      <w:r>
        <w:rPr>
          <w:spacing w:val="-8"/>
          <w:sz w:val="20"/>
          <w:u w:val="single"/>
        </w:rPr>
        <w:t xml:space="preserve"> </w:t>
      </w:r>
      <w:r>
        <w:rPr>
          <w:sz w:val="20"/>
          <w:u w:val="single"/>
        </w:rPr>
        <w:t>Notification</w:t>
      </w:r>
      <w:r>
        <w:rPr>
          <w:sz w:val="20"/>
        </w:rPr>
        <w:t>.</w:t>
      </w:r>
      <w:r>
        <w:rPr>
          <w:spacing w:val="-8"/>
          <w:sz w:val="20"/>
        </w:rPr>
        <w:t xml:space="preserve"> </w:t>
      </w:r>
      <w:r>
        <w:rPr>
          <w:sz w:val="20"/>
        </w:rPr>
        <w:t>All</w:t>
      </w:r>
      <w:r>
        <w:rPr>
          <w:spacing w:val="-14"/>
          <w:sz w:val="20"/>
        </w:rPr>
        <w:t xml:space="preserve"> </w:t>
      </w:r>
      <w:r>
        <w:rPr>
          <w:sz w:val="20"/>
        </w:rPr>
        <w:t>Section</w:t>
      </w:r>
      <w:r>
        <w:rPr>
          <w:spacing w:val="-7"/>
          <w:sz w:val="20"/>
        </w:rPr>
        <w:t xml:space="preserve"> </w:t>
      </w:r>
      <w:r>
        <w:rPr>
          <w:sz w:val="20"/>
        </w:rPr>
        <w:t>16</w:t>
      </w:r>
      <w:r>
        <w:rPr>
          <w:spacing w:val="-10"/>
          <w:sz w:val="20"/>
        </w:rPr>
        <w:t xml:space="preserve"> </w:t>
      </w:r>
      <w:r>
        <w:rPr>
          <w:sz w:val="20"/>
        </w:rPr>
        <w:t>Insiders</w:t>
      </w:r>
      <w:r>
        <w:rPr>
          <w:spacing w:val="-9"/>
          <w:sz w:val="20"/>
        </w:rPr>
        <w:t xml:space="preserve"> </w:t>
      </w:r>
      <w:r>
        <w:rPr>
          <w:sz w:val="20"/>
        </w:rPr>
        <w:t>must</w:t>
      </w:r>
      <w:r>
        <w:rPr>
          <w:spacing w:val="-9"/>
          <w:sz w:val="20"/>
        </w:rPr>
        <w:t xml:space="preserve"> </w:t>
      </w:r>
      <w:r>
        <w:rPr>
          <w:sz w:val="20"/>
        </w:rPr>
        <w:t>report</w:t>
      </w:r>
      <w:r>
        <w:rPr>
          <w:spacing w:val="-9"/>
          <w:sz w:val="20"/>
        </w:rPr>
        <w:t xml:space="preserve"> </w:t>
      </w:r>
      <w:r>
        <w:rPr>
          <w:sz w:val="20"/>
        </w:rPr>
        <w:t>to</w:t>
      </w:r>
      <w:r>
        <w:rPr>
          <w:spacing w:val="-12"/>
          <w:sz w:val="20"/>
        </w:rPr>
        <w:t xml:space="preserve"> </w:t>
      </w:r>
      <w:r>
        <w:rPr>
          <w:sz w:val="20"/>
        </w:rPr>
        <w:t>EWI’s</w:t>
      </w:r>
      <w:r>
        <w:rPr>
          <w:spacing w:val="-8"/>
          <w:sz w:val="20"/>
        </w:rPr>
        <w:t xml:space="preserve"> </w:t>
      </w:r>
      <w:r>
        <w:rPr>
          <w:sz w:val="20"/>
        </w:rPr>
        <w:t>General</w:t>
      </w:r>
      <w:r>
        <w:rPr>
          <w:spacing w:val="-7"/>
          <w:sz w:val="20"/>
        </w:rPr>
        <w:t xml:space="preserve"> </w:t>
      </w:r>
      <w:r>
        <w:rPr>
          <w:sz w:val="20"/>
        </w:rPr>
        <w:t>Counsel</w:t>
      </w:r>
      <w:r>
        <w:rPr>
          <w:spacing w:val="-11"/>
          <w:sz w:val="20"/>
        </w:rPr>
        <w:t xml:space="preserve"> </w:t>
      </w:r>
      <w:r>
        <w:rPr>
          <w:sz w:val="20"/>
        </w:rPr>
        <w:t>any transaction no later than the day in which it has occurred.</w:t>
      </w:r>
    </w:p>
    <w:p>
      <w:pPr>
        <w:pStyle w:val="TextBody"/>
        <w:bidi w:val="0"/>
        <w:spacing w:before="116" w:after="0"/>
        <w:ind w:left="1103" w:right="229" w:hanging="360"/>
        <w:jc w:val="both"/>
        <w:rPr/>
      </w:pPr>
      <w:r>
        <w:rPr/>
        <w:t></w:t>
      </w:r>
      <w:r>
        <w:rPr>
          <w:caps w:val="false"/>
          <w:smallCaps w:val="false"/>
        </w:rPr>
        <w:t xml:space="preserve">         </w:t>
      </w:r>
      <w:r>
        <w:rPr>
          <w:sz w:val="20"/>
          <w:u w:val="single"/>
        </w:rPr>
        <w:t>Power of</w:t>
      </w:r>
      <w:r>
        <w:rPr>
          <w:spacing w:val="-3"/>
          <w:sz w:val="20"/>
          <w:u w:val="single"/>
        </w:rPr>
        <w:t xml:space="preserve"> </w:t>
      </w:r>
      <w:r>
        <w:rPr>
          <w:sz w:val="20"/>
          <w:u w:val="single"/>
        </w:rPr>
        <w:t>Attorney</w:t>
      </w:r>
      <w:r>
        <w:rPr>
          <w:sz w:val="20"/>
        </w:rPr>
        <w:t>. In</w:t>
      </w:r>
      <w:r>
        <w:rPr>
          <w:spacing w:val="-2"/>
          <w:sz w:val="20"/>
        </w:rPr>
        <w:t xml:space="preserve"> </w:t>
      </w:r>
      <w:r>
        <w:rPr>
          <w:sz w:val="20"/>
        </w:rPr>
        <w:t>order</w:t>
      </w:r>
      <w:r>
        <w:rPr>
          <w:spacing w:val="-1"/>
          <w:sz w:val="20"/>
        </w:rPr>
        <w:t xml:space="preserve"> </w:t>
      </w:r>
      <w:r>
        <w:rPr>
          <w:sz w:val="20"/>
        </w:rPr>
        <w:t>to</w:t>
      </w:r>
      <w:r>
        <w:rPr>
          <w:spacing w:val="-2"/>
          <w:sz w:val="20"/>
        </w:rPr>
        <w:t xml:space="preserve"> </w:t>
      </w:r>
      <w:r>
        <w:rPr>
          <w:sz w:val="20"/>
        </w:rPr>
        <w:t>enable</w:t>
      </w:r>
      <w:r>
        <w:rPr>
          <w:spacing w:val="-4"/>
          <w:sz w:val="20"/>
        </w:rPr>
        <w:t xml:space="preserve"> </w:t>
      </w:r>
      <w:r>
        <w:rPr>
          <w:sz w:val="20"/>
        </w:rPr>
        <w:t>the</w:t>
      </w:r>
      <w:r>
        <w:rPr>
          <w:spacing w:val="-1"/>
          <w:sz w:val="20"/>
        </w:rPr>
        <w:t xml:space="preserve"> </w:t>
      </w:r>
      <w:r>
        <w:rPr>
          <w:sz w:val="20"/>
        </w:rPr>
        <w:t>Company</w:t>
      </w:r>
      <w:r>
        <w:rPr>
          <w:spacing w:val="-4"/>
          <w:sz w:val="20"/>
        </w:rPr>
        <w:t xml:space="preserve"> </w:t>
      </w:r>
      <w:r>
        <w:rPr>
          <w:sz w:val="20"/>
        </w:rPr>
        <w:t>to</w:t>
      </w:r>
      <w:r>
        <w:rPr>
          <w:spacing w:val="-2"/>
          <w:sz w:val="20"/>
        </w:rPr>
        <w:t xml:space="preserve"> </w:t>
      </w:r>
      <w:r>
        <w:rPr>
          <w:sz w:val="20"/>
        </w:rPr>
        <w:t>prepare</w:t>
      </w:r>
      <w:r>
        <w:rPr>
          <w:spacing w:val="-4"/>
          <w:sz w:val="20"/>
        </w:rPr>
        <w:t xml:space="preserve"> </w:t>
      </w:r>
      <w:r>
        <w:rPr>
          <w:sz w:val="20"/>
        </w:rPr>
        <w:t>and</w:t>
      </w:r>
      <w:r>
        <w:rPr>
          <w:spacing w:val="-2"/>
          <w:sz w:val="20"/>
        </w:rPr>
        <w:t xml:space="preserve"> </w:t>
      </w:r>
      <w:r>
        <w:rPr>
          <w:sz w:val="20"/>
        </w:rPr>
        <w:t>file</w:t>
      </w:r>
      <w:r>
        <w:rPr>
          <w:spacing w:val="-2"/>
          <w:sz w:val="20"/>
        </w:rPr>
        <w:t xml:space="preserve"> </w:t>
      </w:r>
      <w:r>
        <w:rPr>
          <w:sz w:val="20"/>
        </w:rPr>
        <w:t>the Forms</w:t>
      </w:r>
      <w:r>
        <w:rPr>
          <w:spacing w:val="-4"/>
          <w:sz w:val="20"/>
        </w:rPr>
        <w:t xml:space="preserve"> </w:t>
      </w:r>
      <w:r>
        <w:rPr>
          <w:sz w:val="20"/>
        </w:rPr>
        <w:t>4 on</w:t>
      </w:r>
      <w:r>
        <w:rPr>
          <w:spacing w:val="-2"/>
          <w:sz w:val="20"/>
        </w:rPr>
        <w:t xml:space="preserve"> </w:t>
      </w:r>
      <w:r>
        <w:rPr>
          <w:sz w:val="20"/>
        </w:rPr>
        <w:t>a timely</w:t>
      </w:r>
      <w:r>
        <w:rPr>
          <w:spacing w:val="-4"/>
          <w:sz w:val="20"/>
        </w:rPr>
        <w:t xml:space="preserve"> </w:t>
      </w:r>
      <w:r>
        <w:rPr>
          <w:sz w:val="20"/>
        </w:rPr>
        <w:t>basis,</w:t>
      </w:r>
      <w:r>
        <w:rPr>
          <w:spacing w:val="-2"/>
          <w:sz w:val="20"/>
        </w:rPr>
        <w:t xml:space="preserve"> </w:t>
      </w:r>
      <w:r>
        <w:rPr>
          <w:sz w:val="20"/>
        </w:rPr>
        <w:t>it is</w:t>
      </w:r>
      <w:r>
        <w:rPr>
          <w:spacing w:val="-1"/>
          <w:sz w:val="20"/>
        </w:rPr>
        <w:t xml:space="preserve"> </w:t>
      </w:r>
      <w:r>
        <w:rPr>
          <w:sz w:val="20"/>
        </w:rPr>
        <w:t>imperative that you sign and</w:t>
      </w:r>
      <w:r>
        <w:rPr>
          <w:spacing w:val="-4"/>
          <w:sz w:val="20"/>
        </w:rPr>
        <w:t xml:space="preserve"> </w:t>
      </w:r>
      <w:r>
        <w:rPr>
          <w:sz w:val="20"/>
        </w:rPr>
        <w:t>return</w:t>
      </w:r>
      <w:r>
        <w:rPr>
          <w:spacing w:val="-2"/>
          <w:sz w:val="20"/>
        </w:rPr>
        <w:t xml:space="preserve"> </w:t>
      </w:r>
      <w:r>
        <w:rPr>
          <w:sz w:val="20"/>
        </w:rPr>
        <w:t>the Power of Attorney</w:t>
      </w:r>
      <w:r>
        <w:rPr>
          <w:spacing w:val="-2"/>
          <w:sz w:val="20"/>
        </w:rPr>
        <w:t xml:space="preserve"> </w:t>
      </w:r>
      <w:r>
        <w:rPr>
          <w:sz w:val="20"/>
        </w:rPr>
        <w:t>provided to you by EWI’s General Counsel.</w:t>
      </w:r>
    </w:p>
    <w:p>
      <w:pPr>
        <w:pStyle w:val="TextBody"/>
        <w:bidi w:val="0"/>
        <w:spacing w:before="117" w:after="0"/>
        <w:ind w:left="1103" w:right="406" w:hanging="360"/>
        <w:jc w:val="both"/>
        <w:rPr/>
      </w:pPr>
      <w:r>
        <w:rPr/>
        <w:t></w:t>
      </w:r>
      <w:r>
        <w:rPr>
          <w:caps w:val="false"/>
          <w:smallCaps w:val="false"/>
        </w:rPr>
        <w:t xml:space="preserve">         </w:t>
      </w:r>
      <w:r>
        <w:rPr>
          <w:sz w:val="20"/>
          <w:u w:val="single"/>
        </w:rPr>
        <w:t>Certifications</w:t>
      </w:r>
      <w:r>
        <w:rPr>
          <w:sz w:val="20"/>
        </w:rPr>
        <w:t>.</w:t>
      </w:r>
      <w:r>
        <w:rPr>
          <w:spacing w:val="-8"/>
          <w:sz w:val="20"/>
        </w:rPr>
        <w:t xml:space="preserve"> </w:t>
      </w:r>
      <w:r>
        <w:rPr>
          <w:sz w:val="20"/>
        </w:rPr>
        <w:t>All</w:t>
      </w:r>
      <w:r>
        <w:rPr>
          <w:spacing w:val="-9"/>
          <w:sz w:val="20"/>
        </w:rPr>
        <w:t xml:space="preserve"> </w:t>
      </w:r>
      <w:r>
        <w:rPr>
          <w:sz w:val="20"/>
        </w:rPr>
        <w:t>Section</w:t>
      </w:r>
      <w:r>
        <w:rPr>
          <w:spacing w:val="-12"/>
          <w:sz w:val="20"/>
        </w:rPr>
        <w:t xml:space="preserve"> </w:t>
      </w:r>
      <w:r>
        <w:rPr>
          <w:sz w:val="20"/>
        </w:rPr>
        <w:t>16</w:t>
      </w:r>
      <w:r>
        <w:rPr>
          <w:spacing w:val="-8"/>
          <w:sz w:val="20"/>
        </w:rPr>
        <w:t xml:space="preserve"> </w:t>
      </w:r>
      <w:r>
        <w:rPr>
          <w:sz w:val="20"/>
        </w:rPr>
        <w:t>Insiders</w:t>
      </w:r>
      <w:r>
        <w:rPr>
          <w:spacing w:val="-9"/>
          <w:sz w:val="20"/>
        </w:rPr>
        <w:t xml:space="preserve"> </w:t>
      </w:r>
      <w:r>
        <w:rPr>
          <w:sz w:val="20"/>
        </w:rPr>
        <w:t>must</w:t>
      </w:r>
      <w:r>
        <w:rPr>
          <w:spacing w:val="-7"/>
          <w:sz w:val="20"/>
        </w:rPr>
        <w:t xml:space="preserve"> </w:t>
      </w:r>
      <w:r>
        <w:rPr>
          <w:sz w:val="20"/>
        </w:rPr>
        <w:t>certify</w:t>
      </w:r>
      <w:r>
        <w:rPr>
          <w:spacing w:val="-12"/>
          <w:sz w:val="20"/>
        </w:rPr>
        <w:t xml:space="preserve"> </w:t>
      </w:r>
      <w:r>
        <w:rPr>
          <w:sz w:val="20"/>
        </w:rPr>
        <w:t>their</w:t>
      </w:r>
      <w:r>
        <w:rPr>
          <w:spacing w:val="-9"/>
          <w:sz w:val="20"/>
        </w:rPr>
        <w:t xml:space="preserve"> </w:t>
      </w:r>
      <w:r>
        <w:rPr>
          <w:sz w:val="20"/>
        </w:rPr>
        <w:t>understanding</w:t>
      </w:r>
      <w:r>
        <w:rPr>
          <w:spacing w:val="-12"/>
          <w:sz w:val="20"/>
        </w:rPr>
        <w:t xml:space="preserve"> </w:t>
      </w:r>
      <w:r>
        <w:rPr>
          <w:sz w:val="20"/>
        </w:rPr>
        <w:t>of,</w:t>
      </w:r>
      <w:r>
        <w:rPr>
          <w:spacing w:val="-10"/>
          <w:sz w:val="20"/>
        </w:rPr>
        <w:t xml:space="preserve"> </w:t>
      </w:r>
      <w:r>
        <w:rPr>
          <w:sz w:val="20"/>
        </w:rPr>
        <w:t>and</w:t>
      </w:r>
      <w:r>
        <w:rPr>
          <w:spacing w:val="-12"/>
          <w:sz w:val="20"/>
        </w:rPr>
        <w:t xml:space="preserve"> </w:t>
      </w:r>
      <w:r>
        <w:rPr>
          <w:sz w:val="20"/>
        </w:rPr>
        <w:t>intent</w:t>
      </w:r>
      <w:r>
        <w:rPr>
          <w:spacing w:val="-9"/>
          <w:sz w:val="20"/>
        </w:rPr>
        <w:t xml:space="preserve"> </w:t>
      </w:r>
      <w:r>
        <w:rPr>
          <w:sz w:val="20"/>
        </w:rPr>
        <w:t>to comply with, the procedures set forth herein.</w:t>
      </w:r>
    </w:p>
    <w:p>
      <w:pPr>
        <w:pStyle w:val="TextBody"/>
        <w:bidi w:val="0"/>
        <w:spacing w:before="0" w:after="0"/>
        <w:ind w:left="1102" w:right="0" w:hanging="360"/>
        <w:jc w:val="both"/>
        <w:rPr/>
      </w:pPr>
      <w:r>
        <w:rPr/>
        <w:t> </w:t>
      </w:r>
    </w:p>
    <w:p>
      <w:pPr>
        <w:pStyle w:val="TextBody"/>
        <w:bidi w:val="0"/>
        <w:spacing w:before="0" w:after="0"/>
        <w:ind w:left="1102" w:right="0" w:hanging="360"/>
        <w:jc w:val="both"/>
        <w:rPr/>
      </w:pPr>
      <w:r>
        <w:rPr/>
        <w:t> </w:t>
      </w:r>
    </w:p>
    <w:p>
      <w:pPr>
        <w:pStyle w:val="TextBody"/>
        <w:bidi w:val="0"/>
        <w:spacing w:before="0" w:after="0"/>
        <w:jc w:val="center"/>
        <w:rPr>
          <w:sz w:val="20"/>
        </w:rPr>
      </w:pPr>
      <w:r>
        <w:rPr>
          <w:sz w:val="20"/>
        </w:rPr>
        <w:t>8</w:t>
      </w:r>
    </w:p>
    <w:p>
      <w:pPr>
        <w:pStyle w:val="HorizontalLine"/>
        <w:pBdr>
          <w:bottom w:val="double" w:sz="2" w:space="0" w:color="808080"/>
        </w:pBdr>
        <w:bidi w:val="0"/>
        <w:jc w:val="center"/>
        <w:rPr/>
      </w:pPr>
      <w:r>
        <w:rPr/>
      </w:r>
    </w:p>
    <w:p>
      <w:pPr>
        <w:pStyle w:val="TextBody"/>
        <w:bidi w:val="0"/>
        <w:spacing w:lineRule="auto" w:line="14" w:before="0" w:after="0"/>
        <w:jc w:val="left"/>
        <w:rPr/>
      </w:pPr>
      <w:r>
        <w:drawing>
          <wp:anchor behindDoc="0" distT="1577975" distB="0" distL="3202940" distR="0" simplePos="0" locked="0" layoutInCell="1" allowOverlap="1" relativeHeight="10">
            <wp:simplePos x="0" y="0"/>
            <wp:positionH relativeFrom="character">
              <wp:align>left</wp:align>
            </wp:positionH>
            <wp:positionV relativeFrom="line">
              <wp:align>top</wp:align>
            </wp:positionV>
            <wp:extent cx="285750" cy="180975"/>
            <wp:effectExtent l="0" t="0" r="0" b="0"/>
            <wp:wrapNone/>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7"/>
                    <a:stretch>
                      <a:fillRect/>
                    </a:stretch>
                  </pic:blipFill>
                  <pic:spPr bwMode="auto">
                    <a:xfrm>
                      <a:off x="0" y="0"/>
                      <a:ext cx="285750" cy="180975"/>
                    </a:xfrm>
                    <a:prstGeom prst="rect">
                      <a:avLst/>
                    </a:prstGeom>
                  </pic:spPr>
                </pic:pic>
              </a:graphicData>
            </a:graphic>
          </wp:anchor>
        </w:drawing>
      </w:r>
      <w:r>
        <w:rPr/>
        <w:t> </w:t>
      </w:r>
    </w:p>
    <w:p>
      <w:pPr>
        <w:pStyle w:val="TextBody"/>
        <w:bidi w:val="0"/>
        <w:spacing w:before="0" w:after="0"/>
        <w:ind w:left="1102" w:right="211" w:hanging="360"/>
        <w:jc w:val="left"/>
        <w:rPr/>
      </w:pPr>
      <w:r>
        <w:rPr/>
        <w:t></w:t>
      </w:r>
      <w:r>
        <w:rPr>
          <w:caps w:val="false"/>
          <w:smallCaps w:val="false"/>
        </w:rPr>
        <w:t xml:space="preserve">         </w:t>
      </w:r>
      <w:r>
        <w:rPr>
          <w:sz w:val="20"/>
          <w:u w:val="single"/>
        </w:rPr>
        <w:t>Company Assistance</w:t>
      </w:r>
      <w:r>
        <w:rPr>
          <w:sz w:val="20"/>
        </w:rPr>
        <w:t>. Any person who has a question about these procedures or its application</w:t>
      </w:r>
      <w:r>
        <w:rPr>
          <w:spacing w:val="-10"/>
          <w:sz w:val="20"/>
        </w:rPr>
        <w:t xml:space="preserve"> </w:t>
      </w:r>
      <w:r>
        <w:rPr>
          <w:sz w:val="20"/>
        </w:rPr>
        <w:t>to</w:t>
      </w:r>
      <w:r>
        <w:rPr>
          <w:spacing w:val="-12"/>
          <w:sz w:val="20"/>
        </w:rPr>
        <w:t xml:space="preserve"> </w:t>
      </w:r>
      <w:r>
        <w:rPr>
          <w:sz w:val="20"/>
        </w:rPr>
        <w:t>any</w:t>
      </w:r>
      <w:r>
        <w:rPr>
          <w:spacing w:val="-12"/>
          <w:sz w:val="20"/>
        </w:rPr>
        <w:t xml:space="preserve"> </w:t>
      </w:r>
      <w:r>
        <w:rPr>
          <w:sz w:val="20"/>
        </w:rPr>
        <w:t>proposed</w:t>
      </w:r>
      <w:r>
        <w:rPr>
          <w:spacing w:val="-12"/>
          <w:sz w:val="20"/>
        </w:rPr>
        <w:t xml:space="preserve"> </w:t>
      </w:r>
      <w:r>
        <w:rPr>
          <w:sz w:val="20"/>
        </w:rPr>
        <w:t>transaction</w:t>
      </w:r>
      <w:r>
        <w:rPr>
          <w:spacing w:val="-7"/>
          <w:sz w:val="20"/>
        </w:rPr>
        <w:t xml:space="preserve"> </w:t>
      </w:r>
      <w:r>
        <w:rPr>
          <w:sz w:val="20"/>
        </w:rPr>
        <w:t>may</w:t>
      </w:r>
      <w:r>
        <w:rPr>
          <w:spacing w:val="-13"/>
          <w:sz w:val="20"/>
        </w:rPr>
        <w:t xml:space="preserve"> </w:t>
      </w:r>
      <w:r>
        <w:rPr>
          <w:sz w:val="20"/>
        </w:rPr>
        <w:t>obtain</w:t>
      </w:r>
      <w:r>
        <w:rPr>
          <w:spacing w:val="-10"/>
          <w:sz w:val="20"/>
        </w:rPr>
        <w:t xml:space="preserve"> </w:t>
      </w:r>
      <w:r>
        <w:rPr>
          <w:sz w:val="20"/>
        </w:rPr>
        <w:t>additional</w:t>
      </w:r>
      <w:r>
        <w:rPr>
          <w:spacing w:val="-6"/>
          <w:sz w:val="20"/>
        </w:rPr>
        <w:t xml:space="preserve"> </w:t>
      </w:r>
      <w:r>
        <w:rPr>
          <w:sz w:val="20"/>
        </w:rPr>
        <w:t>guidance</w:t>
      </w:r>
      <w:r>
        <w:rPr>
          <w:spacing w:val="-9"/>
          <w:sz w:val="20"/>
        </w:rPr>
        <w:t xml:space="preserve"> </w:t>
      </w:r>
      <w:r>
        <w:rPr>
          <w:sz w:val="20"/>
        </w:rPr>
        <w:t>from</w:t>
      </w:r>
      <w:r>
        <w:rPr>
          <w:spacing w:val="-11"/>
          <w:sz w:val="20"/>
        </w:rPr>
        <w:t xml:space="preserve"> </w:t>
      </w:r>
      <w:r>
        <w:rPr>
          <w:sz w:val="20"/>
        </w:rPr>
        <w:t>EWI’s</w:t>
      </w:r>
      <w:r>
        <w:rPr>
          <w:spacing w:val="-9"/>
          <w:sz w:val="20"/>
        </w:rPr>
        <w:t xml:space="preserve"> </w:t>
      </w:r>
      <w:r>
        <w:rPr>
          <w:sz w:val="20"/>
        </w:rPr>
        <w:t xml:space="preserve">General </w:t>
      </w:r>
      <w:r>
        <w:rPr>
          <w:spacing w:val="-2"/>
          <w:sz w:val="20"/>
        </w:rPr>
        <w:t>Counsel.</w:t>
      </w:r>
    </w:p>
    <w:p>
      <w:pPr>
        <w:pStyle w:val="TextBody"/>
        <w:bidi w:val="0"/>
        <w:spacing w:before="120" w:after="0"/>
        <w:ind w:left="1101" w:right="325" w:hanging="359"/>
        <w:jc w:val="left"/>
        <w:rPr/>
      </w:pPr>
      <w:r>
        <w:rPr/>
        <w:t></w:t>
      </w:r>
      <w:r>
        <w:rPr>
          <w:caps w:val="false"/>
          <w:smallCaps w:val="false"/>
        </w:rPr>
        <w:t xml:space="preserve">         </w:t>
      </w:r>
      <w:r>
        <w:rPr>
          <w:sz w:val="20"/>
          <w:u w:val="single"/>
        </w:rPr>
        <w:t>Periodic Preventive E-mail Alerts/Reminders</w:t>
      </w:r>
      <w:r>
        <w:rPr>
          <w:sz w:val="20"/>
        </w:rPr>
        <w:t>. Because the risk of inadvertent Form</w:t>
      </w:r>
      <w:r>
        <w:rPr>
          <w:spacing w:val="-3"/>
          <w:sz w:val="20"/>
        </w:rPr>
        <w:t xml:space="preserve"> </w:t>
      </w:r>
      <w:r>
        <w:rPr>
          <w:sz w:val="20"/>
        </w:rPr>
        <w:t>4 filing</w:t>
      </w:r>
      <w:r>
        <w:rPr>
          <w:spacing w:val="-4"/>
          <w:sz w:val="20"/>
        </w:rPr>
        <w:t xml:space="preserve"> </w:t>
      </w:r>
      <w:r>
        <w:rPr>
          <w:sz w:val="20"/>
        </w:rPr>
        <w:t>violations</w:t>
      </w:r>
      <w:r>
        <w:rPr>
          <w:spacing w:val="-1"/>
          <w:sz w:val="20"/>
        </w:rPr>
        <w:t xml:space="preserve"> </w:t>
      </w:r>
      <w:r>
        <w:rPr>
          <w:sz w:val="20"/>
        </w:rPr>
        <w:t>is so</w:t>
      </w:r>
      <w:r>
        <w:rPr>
          <w:spacing w:val="-4"/>
          <w:sz w:val="20"/>
        </w:rPr>
        <w:t xml:space="preserve"> </w:t>
      </w:r>
      <w:r>
        <w:rPr>
          <w:sz w:val="20"/>
        </w:rPr>
        <w:t>high</w:t>
      </w:r>
      <w:r>
        <w:rPr>
          <w:spacing w:val="-2"/>
          <w:sz w:val="20"/>
        </w:rPr>
        <w:t xml:space="preserve"> </w:t>
      </w:r>
      <w:r>
        <w:rPr>
          <w:sz w:val="20"/>
        </w:rPr>
        <w:t>and</w:t>
      </w:r>
      <w:r>
        <w:rPr>
          <w:spacing w:val="-2"/>
          <w:sz w:val="20"/>
        </w:rPr>
        <w:t xml:space="preserve"> </w:t>
      </w:r>
      <w:r>
        <w:rPr>
          <w:sz w:val="20"/>
        </w:rPr>
        <w:t>because</w:t>
      </w:r>
      <w:r>
        <w:rPr>
          <w:spacing w:val="-1"/>
          <w:sz w:val="20"/>
        </w:rPr>
        <w:t xml:space="preserve"> </w:t>
      </w:r>
      <w:r>
        <w:rPr>
          <w:sz w:val="20"/>
        </w:rPr>
        <w:t>of heightened public</w:t>
      </w:r>
      <w:r>
        <w:rPr>
          <w:spacing w:val="-1"/>
          <w:sz w:val="20"/>
        </w:rPr>
        <w:t xml:space="preserve"> </w:t>
      </w:r>
      <w:r>
        <w:rPr>
          <w:sz w:val="20"/>
        </w:rPr>
        <w:t>scrutiny,</w:t>
      </w:r>
      <w:r>
        <w:rPr>
          <w:spacing w:val="-2"/>
          <w:sz w:val="20"/>
        </w:rPr>
        <w:t xml:space="preserve"> </w:t>
      </w:r>
      <w:r>
        <w:rPr>
          <w:sz w:val="20"/>
        </w:rPr>
        <w:t>we will</w:t>
      </w:r>
      <w:r>
        <w:rPr>
          <w:spacing w:val="-1"/>
          <w:sz w:val="20"/>
        </w:rPr>
        <w:t xml:space="preserve"> </w:t>
      </w:r>
      <w:r>
        <w:rPr>
          <w:sz w:val="20"/>
        </w:rPr>
        <w:t>continue our</w:t>
      </w:r>
      <w:r>
        <w:rPr>
          <w:spacing w:val="-6"/>
          <w:sz w:val="20"/>
        </w:rPr>
        <w:t xml:space="preserve"> </w:t>
      </w:r>
      <w:r>
        <w:rPr>
          <w:sz w:val="20"/>
        </w:rPr>
        <w:t>practice</w:t>
      </w:r>
      <w:r>
        <w:rPr>
          <w:spacing w:val="-7"/>
          <w:sz w:val="20"/>
        </w:rPr>
        <w:t xml:space="preserve"> </w:t>
      </w:r>
      <w:r>
        <w:rPr>
          <w:sz w:val="20"/>
        </w:rPr>
        <w:t>of</w:t>
      </w:r>
      <w:r>
        <w:rPr>
          <w:spacing w:val="-9"/>
          <w:sz w:val="20"/>
        </w:rPr>
        <w:t xml:space="preserve"> </w:t>
      </w:r>
      <w:r>
        <w:rPr>
          <w:sz w:val="20"/>
        </w:rPr>
        <w:t>sending</w:t>
      </w:r>
      <w:r>
        <w:rPr>
          <w:spacing w:val="-11"/>
          <w:sz w:val="20"/>
        </w:rPr>
        <w:t xml:space="preserve"> </w:t>
      </w:r>
      <w:r>
        <w:rPr>
          <w:sz w:val="20"/>
        </w:rPr>
        <w:t>you</w:t>
      </w:r>
      <w:r>
        <w:rPr>
          <w:spacing w:val="-11"/>
          <w:sz w:val="20"/>
        </w:rPr>
        <w:t xml:space="preserve"> </w:t>
      </w:r>
      <w:r>
        <w:rPr>
          <w:sz w:val="20"/>
        </w:rPr>
        <w:t>periodic</w:t>
      </w:r>
      <w:r>
        <w:rPr>
          <w:spacing w:val="-9"/>
          <w:sz w:val="20"/>
        </w:rPr>
        <w:t xml:space="preserve"> </w:t>
      </w:r>
      <w:r>
        <w:rPr>
          <w:sz w:val="20"/>
        </w:rPr>
        <w:t>preventive</w:t>
      </w:r>
      <w:r>
        <w:rPr>
          <w:spacing w:val="-9"/>
          <w:sz w:val="20"/>
        </w:rPr>
        <w:t xml:space="preserve"> </w:t>
      </w:r>
      <w:r>
        <w:rPr>
          <w:sz w:val="20"/>
        </w:rPr>
        <w:t>Reminders</w:t>
      </w:r>
      <w:r>
        <w:rPr>
          <w:spacing w:val="-10"/>
          <w:sz w:val="20"/>
        </w:rPr>
        <w:t xml:space="preserve"> </w:t>
      </w:r>
      <w:r>
        <w:rPr>
          <w:sz w:val="20"/>
        </w:rPr>
        <w:t>and</w:t>
      </w:r>
      <w:r>
        <w:rPr>
          <w:spacing w:val="-7"/>
          <w:sz w:val="20"/>
        </w:rPr>
        <w:t xml:space="preserve"> </w:t>
      </w:r>
      <w:r>
        <w:rPr>
          <w:sz w:val="20"/>
        </w:rPr>
        <w:t>Alerts</w:t>
      </w:r>
      <w:r>
        <w:rPr>
          <w:spacing w:val="-9"/>
          <w:sz w:val="20"/>
        </w:rPr>
        <w:t xml:space="preserve"> </w:t>
      </w:r>
      <w:r>
        <w:rPr>
          <w:sz w:val="20"/>
        </w:rPr>
        <w:t>during</w:t>
      </w:r>
      <w:r>
        <w:rPr>
          <w:spacing w:val="-11"/>
          <w:sz w:val="20"/>
        </w:rPr>
        <w:t xml:space="preserve"> </w:t>
      </w:r>
      <w:r>
        <w:rPr>
          <w:sz w:val="20"/>
        </w:rPr>
        <w:t>the</w:t>
      </w:r>
      <w:r>
        <w:rPr>
          <w:spacing w:val="-9"/>
          <w:sz w:val="20"/>
        </w:rPr>
        <w:t xml:space="preserve"> </w:t>
      </w:r>
      <w:r>
        <w:rPr>
          <w:sz w:val="20"/>
        </w:rPr>
        <w:t>course of the year.</w:t>
      </w:r>
    </w:p>
    <w:p>
      <w:pPr>
        <w:pStyle w:val="TextBody"/>
        <w:bidi w:val="0"/>
        <w:spacing w:before="122" w:after="120"/>
        <w:ind w:left="22" w:right="199" w:hanging="0"/>
        <w:jc w:val="left"/>
        <w:rPr>
          <w:sz w:val="20"/>
        </w:rPr>
      </w:pPr>
      <w:r>
        <w:rPr>
          <w:b/>
          <w:sz w:val="20"/>
        </w:rPr>
        <w:t>Notwithstanding</w:t>
      </w:r>
      <w:r>
        <w:rPr>
          <w:spacing w:val="-11"/>
          <w:sz w:val="20"/>
        </w:rPr>
        <w:t xml:space="preserve"> </w:t>
      </w:r>
      <w:r>
        <w:rPr>
          <w:b/>
          <w:sz w:val="20"/>
        </w:rPr>
        <w:t>the</w:t>
      </w:r>
      <w:r>
        <w:rPr>
          <w:spacing w:val="-10"/>
          <w:sz w:val="20"/>
        </w:rPr>
        <w:t xml:space="preserve"> </w:t>
      </w:r>
      <w:r>
        <w:rPr>
          <w:b/>
          <w:sz w:val="20"/>
        </w:rPr>
        <w:t>Company’s</w:t>
      </w:r>
      <w:r>
        <w:rPr>
          <w:spacing w:val="-13"/>
          <w:sz w:val="20"/>
        </w:rPr>
        <w:t xml:space="preserve"> </w:t>
      </w:r>
      <w:r>
        <w:rPr>
          <w:b/>
          <w:sz w:val="20"/>
        </w:rPr>
        <w:t>willingness</w:t>
      </w:r>
      <w:r>
        <w:rPr>
          <w:spacing w:val="-13"/>
          <w:sz w:val="20"/>
        </w:rPr>
        <w:t xml:space="preserve"> </w:t>
      </w:r>
      <w:r>
        <w:rPr>
          <w:b/>
          <w:sz w:val="20"/>
        </w:rPr>
        <w:t>to</w:t>
      </w:r>
      <w:r>
        <w:rPr>
          <w:spacing w:val="-9"/>
          <w:sz w:val="20"/>
        </w:rPr>
        <w:t xml:space="preserve"> </w:t>
      </w:r>
      <w:r>
        <w:rPr>
          <w:b/>
          <w:sz w:val="20"/>
        </w:rPr>
        <w:t>assist</w:t>
      </w:r>
      <w:r>
        <w:rPr>
          <w:spacing w:val="-10"/>
          <w:sz w:val="20"/>
        </w:rPr>
        <w:t xml:space="preserve"> </w:t>
      </w:r>
      <w:r>
        <w:rPr>
          <w:b/>
          <w:sz w:val="20"/>
        </w:rPr>
        <w:t>you</w:t>
      </w:r>
      <w:r>
        <w:rPr>
          <w:spacing w:val="-14"/>
          <w:sz w:val="20"/>
        </w:rPr>
        <w:t xml:space="preserve"> </w:t>
      </w:r>
      <w:r>
        <w:rPr>
          <w:b/>
          <w:sz w:val="20"/>
        </w:rPr>
        <w:t>with</w:t>
      </w:r>
      <w:r>
        <w:rPr>
          <w:spacing w:val="-9"/>
          <w:sz w:val="20"/>
        </w:rPr>
        <w:t xml:space="preserve"> </w:t>
      </w:r>
      <w:r>
        <w:rPr>
          <w:b/>
          <w:sz w:val="20"/>
        </w:rPr>
        <w:t>your</w:t>
      </w:r>
      <w:r>
        <w:rPr>
          <w:spacing w:val="-13"/>
          <w:sz w:val="20"/>
        </w:rPr>
        <w:t xml:space="preserve"> </w:t>
      </w:r>
      <w:r>
        <w:rPr>
          <w:b/>
          <w:sz w:val="20"/>
        </w:rPr>
        <w:t>filings,</w:t>
      </w:r>
      <w:r>
        <w:rPr>
          <w:spacing w:val="-9"/>
          <w:sz w:val="20"/>
        </w:rPr>
        <w:t xml:space="preserve"> </w:t>
      </w:r>
      <w:r>
        <w:rPr>
          <w:b/>
          <w:sz w:val="20"/>
        </w:rPr>
        <w:t>please</w:t>
      </w:r>
      <w:r>
        <w:rPr>
          <w:spacing w:val="-13"/>
          <w:sz w:val="20"/>
        </w:rPr>
        <w:t xml:space="preserve"> </w:t>
      </w:r>
      <w:r>
        <w:rPr>
          <w:b/>
          <w:sz w:val="20"/>
        </w:rPr>
        <w:t>remember that the reporting obligation is ultimately yours.</w:t>
      </w:r>
    </w:p>
    <w:p>
      <w:pPr>
        <w:pStyle w:val="TextBody"/>
        <w:bidi w:val="0"/>
        <w:spacing w:before="0" w:after="0"/>
        <w:jc w:val="center"/>
        <w:rPr>
          <w:sz w:val="20"/>
        </w:rPr>
      </w:pPr>
      <w:r>
        <w:rPr>
          <w:sz w:val="20"/>
        </w:rPr>
        <w:t>9</w:t>
      </w:r>
    </w:p>
    <w:p>
      <w:pPr>
        <w:pStyle w:val="HorizontalLine"/>
        <w:pBdr>
          <w:bottom w:val="double" w:sz="2" w:space="0" w:color="808080"/>
        </w:pBdr>
        <w:bidi w:val="0"/>
        <w:jc w:val="center"/>
        <w:rPr/>
      </w:pPr>
      <w:r>
        <w:rPr/>
      </w:r>
    </w:p>
    <w:p>
      <w:pPr>
        <w:pStyle w:val="TextBody"/>
        <w:bidi w:val="0"/>
        <w:spacing w:before="122" w:after="0"/>
        <w:ind w:left="0" w:right="199" w:hanging="0"/>
        <w:jc w:val="left"/>
        <w:rPr/>
      </w:pPr>
      <w:r>
        <w:rPr/>
        <w:t> </w:t>
      </w:r>
    </w:p>
    <w:p>
      <w:pPr>
        <w:pStyle w:val="TextBody"/>
        <w:bidi w:val="0"/>
        <w:spacing w:lineRule="auto" w:line="14" w:before="0" w:after="0"/>
        <w:jc w:val="left"/>
        <w:rPr/>
      </w:pPr>
      <w:r>
        <w:drawing>
          <wp:anchor behindDoc="0" distT="7700010" distB="0" distL="3202940" distR="0" simplePos="0" locked="0" layoutInCell="1" allowOverlap="1" relativeHeight="11">
            <wp:simplePos x="0" y="0"/>
            <wp:positionH relativeFrom="character">
              <wp:align>left</wp:align>
            </wp:positionH>
            <wp:positionV relativeFrom="line">
              <wp:align>top</wp:align>
            </wp:positionV>
            <wp:extent cx="285750" cy="180975"/>
            <wp:effectExtent l="0" t="0" r="0" b="0"/>
            <wp:wrapNone/>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8"/>
                    <a:stretch>
                      <a:fillRect/>
                    </a:stretch>
                  </pic:blipFill>
                  <pic:spPr bwMode="auto">
                    <a:xfrm>
                      <a:off x="0" y="0"/>
                      <a:ext cx="285750" cy="180975"/>
                    </a:xfrm>
                    <a:prstGeom prst="rect">
                      <a:avLst/>
                    </a:prstGeom>
                  </pic:spPr>
                </pic:pic>
              </a:graphicData>
            </a:graphic>
          </wp:anchor>
        </w:drawing>
      </w:r>
      <w:r>
        <w:rPr/>
        <w:t> </w:t>
      </w:r>
    </w:p>
    <w:p>
      <w:pPr>
        <w:pStyle w:val="TextBody"/>
        <w:bidi w:val="0"/>
        <w:spacing w:lineRule="atLeast" w:line="240" w:before="0" w:after="0"/>
        <w:jc w:val="right"/>
        <w:rPr>
          <w:b/>
          <w:sz w:val="20"/>
        </w:rPr>
      </w:pPr>
      <w:bookmarkStart w:id="82" w:name="ex211_2.htm"/>
      <w:bookmarkStart w:id="83" w:name="ksex211_2"/>
      <w:bookmarkEnd w:id="82"/>
      <w:bookmarkEnd w:id="83"/>
      <w:r>
        <w:rPr>
          <w:b/>
          <w:sz w:val="20"/>
        </w:rPr>
        <w:t>Exhibit 21.1</w:t>
      </w:r>
      <w:r>
        <w:br w:type="page"/>
      </w:r>
    </w:p>
    <w:p>
      <w:pPr>
        <w:pStyle w:val="TextBody"/>
        <w:bidi w:val="0"/>
        <w:spacing w:lineRule="atLeast" w:line="240" w:before="0" w:after="0"/>
        <w:jc w:val="right"/>
        <w:rPr/>
      </w:pPr>
      <w:r>
        <w:rPr/>
        <w:t> </w:t>
      </w:r>
    </w:p>
    <w:p>
      <w:pPr>
        <w:pStyle w:val="TextBody"/>
        <w:bidi w:val="0"/>
        <w:spacing w:lineRule="atLeast" w:line="240" w:before="0" w:after="0"/>
        <w:jc w:val="left"/>
        <w:rPr>
          <w:b/>
          <w:sz w:val="20"/>
        </w:rPr>
      </w:pPr>
      <w:r>
        <w:rPr>
          <w:b/>
          <w:sz w:val="20"/>
        </w:rPr>
        <w:t>Euronet Worldwide, Inc. Subsidiaries</w:t>
      </w:r>
    </w:p>
    <w:p>
      <w:pPr>
        <w:pStyle w:val="TextBody"/>
        <w:bidi w:val="0"/>
        <w:spacing w:lineRule="atLeast" w:line="240" w:before="120" w:after="120"/>
        <w:jc w:val="left"/>
        <w:rPr>
          <w:sz w:val="20"/>
        </w:rPr>
      </w:pPr>
      <w:r>
        <w:rPr>
          <w:sz w:val="20"/>
        </w:rPr>
        <w:t>As of December 31, 2025, Euronet's wholly owned subsidiaries were:</w:t>
      </w:r>
    </w:p>
    <w:p>
      <w:pPr>
        <w:pStyle w:val="TextBody"/>
        <w:bidi w:val="0"/>
        <w:spacing w:lineRule="atLeast" w:line="240" w:before="0" w:after="0"/>
        <w:ind w:left="720" w:right="0" w:hanging="360"/>
        <w:jc w:val="left"/>
        <w:rPr/>
      </w:pPr>
      <w:r>
        <w:rPr/>
        <w:t xml:space="preserve">         </w:t>
      </w:r>
      <w:r>
        <w:rPr>
          <w:sz w:val="20"/>
        </w:rPr>
        <w:t>Euronet</w:t>
      </w:r>
      <w:r>
        <w:rPr/>
        <w:t> </w:t>
      </w:r>
      <w:r>
        <w:rPr>
          <w:sz w:val="20"/>
        </w:rPr>
        <w:t>Services Albania SPHK, incorporated in Albania</w:t>
      </w:r>
    </w:p>
    <w:p>
      <w:pPr>
        <w:pStyle w:val="TextBody"/>
        <w:bidi w:val="0"/>
        <w:spacing w:lineRule="atLeast" w:line="240" w:before="0" w:after="0"/>
        <w:ind w:left="720" w:right="0" w:hanging="360"/>
        <w:jc w:val="left"/>
        <w:rPr/>
      </w:pPr>
      <w:r>
        <w:rPr/>
        <w:t>         </w:t>
      </w:r>
      <w:r>
        <w:rPr>
          <w:sz w:val="20"/>
        </w:rPr>
        <w:t>epay</w:t>
      </w:r>
      <w:r>
        <w:rPr/>
        <w:t> </w:t>
      </w:r>
      <w:r>
        <w:rPr>
          <w:sz w:val="20"/>
        </w:rPr>
        <w:t>Australia Holdings Pty Ltd, incorporated in Australia</w:t>
      </w:r>
    </w:p>
    <w:p>
      <w:pPr>
        <w:pStyle w:val="TextBody"/>
        <w:bidi w:val="0"/>
        <w:spacing w:lineRule="atLeast" w:line="240" w:before="0" w:after="0"/>
        <w:ind w:left="720" w:right="0" w:hanging="360"/>
        <w:jc w:val="left"/>
        <w:rPr/>
      </w:pPr>
      <w:r>
        <w:rPr/>
        <w:t xml:space="preserve">         </w:t>
      </w:r>
      <w:r>
        <w:rPr>
          <w:sz w:val="20"/>
        </w:rPr>
        <w:t>epay Australia Pty Ltd, incorporated in Australia</w:t>
      </w:r>
    </w:p>
    <w:p>
      <w:pPr>
        <w:pStyle w:val="TextBody"/>
        <w:bidi w:val="0"/>
        <w:spacing w:lineRule="atLeast" w:line="240" w:before="0" w:after="0"/>
        <w:ind w:left="720" w:right="0" w:hanging="360"/>
        <w:jc w:val="left"/>
        <w:rPr/>
      </w:pPr>
      <w:r>
        <w:rPr/>
        <w:t xml:space="preserve">         </w:t>
      </w:r>
      <w:r>
        <w:rPr>
          <w:sz w:val="20"/>
        </w:rPr>
        <w:t>HiFX Australia Pty Ltd, incorporated in Australia</w:t>
      </w:r>
    </w:p>
    <w:p>
      <w:pPr>
        <w:pStyle w:val="TextBody"/>
        <w:bidi w:val="0"/>
        <w:spacing w:lineRule="atLeast" w:line="240" w:before="0" w:after="0"/>
        <w:ind w:left="720" w:right="0" w:hanging="360"/>
        <w:jc w:val="left"/>
        <w:rPr/>
      </w:pPr>
      <w:r>
        <w:rPr/>
        <w:t xml:space="preserve">         </w:t>
      </w:r>
      <w:r>
        <w:rPr>
          <w:sz w:val="20"/>
        </w:rPr>
        <w:t>Pure Commerce Pty Limited, incorporated in Australia</w:t>
      </w:r>
    </w:p>
    <w:p>
      <w:pPr>
        <w:pStyle w:val="TextBody"/>
        <w:bidi w:val="0"/>
        <w:spacing w:lineRule="atLeast" w:line="240" w:before="0" w:after="0"/>
        <w:ind w:left="720" w:right="0" w:hanging="360"/>
        <w:jc w:val="left"/>
        <w:rPr/>
      </w:pPr>
      <w:r>
        <w:rPr/>
        <w:t xml:space="preserve">         </w:t>
      </w:r>
      <w:r>
        <w:rPr>
          <w:sz w:val="20"/>
        </w:rPr>
        <w:t>RIA Financial Services Australia Pty. Ltd., incorporated in Australia</w:t>
      </w:r>
    </w:p>
    <w:p>
      <w:pPr>
        <w:pStyle w:val="TextBody"/>
        <w:bidi w:val="0"/>
        <w:spacing w:lineRule="atLeast" w:line="240" w:before="0" w:after="0"/>
        <w:ind w:left="720" w:right="0" w:hanging="360"/>
        <w:jc w:val="left"/>
        <w:rPr/>
      </w:pPr>
      <w:r>
        <w:rPr/>
        <w:t>         </w:t>
      </w:r>
      <w:r>
        <w:rPr>
          <w:sz w:val="20"/>
        </w:rPr>
        <w:t>Euronet</w:t>
      </w:r>
      <w:r>
        <w:rPr/>
        <w:t> </w:t>
      </w:r>
      <w:r>
        <w:rPr>
          <w:sz w:val="20"/>
        </w:rPr>
        <w:t>Services Austria GmbH, incorporated in Austria</w:t>
      </w:r>
    </w:p>
    <w:p>
      <w:pPr>
        <w:pStyle w:val="TextBody"/>
        <w:bidi w:val="0"/>
        <w:spacing w:lineRule="atLeast" w:line="240" w:before="0" w:after="0"/>
        <w:ind w:left="720" w:right="0" w:hanging="360"/>
        <w:jc w:val="left"/>
        <w:rPr/>
      </w:pPr>
      <w:r>
        <w:rPr/>
        <w:t xml:space="preserve">         </w:t>
      </w:r>
      <w:r>
        <w:rPr>
          <w:sz w:val="20"/>
        </w:rPr>
        <w:t>RIA Financial Services Austria GmbH, incorporated in Austria</w:t>
      </w:r>
    </w:p>
    <w:p>
      <w:pPr>
        <w:pStyle w:val="TextBody"/>
        <w:bidi w:val="0"/>
        <w:spacing w:lineRule="atLeast" w:line="240" w:before="0" w:after="0"/>
        <w:ind w:left="720" w:right="0" w:hanging="360"/>
        <w:jc w:val="left"/>
        <w:rPr/>
      </w:pPr>
      <w:r>
        <w:rPr/>
        <w:t xml:space="preserve">         </w:t>
      </w:r>
      <w:r>
        <w:rPr>
          <w:sz w:val="20"/>
        </w:rPr>
        <w:t>Euronet</w:t>
      </w:r>
      <w:r>
        <w:rPr/>
        <w:t> </w:t>
      </w:r>
      <w:r>
        <w:rPr>
          <w:sz w:val="20"/>
        </w:rPr>
        <w:t>Middle East, WLL, incorporated in Bahrain</w:t>
      </w:r>
    </w:p>
    <w:p>
      <w:pPr>
        <w:pStyle w:val="TextBody"/>
        <w:bidi w:val="0"/>
        <w:spacing w:lineRule="atLeast" w:line="240" w:before="0" w:after="0"/>
        <w:ind w:left="720" w:right="0" w:hanging="360"/>
        <w:jc w:val="left"/>
        <w:rPr/>
      </w:pPr>
      <w:r>
        <w:rPr/>
        <w:t xml:space="preserve">         </w:t>
      </w:r>
      <w:r>
        <w:rPr>
          <w:sz w:val="20"/>
        </w:rPr>
        <w:t>Innova Taxfree Belgium SPRL, incorporated in Belgium</w:t>
      </w:r>
    </w:p>
    <w:p>
      <w:pPr>
        <w:pStyle w:val="TextBody"/>
        <w:bidi w:val="0"/>
        <w:spacing w:lineRule="atLeast" w:line="240" w:before="0" w:after="0"/>
        <w:ind w:left="720" w:right="0" w:hanging="360"/>
        <w:jc w:val="left"/>
        <w:rPr/>
      </w:pPr>
      <w:r>
        <w:rPr/>
        <w:t xml:space="preserve">         </w:t>
      </w:r>
      <w:r>
        <w:rPr>
          <w:sz w:val="20"/>
        </w:rPr>
        <w:t>RIA Envia Financial Services Belgium SPRL, incorporated in Belgium</w:t>
      </w:r>
    </w:p>
    <w:p>
      <w:pPr>
        <w:pStyle w:val="TextBody"/>
        <w:bidi w:val="0"/>
        <w:spacing w:lineRule="atLeast" w:line="240" w:before="0" w:after="0"/>
        <w:ind w:left="720" w:right="0" w:hanging="360"/>
        <w:jc w:val="left"/>
        <w:rPr/>
      </w:pPr>
      <w:r>
        <w:rPr/>
        <w:t xml:space="preserve">         </w:t>
      </w:r>
      <w:r>
        <w:rPr>
          <w:sz w:val="20"/>
        </w:rPr>
        <w:t>Euronet Services EOOD, incorporated in Bulgaria</w:t>
      </w:r>
    </w:p>
    <w:p>
      <w:pPr>
        <w:pStyle w:val="TextBody"/>
        <w:bidi w:val="0"/>
        <w:spacing w:lineRule="atLeast" w:line="240" w:before="0" w:after="0"/>
        <w:ind w:left="720" w:right="0" w:hanging="360"/>
        <w:jc w:val="left"/>
        <w:rPr/>
      </w:pPr>
      <w:r>
        <w:rPr/>
        <w:t xml:space="preserve">         </w:t>
      </w:r>
      <w:r>
        <w:rPr>
          <w:sz w:val="20"/>
        </w:rPr>
        <w:t>Telecom</w:t>
      </w:r>
      <w:r>
        <w:rPr/>
        <w:t> </w:t>
      </w:r>
      <w:r>
        <w:rPr>
          <w:sz w:val="20"/>
        </w:rPr>
        <w:t>Net S.A. Logistica</w:t>
      </w:r>
      <w:r>
        <w:rPr/>
        <w:t> </w:t>
      </w:r>
      <w:r>
        <w:rPr>
          <w:sz w:val="20"/>
        </w:rPr>
        <w:t>Digital, incorporated in Brazil</w:t>
      </w:r>
    </w:p>
    <w:p>
      <w:pPr>
        <w:pStyle w:val="TextBody"/>
        <w:bidi w:val="0"/>
        <w:spacing w:lineRule="atLeast" w:line="240" w:before="0" w:after="0"/>
        <w:ind w:left="720" w:right="0" w:hanging="360"/>
        <w:jc w:val="left"/>
        <w:rPr/>
      </w:pPr>
      <w:r>
        <w:rPr/>
        <w:t xml:space="preserve">         </w:t>
      </w:r>
      <w:r>
        <w:rPr>
          <w:sz w:val="20"/>
        </w:rPr>
        <w:t>Gescoro Inc., incorporated in Canada</w:t>
      </w:r>
    </w:p>
    <w:p>
      <w:pPr>
        <w:pStyle w:val="TextBody"/>
        <w:bidi w:val="0"/>
        <w:spacing w:lineRule="atLeast" w:line="240" w:before="0" w:after="0"/>
        <w:ind w:left="720" w:right="0" w:hanging="360"/>
        <w:jc w:val="left"/>
        <w:rPr/>
      </w:pPr>
      <w:r>
        <w:rPr/>
        <w:t xml:space="preserve">         </w:t>
      </w:r>
      <w:r>
        <w:rPr>
          <w:sz w:val="20"/>
        </w:rPr>
        <w:t>RIA Telecommunications of Canada Inc., incorporated in Canada</w:t>
      </w:r>
    </w:p>
    <w:p>
      <w:pPr>
        <w:pStyle w:val="TextBody"/>
        <w:bidi w:val="0"/>
        <w:spacing w:lineRule="atLeast" w:line="240" w:before="0" w:after="0"/>
        <w:ind w:left="720" w:right="0" w:hanging="360"/>
        <w:jc w:val="left"/>
        <w:rPr/>
      </w:pPr>
      <w:r>
        <w:rPr/>
        <w:t>         </w:t>
      </w:r>
      <w:r>
        <w:rPr>
          <w:sz w:val="20"/>
        </w:rPr>
        <w:t>XE Corporation, incorporated in Canada</w:t>
      </w:r>
    </w:p>
    <w:p>
      <w:pPr>
        <w:pStyle w:val="TextBody"/>
        <w:bidi w:val="0"/>
        <w:spacing w:lineRule="atLeast" w:line="240" w:before="0" w:after="0"/>
        <w:ind w:left="720" w:right="0" w:hanging="360"/>
        <w:jc w:val="left"/>
        <w:rPr/>
      </w:pPr>
      <w:r>
        <w:rPr/>
        <w:t>         </w:t>
      </w:r>
      <w:r>
        <w:rPr>
          <w:sz w:val="20"/>
        </w:rPr>
        <w:t>Ria Chile Servicios Financieros SpA, incorporated in Chile</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CoreCard Columbia SAS incorporated in Colombia</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Ria</w:t>
      </w:r>
      <w:r>
        <w:rPr/>
        <w:t> </w:t>
      </w:r>
      <w:r>
        <w:rPr>
          <w:sz w:val="20"/>
        </w:rPr>
        <w:t>Colombia SEDPE SA, incorporated in Colombia</w:t>
      </w:r>
    </w:p>
    <w:p>
      <w:pPr>
        <w:pStyle w:val="TextBody"/>
        <w:bidi w:val="0"/>
        <w:spacing w:lineRule="atLeast" w:line="240" w:before="0" w:after="0"/>
        <w:ind w:left="720" w:right="0" w:hanging="360"/>
        <w:jc w:val="left"/>
        <w:rPr/>
      </w:pPr>
      <w:r>
        <w:rPr/>
        <w:t xml:space="preserve">         </w:t>
      </w:r>
      <w:r>
        <w:rPr>
          <w:sz w:val="20"/>
        </w:rPr>
        <w:t>EFT-Usluge d.o.o., incorporated in Croatia</w:t>
      </w:r>
    </w:p>
    <w:p>
      <w:pPr>
        <w:pStyle w:val="TextBody"/>
        <w:bidi w:val="0"/>
        <w:spacing w:lineRule="atLeast" w:line="240" w:before="0" w:after="0"/>
        <w:ind w:left="720" w:right="0" w:hanging="360"/>
        <w:jc w:val="left"/>
        <w:rPr/>
      </w:pPr>
      <w:r>
        <w:rPr/>
        <w:t xml:space="preserve">         </w:t>
      </w:r>
      <w:r>
        <w:rPr>
          <w:sz w:val="20"/>
        </w:rPr>
        <w:t>Euronet Services, Spol. s r.o., incorporated in the Czech Republic</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Euronet Services Denmark ApS incorporated in Denmark</w:t>
      </w:r>
    </w:p>
    <w:p>
      <w:pPr>
        <w:pStyle w:val="TextBody"/>
        <w:bidi w:val="0"/>
        <w:spacing w:lineRule="atLeast" w:line="240" w:before="0" w:after="0"/>
        <w:ind w:left="720" w:right="0" w:hanging="360"/>
        <w:jc w:val="left"/>
        <w:rPr/>
      </w:pPr>
      <w:r>
        <w:rPr/>
        <w:t xml:space="preserve">         </w:t>
      </w:r>
      <w:r>
        <w:rPr>
          <w:sz w:val="20"/>
        </w:rPr>
        <w:t>RIA Financial Services, Denmark ApS, incorporated in Denmark</w:t>
      </w:r>
    </w:p>
    <w:p>
      <w:pPr>
        <w:pStyle w:val="TextBody"/>
        <w:bidi w:val="0"/>
        <w:spacing w:lineRule="atLeast" w:line="240" w:before="0" w:after="0"/>
        <w:ind w:left="720" w:right="0" w:hanging="360"/>
        <w:jc w:val="left"/>
        <w:rPr/>
      </w:pPr>
      <w:r>
        <w:rPr/>
        <w:t xml:space="preserve">         </w:t>
      </w:r>
      <w:r>
        <w:rPr>
          <w:sz w:val="20"/>
        </w:rPr>
        <w:t>RIA de la Hispaniola, C.porA, incorporated in Dominican Republic</w:t>
      </w:r>
    </w:p>
    <w:p>
      <w:pPr>
        <w:pStyle w:val="TextBody"/>
        <w:bidi w:val="0"/>
        <w:spacing w:lineRule="atLeast" w:line="240" w:before="0" w:after="0"/>
        <w:ind w:left="720" w:right="0" w:hanging="360"/>
        <w:jc w:val="left"/>
        <w:rPr/>
      </w:pPr>
      <w:r>
        <w:rPr/>
        <w:t>         </w:t>
      </w:r>
      <w:r>
        <w:rPr>
          <w:sz w:val="20"/>
        </w:rPr>
        <w:t>Ria DRC SARL, incorporated in Democratic Republic of the Congo</w:t>
      </w:r>
    </w:p>
    <w:p>
      <w:pPr>
        <w:pStyle w:val="TextBody"/>
        <w:bidi w:val="0"/>
        <w:spacing w:lineRule="atLeast" w:line="240" w:before="0" w:after="0"/>
        <w:ind w:left="720" w:right="0" w:hanging="360"/>
        <w:jc w:val="left"/>
        <w:rPr/>
      </w:pPr>
      <w:r>
        <w:rPr/>
        <w:t xml:space="preserve">         </w:t>
      </w:r>
      <w:r>
        <w:rPr>
          <w:sz w:val="20"/>
        </w:rPr>
        <w:t>RIA de Centroamerica, S.A. de C.V., incorporated in El Salvador</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RIA Money Transfer El Salvador, S.A. de C.V.</w:t>
      </w:r>
      <w:r>
        <w:rPr/>
        <w:t xml:space="preserve">  </w:t>
      </w:r>
      <w:r>
        <w:rPr>
          <w:sz w:val="20"/>
        </w:rPr>
        <w:t>incorporated in El Salvador</w:t>
      </w:r>
    </w:p>
    <w:p>
      <w:pPr>
        <w:pStyle w:val="TextBody"/>
        <w:bidi w:val="0"/>
        <w:spacing w:lineRule="atLeast" w:line="240" w:before="0" w:after="0"/>
        <w:ind w:left="720" w:right="0" w:hanging="360"/>
        <w:jc w:val="left"/>
        <w:rPr/>
      </w:pPr>
      <w:r>
        <w:rPr/>
        <w:t>         </w:t>
      </w:r>
      <w:r>
        <w:rPr>
          <w:sz w:val="20"/>
        </w:rPr>
        <w:t>Euronet</w:t>
      </w:r>
      <w:r>
        <w:rPr/>
        <w:t> </w:t>
      </w:r>
      <w:r>
        <w:rPr>
          <w:sz w:val="20"/>
        </w:rPr>
        <w:t>Services S.A., incorporated in Ecuador</w:t>
      </w:r>
    </w:p>
    <w:p>
      <w:pPr>
        <w:pStyle w:val="TextBody"/>
        <w:bidi w:val="0"/>
        <w:spacing w:lineRule="atLeast" w:line="240" w:before="0" w:after="0"/>
        <w:ind w:left="720" w:right="0" w:hanging="360"/>
        <w:jc w:val="left"/>
        <w:rPr/>
      </w:pPr>
      <w:r>
        <w:rPr/>
        <w:t>         </w:t>
      </w:r>
      <w:r>
        <w:rPr>
          <w:sz w:val="20"/>
        </w:rPr>
        <w:t>Euronet</w:t>
      </w:r>
      <w:r>
        <w:rPr/>
        <w:t> </w:t>
      </w:r>
      <w:r>
        <w:rPr>
          <w:sz w:val="20"/>
        </w:rPr>
        <w:t>Middle East, Africa, and Pakistan, LLC, incorporated in Egypt</w:t>
      </w:r>
    </w:p>
    <w:p>
      <w:pPr>
        <w:pStyle w:val="TextBody"/>
        <w:bidi w:val="0"/>
        <w:spacing w:lineRule="atLeast" w:line="240" w:before="0" w:after="0"/>
        <w:ind w:left="720" w:right="0" w:hanging="360"/>
        <w:jc w:val="left"/>
        <w:rPr/>
      </w:pPr>
      <w:r>
        <w:rPr/>
        <w:t>         </w:t>
      </w:r>
      <w:r>
        <w:rPr>
          <w:sz w:val="20"/>
        </w:rPr>
        <w:t>Euronet</w:t>
      </w:r>
      <w:r>
        <w:rPr/>
        <w:t> </w:t>
      </w:r>
      <w:r>
        <w:rPr>
          <w:sz w:val="20"/>
        </w:rPr>
        <w:t>Services Estonia OU, incorporated in Estonia</w:t>
      </w:r>
    </w:p>
    <w:p>
      <w:pPr>
        <w:pStyle w:val="TextBody"/>
        <w:bidi w:val="0"/>
        <w:spacing w:lineRule="atLeast" w:line="240" w:before="0" w:after="0"/>
        <w:ind w:left="720" w:right="0" w:hanging="360"/>
        <w:jc w:val="left"/>
        <w:rPr/>
      </w:pPr>
      <w:r>
        <w:rPr/>
        <w:t xml:space="preserve">         </w:t>
      </w:r>
      <w:r>
        <w:rPr>
          <w:sz w:val="20"/>
        </w:rPr>
        <w:t>epay Digital SAS, incorporated in France</w:t>
      </w:r>
    </w:p>
    <w:p>
      <w:pPr>
        <w:pStyle w:val="TextBody"/>
        <w:bidi w:val="0"/>
        <w:spacing w:lineRule="atLeast" w:line="240" w:before="0" w:after="0"/>
        <w:ind w:left="720" w:right="0" w:hanging="360"/>
        <w:jc w:val="left"/>
        <w:rPr/>
      </w:pPr>
      <w:r>
        <w:rPr/>
        <w:t xml:space="preserve">         </w:t>
      </w:r>
      <w:r>
        <w:rPr>
          <w:sz w:val="20"/>
        </w:rPr>
        <w:t>Euronet Services SAS, incorporated in France</w:t>
      </w:r>
    </w:p>
    <w:p>
      <w:pPr>
        <w:pStyle w:val="TextBody"/>
        <w:bidi w:val="0"/>
        <w:spacing w:lineRule="atLeast" w:line="240" w:before="0" w:after="0"/>
        <w:ind w:left="720" w:right="0" w:hanging="360"/>
        <w:jc w:val="left"/>
        <w:rPr/>
      </w:pPr>
      <w:r>
        <w:rPr/>
        <w:t xml:space="preserve">         </w:t>
      </w:r>
      <w:r>
        <w:rPr>
          <w:sz w:val="20"/>
        </w:rPr>
        <w:t>Innova Tax Free France S.A.S.U., incorporated in France</w:t>
      </w:r>
    </w:p>
    <w:p>
      <w:pPr>
        <w:pStyle w:val="TextBody"/>
        <w:bidi w:val="0"/>
        <w:spacing w:lineRule="atLeast" w:line="240" w:before="0" w:after="0"/>
        <w:ind w:left="720" w:right="0" w:hanging="360"/>
        <w:jc w:val="left"/>
        <w:rPr/>
      </w:pPr>
      <w:r>
        <w:rPr/>
        <w:t xml:space="preserve">         </w:t>
      </w:r>
      <w:r>
        <w:rPr>
          <w:sz w:val="20"/>
        </w:rPr>
        <w:t>RIA France SAS, incorporated in France</w:t>
      </w:r>
    </w:p>
    <w:p>
      <w:pPr>
        <w:pStyle w:val="TextBody"/>
        <w:bidi w:val="0"/>
        <w:spacing w:lineRule="atLeast" w:line="240" w:before="0" w:after="0"/>
        <w:ind w:left="720" w:right="0" w:hanging="360"/>
        <w:jc w:val="left"/>
        <w:rPr/>
      </w:pPr>
      <w:r>
        <w:rPr/>
        <w:t xml:space="preserve">         </w:t>
      </w:r>
      <w:r>
        <w:rPr>
          <w:sz w:val="20"/>
        </w:rPr>
        <w:t>cadooz GmbH, incorporated in Germany</w:t>
      </w:r>
    </w:p>
    <w:p>
      <w:pPr>
        <w:pStyle w:val="TextBody"/>
        <w:bidi w:val="0"/>
        <w:spacing w:lineRule="atLeast" w:line="240" w:before="0" w:after="0"/>
        <w:ind w:left="720" w:right="0" w:hanging="360"/>
        <w:jc w:val="left"/>
        <w:rPr/>
      </w:pPr>
      <w:r>
        <w:rPr/>
        <w:t xml:space="preserve">         </w:t>
      </w:r>
      <w:r>
        <w:rPr>
          <w:sz w:val="20"/>
        </w:rPr>
        <w:t>cadooz rewards GmbH, incorporated in Germany</w:t>
      </w:r>
    </w:p>
    <w:p>
      <w:pPr>
        <w:pStyle w:val="TextBody"/>
        <w:bidi w:val="0"/>
        <w:spacing w:lineRule="atLeast" w:line="240" w:before="0" w:after="0"/>
        <w:ind w:left="720" w:right="0" w:hanging="360"/>
        <w:jc w:val="left"/>
        <w:rPr/>
      </w:pPr>
      <w:r>
        <w:rPr/>
        <w:t xml:space="preserve">         </w:t>
      </w:r>
      <w:r>
        <w:rPr>
          <w:sz w:val="20"/>
        </w:rPr>
        <w:t>Delta Euronet GmbH, incorporated in Germany</w:t>
      </w:r>
    </w:p>
    <w:p>
      <w:pPr>
        <w:pStyle w:val="TextBody"/>
        <w:bidi w:val="0"/>
        <w:spacing w:lineRule="atLeast" w:line="240" w:before="0" w:after="0"/>
        <w:ind w:left="720" w:right="0" w:hanging="360"/>
        <w:jc w:val="left"/>
        <w:rPr/>
      </w:pPr>
      <w:r>
        <w:rPr/>
        <w:t>         </w:t>
      </w:r>
      <w:r>
        <w:rPr>
          <w:sz w:val="20"/>
        </w:rPr>
        <w:t>Euronet</w:t>
      </w:r>
      <w:r>
        <w:rPr/>
        <w:t> </w:t>
      </w:r>
      <w:r>
        <w:rPr>
          <w:sz w:val="20"/>
        </w:rPr>
        <w:t>Payments Germany GmbH, incorporated in Germany</w:t>
      </w:r>
    </w:p>
    <w:p>
      <w:pPr>
        <w:pStyle w:val="TextBody"/>
        <w:bidi w:val="0"/>
        <w:spacing w:lineRule="atLeast" w:line="240" w:before="0" w:after="0"/>
        <w:ind w:left="720" w:right="0" w:hanging="360"/>
        <w:jc w:val="left"/>
        <w:rPr/>
      </w:pPr>
      <w:r>
        <w:rPr/>
        <w:t xml:space="preserve">         </w:t>
      </w:r>
      <w:r>
        <w:rPr>
          <w:sz w:val="20"/>
        </w:rPr>
        <w:t>Innova Taxfree Germany GmbH, incorporated in Germany</w:t>
      </w:r>
    </w:p>
    <w:p>
      <w:pPr>
        <w:pStyle w:val="TextBody"/>
        <w:bidi w:val="0"/>
        <w:spacing w:lineRule="atLeast" w:line="240" w:before="0" w:after="0"/>
        <w:ind w:left="720" w:right="0" w:hanging="360"/>
        <w:jc w:val="left"/>
        <w:rPr/>
      </w:pPr>
      <w:r>
        <w:rPr/>
        <w:t xml:space="preserve">         </w:t>
      </w:r>
      <w:r>
        <w:rPr>
          <w:sz w:val="20"/>
        </w:rPr>
        <w:t>RIA Deutschland GmbH, incorporated in Germany</w:t>
      </w:r>
    </w:p>
    <w:p>
      <w:pPr>
        <w:pStyle w:val="TextBody"/>
        <w:bidi w:val="0"/>
        <w:spacing w:lineRule="atLeast" w:line="240" w:before="0" w:after="0"/>
        <w:ind w:left="720" w:right="0" w:hanging="360"/>
        <w:jc w:val="left"/>
        <w:rPr/>
      </w:pPr>
      <w:r>
        <w:rPr/>
        <w:t xml:space="preserve">         </w:t>
      </w:r>
      <w:r>
        <w:rPr>
          <w:sz w:val="20"/>
        </w:rPr>
        <w:t>transact Elektronische Zahlungssysteme GmbH, incorporated in Germany</w:t>
      </w:r>
    </w:p>
    <w:p>
      <w:pPr>
        <w:pStyle w:val="TextBody"/>
        <w:bidi w:val="0"/>
        <w:spacing w:lineRule="atLeast" w:line="240" w:before="0" w:after="0"/>
        <w:ind w:left="720" w:right="0" w:hanging="360"/>
        <w:jc w:val="left"/>
        <w:rPr/>
      </w:pPr>
      <w:r>
        <w:rPr/>
        <w:t>         </w:t>
      </w:r>
      <w:r>
        <w:rPr>
          <w:sz w:val="20"/>
        </w:rPr>
        <w:t>Euronet</w:t>
      </w:r>
      <w:r>
        <w:rPr/>
        <w:t> </w:t>
      </w:r>
      <w:r>
        <w:rPr>
          <w:sz w:val="20"/>
        </w:rPr>
        <w:t>Card Services S.A., incorporated in Greece</w:t>
      </w:r>
    </w:p>
    <w:p>
      <w:pPr>
        <w:pStyle w:val="TextBody"/>
        <w:bidi w:val="0"/>
        <w:spacing w:lineRule="atLeast" w:line="240" w:before="0" w:after="0"/>
        <w:ind w:left="720" w:right="0" w:hanging="360"/>
        <w:jc w:val="left"/>
        <w:rPr/>
      </w:pPr>
      <w:r>
        <w:rPr/>
        <w:t xml:space="preserve">         </w:t>
      </w:r>
      <w:r>
        <w:rPr>
          <w:sz w:val="20"/>
        </w:rPr>
        <w:t>Euronet</w:t>
      </w:r>
      <w:r>
        <w:rPr/>
        <w:t> </w:t>
      </w:r>
      <w:r>
        <w:rPr>
          <w:sz w:val="20"/>
        </w:rPr>
        <w:t>Merchant Services Payment Institution Single Member S.A., incorporated in Greece</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Interbanking Sysytems, S.A. incorporated in Greece</w:t>
      </w:r>
    </w:p>
    <w:p>
      <w:pPr>
        <w:pStyle w:val="TextBody"/>
        <w:bidi w:val="0"/>
        <w:spacing w:lineRule="atLeast" w:line="240" w:before="0" w:after="0"/>
        <w:ind w:left="720" w:right="0" w:hanging="360"/>
        <w:jc w:val="left"/>
        <w:rPr/>
      </w:pPr>
      <w:r>
        <w:rPr/>
        <w:t>         </w:t>
      </w:r>
      <w:r>
        <w:rPr>
          <w:sz w:val="20"/>
        </w:rPr>
        <w:t>RIA Greece Monoprosopi</w:t>
      </w:r>
      <w:r>
        <w:rPr/>
        <w:t> </w:t>
      </w:r>
      <w:r>
        <w:rPr>
          <w:sz w:val="20"/>
        </w:rPr>
        <w:t>S.A., incorporated in Greece</w:t>
      </w:r>
    </w:p>
    <w:p>
      <w:pPr>
        <w:pStyle w:val="TextBody"/>
        <w:bidi w:val="0"/>
        <w:spacing w:lineRule="atLeast" w:line="240" w:before="0" w:after="0"/>
        <w:ind w:left="720" w:right="0" w:hanging="360"/>
        <w:jc w:val="left"/>
        <w:rPr/>
      </w:pPr>
      <w:r>
        <w:rPr/>
        <w:t>         </w:t>
      </w:r>
      <w:r>
        <w:rPr>
          <w:sz w:val="20"/>
        </w:rPr>
        <w:t>Throo</w:t>
      </w:r>
      <w:r>
        <w:rPr/>
        <w:t> </w:t>
      </w:r>
      <w:r>
        <w:rPr>
          <w:sz w:val="20"/>
        </w:rPr>
        <w:t>Technology, IKE, incorporated in Greece.</w:t>
      </w:r>
    </w:p>
    <w:p>
      <w:pPr>
        <w:pStyle w:val="TextBody"/>
        <w:bidi w:val="0"/>
        <w:spacing w:lineRule="atLeast" w:line="240" w:before="0" w:after="0"/>
        <w:ind w:left="720" w:right="0" w:hanging="360"/>
        <w:jc w:val="left"/>
        <w:rPr/>
      </w:pPr>
      <w:r>
        <w:rPr/>
        <w:t xml:space="preserve">         </w:t>
      </w:r>
      <w:r>
        <w:rPr>
          <w:sz w:val="20"/>
        </w:rPr>
        <w:t>Euronet Asia Holdings Limited, incorporated in Hong Kong</w:t>
      </w:r>
    </w:p>
    <w:p>
      <w:pPr>
        <w:pStyle w:val="TextBody"/>
        <w:bidi w:val="0"/>
        <w:spacing w:lineRule="atLeast" w:line="240" w:before="0" w:after="0"/>
        <w:ind w:left="720" w:right="0" w:hanging="360"/>
        <w:jc w:val="left"/>
        <w:rPr/>
      </w:pPr>
      <w:r>
        <w:rPr/>
        <w:t xml:space="preserve">         </w:t>
      </w:r>
      <w:r>
        <w:rPr>
          <w:sz w:val="20"/>
        </w:rPr>
        <w:t>Euronet Banktechnikai Szolgaltato Kft., incorporated in Hungary</w:t>
      </w:r>
    </w:p>
    <w:p>
      <w:pPr>
        <w:pStyle w:val="TextBody"/>
        <w:bidi w:val="0"/>
        <w:spacing w:lineRule="atLeast" w:line="240" w:before="0" w:after="0"/>
        <w:ind w:left="720" w:right="0" w:hanging="360"/>
        <w:jc w:val="left"/>
        <w:rPr/>
      </w:pPr>
      <w:r>
        <w:rPr/>
        <w:t xml:space="preserve">         </w:t>
      </w:r>
      <w:r>
        <w:rPr>
          <w:sz w:val="20"/>
        </w:rPr>
        <w:t>Euronet Services Kft., incorporated in Hungary</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CoreCard Software India Pvt. Ltd. incorporated in India</w:t>
      </w:r>
    </w:p>
    <w:p>
      <w:pPr>
        <w:pStyle w:val="TextBody"/>
        <w:bidi w:val="0"/>
        <w:spacing w:lineRule="atLeast" w:line="240" w:before="0" w:after="0"/>
        <w:ind w:left="720" w:right="0" w:hanging="360"/>
        <w:jc w:val="left"/>
        <w:rPr/>
      </w:pPr>
      <w:r>
        <w:rPr/>
        <w:t xml:space="preserve">         </w:t>
      </w:r>
      <w:r>
        <w:rPr>
          <w:sz w:val="20"/>
        </w:rPr>
        <w:t>Euronet Services India Pvt. Ltd., incorporated in India</w:t>
      </w:r>
    </w:p>
    <w:p>
      <w:pPr>
        <w:pStyle w:val="TextBody"/>
        <w:bidi w:val="0"/>
        <w:spacing w:lineRule="atLeast" w:line="240" w:before="0" w:after="0"/>
        <w:ind w:left="720" w:right="0" w:hanging="360"/>
        <w:jc w:val="left"/>
        <w:rPr/>
      </w:pPr>
      <w:r>
        <w:rPr/>
        <w:t xml:space="preserve">         </w:t>
      </w:r>
      <w:r>
        <w:rPr>
          <w:sz w:val="20"/>
        </w:rPr>
        <w:t>RIA Money Transfer Services Pvt. Ltd., incorporated in India</w:t>
      </w:r>
    </w:p>
    <w:p>
      <w:pPr>
        <w:pStyle w:val="TextBody"/>
        <w:bidi w:val="0"/>
        <w:spacing w:lineRule="atLeast" w:line="240" w:before="0" w:after="0"/>
        <w:ind w:left="720" w:right="0" w:hanging="360"/>
        <w:jc w:val="left"/>
        <w:rPr/>
      </w:pPr>
      <w:r>
        <w:rPr/>
        <w:t>         </w:t>
      </w:r>
      <w:r>
        <w:rPr>
          <w:sz w:val="20"/>
        </w:rPr>
        <w:t>Euronet</w:t>
      </w:r>
      <w:r>
        <w:rPr/>
        <w:t> </w:t>
      </w:r>
      <w:r>
        <w:rPr>
          <w:sz w:val="20"/>
        </w:rPr>
        <w:t>Infinitium</w:t>
      </w:r>
      <w:r>
        <w:rPr/>
        <w:t> </w:t>
      </w:r>
      <w:r>
        <w:rPr>
          <w:sz w:val="20"/>
        </w:rPr>
        <w:t>Solutions Pvt. Ltd., incorporated in India</w:t>
      </w:r>
    </w:p>
    <w:p>
      <w:pPr>
        <w:pStyle w:val="TextBody"/>
        <w:bidi w:val="0"/>
        <w:spacing w:lineRule="atLeast" w:line="240" w:before="0" w:after="0"/>
        <w:ind w:left="720" w:right="0" w:hanging="360"/>
        <w:jc w:val="left"/>
        <w:rPr/>
      </w:pPr>
      <w:r>
        <w:rPr/>
        <w:t>         </w:t>
      </w:r>
      <w:r>
        <w:rPr>
          <w:sz w:val="20"/>
        </w:rPr>
        <w:t>PT Euronet</w:t>
      </w:r>
      <w:r>
        <w:rPr/>
        <w:t> </w:t>
      </w:r>
      <w:r>
        <w:rPr>
          <w:sz w:val="20"/>
        </w:rPr>
        <w:t>Technologies Indonesia, incorporated in Indonesia</w:t>
      </w:r>
    </w:p>
    <w:p>
      <w:pPr>
        <w:pStyle w:val="TextBody"/>
        <w:bidi w:val="0"/>
        <w:spacing w:lineRule="atLeast" w:line="240" w:before="0" w:after="0"/>
        <w:jc w:val="left"/>
        <w:rPr/>
      </w:pPr>
      <w:r>
        <w:rPr/>
        <w:t> </w:t>
      </w:r>
    </w:p>
    <w:p>
      <w:pPr>
        <w:pStyle w:val="TextBody"/>
        <w:bidi w:val="0"/>
        <w:spacing w:before="0" w:after="0"/>
        <w:jc w:val="center"/>
        <w:rPr>
          <w:sz w:val="20"/>
        </w:rPr>
      </w:pPr>
      <w:r>
        <w:rPr>
          <w:sz w:val="20"/>
        </w:rPr>
        <w:t>1</w:t>
      </w:r>
    </w:p>
    <w:p>
      <w:pPr>
        <w:pStyle w:val="HorizontalLine"/>
        <w:pBdr>
          <w:bottom w:val="double" w:sz="2" w:space="0" w:color="808080"/>
        </w:pBdr>
        <w:bidi w:val="0"/>
        <w:jc w:val="center"/>
        <w:rPr/>
      </w:pPr>
      <w:r>
        <w:rPr/>
      </w:r>
    </w:p>
    <w:p>
      <w:pPr>
        <w:pStyle w:val="TextBody"/>
        <w:bidi w:val="0"/>
        <w:spacing w:lineRule="atLeast" w:line="240" w:before="0" w:after="0"/>
        <w:ind w:left="720" w:right="0" w:hanging="360"/>
        <w:jc w:val="left"/>
        <w:rPr/>
      </w:pPr>
      <w:r>
        <w:rPr/>
        <w:t xml:space="preserve">         </w:t>
      </w:r>
      <w:r>
        <w:rPr>
          <w:sz w:val="20"/>
        </w:rPr>
        <w:t>PT Infinitium</w:t>
      </w:r>
      <w:r>
        <w:rPr/>
        <w:t> </w:t>
      </w:r>
      <w:r>
        <w:rPr>
          <w:sz w:val="20"/>
        </w:rPr>
        <w:t>Solutions, incorporated in Indonesia</w:t>
      </w:r>
    </w:p>
    <w:p>
      <w:pPr>
        <w:pStyle w:val="TextBody"/>
        <w:bidi w:val="0"/>
        <w:spacing w:lineRule="atLeast" w:line="240" w:before="0" w:after="0"/>
        <w:ind w:left="720" w:right="0" w:hanging="360"/>
        <w:jc w:val="left"/>
        <w:rPr/>
      </w:pPr>
      <w:r>
        <w:rPr/>
        <w:t xml:space="preserve">         </w:t>
      </w:r>
      <w:r>
        <w:rPr>
          <w:sz w:val="20"/>
        </w:rPr>
        <w:t>Euronet 360 Payments Limited, incorporated in Ireland</w:t>
      </w:r>
    </w:p>
    <w:p>
      <w:pPr>
        <w:pStyle w:val="TextBody"/>
        <w:bidi w:val="0"/>
        <w:spacing w:lineRule="atLeast" w:line="240" w:before="0" w:after="0"/>
        <w:ind w:left="720" w:right="0" w:hanging="360"/>
        <w:jc w:val="left"/>
        <w:rPr/>
      </w:pPr>
      <w:r>
        <w:rPr/>
        <w:t xml:space="preserve">         </w:t>
      </w:r>
      <w:r>
        <w:rPr>
          <w:sz w:val="20"/>
        </w:rPr>
        <w:t>Innova Taxfree Ireland Limited, incorporated in Ireland</w:t>
      </w:r>
    </w:p>
    <w:p>
      <w:pPr>
        <w:pStyle w:val="TextBody"/>
        <w:bidi w:val="0"/>
        <w:spacing w:lineRule="atLeast" w:line="240" w:before="0" w:after="0"/>
        <w:ind w:left="720" w:right="0" w:hanging="360"/>
        <w:jc w:val="left"/>
        <w:rPr/>
      </w:pPr>
      <w:r>
        <w:rPr/>
        <w:t xml:space="preserve">         </w:t>
      </w:r>
      <w:r>
        <w:rPr>
          <w:sz w:val="20"/>
        </w:rPr>
        <w:t>RIA Financial Services Ireland Limited, incorporated in Ireland</w:t>
      </w:r>
    </w:p>
    <w:p>
      <w:pPr>
        <w:pStyle w:val="TextBody"/>
        <w:bidi w:val="0"/>
        <w:spacing w:lineRule="atLeast" w:line="240" w:before="0" w:after="0"/>
        <w:ind w:left="720" w:right="0" w:hanging="360"/>
        <w:jc w:val="left"/>
        <w:rPr/>
      </w:pPr>
      <w:r>
        <w:rPr/>
        <w:t xml:space="preserve">         </w:t>
      </w:r>
      <w:r>
        <w:rPr>
          <w:sz w:val="20"/>
        </w:rPr>
        <w:t>Pure-Commerce Ltd, incorporated in Isle of Man</w:t>
      </w:r>
    </w:p>
    <w:p>
      <w:pPr>
        <w:pStyle w:val="TextBody"/>
        <w:bidi w:val="0"/>
        <w:spacing w:lineRule="atLeast" w:line="240" w:before="0" w:after="0"/>
        <w:ind w:left="720" w:right="0" w:hanging="360"/>
        <w:jc w:val="left"/>
        <w:rPr/>
      </w:pPr>
      <w:r>
        <w:rPr/>
        <w:t>         </w:t>
      </w:r>
      <w:r>
        <w:rPr>
          <w:sz w:val="20"/>
        </w:rPr>
        <w:t>Euronet</w:t>
      </w:r>
      <w:r>
        <w:rPr/>
        <w:t> </w:t>
      </w:r>
      <w:r>
        <w:rPr>
          <w:sz w:val="20"/>
        </w:rPr>
        <w:t>Services Italia SRL, incorporated in Italy</w:t>
      </w:r>
    </w:p>
    <w:p>
      <w:pPr>
        <w:pStyle w:val="TextBody"/>
        <w:bidi w:val="0"/>
        <w:spacing w:lineRule="atLeast" w:line="240" w:before="0" w:after="0"/>
        <w:ind w:left="720" w:right="0" w:hanging="360"/>
        <w:jc w:val="left"/>
        <w:rPr/>
      </w:pPr>
      <w:r>
        <w:rPr/>
        <w:t xml:space="preserve">         </w:t>
      </w:r>
      <w:r>
        <w:rPr>
          <w:sz w:val="20"/>
        </w:rPr>
        <w:t>Euronet Pay &amp; Transaction Services S.R.L., incorporated in Italy</w:t>
      </w:r>
    </w:p>
    <w:p>
      <w:pPr>
        <w:pStyle w:val="TextBody"/>
        <w:bidi w:val="0"/>
        <w:spacing w:lineRule="atLeast" w:line="240" w:before="0" w:after="0"/>
        <w:ind w:left="720" w:right="0" w:hanging="360"/>
        <w:jc w:val="left"/>
        <w:rPr/>
      </w:pPr>
      <w:r>
        <w:rPr/>
        <w:t xml:space="preserve">         </w:t>
      </w:r>
      <w:r>
        <w:rPr>
          <w:sz w:val="20"/>
        </w:rPr>
        <w:t>Innova Taxfree Italy S.R.L., incorporated in Italy</w:t>
      </w:r>
    </w:p>
    <w:p>
      <w:pPr>
        <w:pStyle w:val="TextBody"/>
        <w:bidi w:val="0"/>
        <w:spacing w:lineRule="atLeast" w:line="240" w:before="0" w:after="0"/>
        <w:ind w:left="720" w:right="0" w:hanging="360"/>
        <w:jc w:val="left"/>
        <w:rPr/>
      </w:pPr>
      <w:r>
        <w:rPr/>
        <w:t xml:space="preserve">         </w:t>
      </w:r>
      <w:r>
        <w:rPr>
          <w:sz w:val="20"/>
        </w:rPr>
        <w:t>RIA Italia S.R.L., incorporated in Italy</w:t>
      </w:r>
    </w:p>
    <w:p>
      <w:pPr>
        <w:pStyle w:val="TextBody"/>
        <w:bidi w:val="0"/>
        <w:spacing w:lineRule="atLeast" w:line="240" w:before="0" w:after="0"/>
        <w:ind w:left="720" w:right="0" w:hanging="360"/>
        <w:jc w:val="left"/>
        <w:rPr/>
      </w:pPr>
      <w:r>
        <w:rPr/>
        <w:t>         </w:t>
      </w:r>
      <w:r>
        <w:rPr>
          <w:sz w:val="20"/>
        </w:rPr>
        <w:t>Euronet</w:t>
      </w:r>
      <w:r>
        <w:rPr/>
        <w:t> </w:t>
      </w:r>
      <w:r>
        <w:rPr>
          <w:sz w:val="20"/>
        </w:rPr>
        <w:t>Japan KK, incorporated in Japan</w:t>
      </w:r>
    </w:p>
    <w:p>
      <w:pPr>
        <w:pStyle w:val="TextBody"/>
        <w:bidi w:val="0"/>
        <w:spacing w:lineRule="atLeast" w:line="240" w:before="0" w:after="0"/>
        <w:ind w:left="720" w:right="0" w:hanging="360"/>
        <w:jc w:val="left"/>
        <w:rPr/>
      </w:pPr>
      <w:r>
        <w:rPr/>
        <w:t xml:space="preserve">         </w:t>
      </w:r>
      <w:r>
        <w:rPr>
          <w:sz w:val="20"/>
        </w:rPr>
        <w:t>Ria Financial Services Japan K.K., incorporated in Japan</w:t>
      </w:r>
    </w:p>
    <w:p>
      <w:pPr>
        <w:pStyle w:val="TextBody"/>
        <w:bidi w:val="0"/>
        <w:spacing w:lineRule="atLeast" w:line="240" w:before="0" w:after="0"/>
        <w:ind w:left="720" w:right="0" w:hanging="360"/>
        <w:jc w:val="left"/>
        <w:rPr/>
      </w:pPr>
      <w:r>
        <w:rPr/>
        <w:t></w:t>
      </w:r>
      <w:r>
        <w:rPr>
          <w:sz w:val="20"/>
        </w:rPr>
        <w:t xml:space="preserve">Unidos Co. Ltd. Incorporated in Japan </w:t>
      </w:r>
    </w:p>
    <w:p>
      <w:pPr>
        <w:pStyle w:val="TextBody"/>
        <w:bidi w:val="0"/>
        <w:spacing w:lineRule="atLeast" w:line="240" w:before="0" w:after="0"/>
        <w:ind w:left="720" w:right="0" w:hanging="360"/>
        <w:jc w:val="left"/>
        <w:rPr/>
      </w:pPr>
      <w:r>
        <w:rPr/>
        <w:t>         </w:t>
      </w:r>
      <w:r>
        <w:rPr>
          <w:sz w:val="20"/>
        </w:rPr>
        <w:t>Euronet</w:t>
      </w:r>
      <w:r>
        <w:rPr/>
        <w:t> </w:t>
      </w:r>
      <w:r>
        <w:rPr>
          <w:sz w:val="20"/>
        </w:rPr>
        <w:t>Korea LLC, incorporated in Korea</w:t>
      </w:r>
    </w:p>
    <w:p>
      <w:pPr>
        <w:pStyle w:val="TextBody"/>
        <w:bidi w:val="0"/>
        <w:spacing w:lineRule="atLeast" w:line="240" w:before="0" w:after="0"/>
        <w:ind w:left="720" w:right="0" w:hanging="360"/>
        <w:jc w:val="left"/>
        <w:rPr/>
      </w:pPr>
      <w:r>
        <w:rPr/>
        <w:t>         </w:t>
      </w:r>
      <w:r>
        <w:rPr>
          <w:sz w:val="20"/>
        </w:rPr>
        <w:t>Euronet</w:t>
      </w:r>
      <w:r>
        <w:rPr/>
        <w:t> </w:t>
      </w:r>
      <w:r>
        <w:rPr>
          <w:sz w:val="20"/>
        </w:rPr>
        <w:t>Services Latvia SIA, incorporated in Latvia</w:t>
      </w:r>
    </w:p>
    <w:p>
      <w:pPr>
        <w:pStyle w:val="TextBody"/>
        <w:bidi w:val="0"/>
        <w:spacing w:lineRule="atLeast" w:line="240" w:before="0" w:after="0"/>
        <w:ind w:left="720" w:right="0" w:hanging="360"/>
        <w:jc w:val="left"/>
        <w:rPr/>
      </w:pPr>
      <w:r>
        <w:rPr/>
        <w:t xml:space="preserve">         </w:t>
      </w:r>
      <w:r>
        <w:rPr>
          <w:sz w:val="20"/>
        </w:rPr>
        <w:t>Ria Lithuania UAB, incorporated in Lithuania</w:t>
      </w:r>
    </w:p>
    <w:p>
      <w:pPr>
        <w:pStyle w:val="TextBody"/>
        <w:bidi w:val="0"/>
        <w:spacing w:lineRule="atLeast" w:line="240" w:before="0" w:after="0"/>
        <w:ind w:left="720" w:right="0" w:hanging="360"/>
        <w:jc w:val="left"/>
        <w:rPr/>
      </w:pPr>
      <w:r>
        <w:rPr/>
        <w:t>         </w:t>
      </w:r>
      <w:r>
        <w:rPr>
          <w:sz w:val="20"/>
        </w:rPr>
        <w:t>Throo</w:t>
      </w:r>
      <w:r>
        <w:rPr/>
        <w:t> </w:t>
      </w:r>
      <w:r>
        <w:rPr>
          <w:sz w:val="20"/>
        </w:rPr>
        <w:t>Holdings Europe, UAB, incorporated in Lithuania</w:t>
      </w:r>
    </w:p>
    <w:p>
      <w:pPr>
        <w:pStyle w:val="TextBody"/>
        <w:bidi w:val="0"/>
        <w:spacing w:lineRule="atLeast" w:line="240" w:before="0" w:after="0"/>
        <w:ind w:left="720" w:right="0" w:hanging="360"/>
        <w:jc w:val="left"/>
        <w:rPr/>
      </w:pPr>
      <w:r>
        <w:rPr/>
        <w:t>         </w:t>
      </w:r>
      <w:r>
        <w:rPr>
          <w:sz w:val="20"/>
        </w:rPr>
        <w:t>Throo</w:t>
      </w:r>
      <w:r>
        <w:rPr/>
        <w:t> </w:t>
      </w:r>
      <w:r>
        <w:rPr>
          <w:sz w:val="20"/>
        </w:rPr>
        <w:t>Payments Europe, UAB, incorporated in Lithuania</w:t>
      </w:r>
    </w:p>
    <w:p>
      <w:pPr>
        <w:pStyle w:val="TextBody"/>
        <w:bidi w:val="0"/>
        <w:spacing w:lineRule="atLeast" w:line="240" w:before="0" w:after="0"/>
        <w:ind w:left="720" w:right="0" w:hanging="360"/>
        <w:jc w:val="left"/>
        <w:rPr/>
      </w:pPr>
      <w:r>
        <w:rPr/>
        <w:t>         </w:t>
      </w:r>
      <w:r>
        <w:rPr>
          <w:sz w:val="20"/>
        </w:rPr>
        <w:t>UAB</w:t>
      </w:r>
      <w:r>
        <w:rPr/>
        <w:t> </w:t>
      </w:r>
      <w:r>
        <w:rPr>
          <w:sz w:val="20"/>
        </w:rPr>
        <w:t>Euronet</w:t>
      </w:r>
      <w:r>
        <w:rPr/>
        <w:t> </w:t>
      </w:r>
      <w:r>
        <w:rPr>
          <w:sz w:val="20"/>
        </w:rPr>
        <w:t>360 Finance Limited, incorporated in Lithuania</w:t>
      </w:r>
    </w:p>
    <w:p>
      <w:pPr>
        <w:pStyle w:val="TextBody"/>
        <w:bidi w:val="0"/>
        <w:spacing w:lineRule="atLeast" w:line="240" w:before="0" w:after="0"/>
        <w:ind w:left="720" w:right="0" w:hanging="360"/>
        <w:jc w:val="left"/>
        <w:rPr/>
      </w:pPr>
      <w:r>
        <w:rPr/>
        <w:t xml:space="preserve">         </w:t>
      </w:r>
      <w:r>
        <w:rPr>
          <w:sz w:val="20"/>
        </w:rPr>
        <w:t>Euronet Services Malaysia Sdn. Bhd., incorporated in Malaysia</w:t>
      </w:r>
    </w:p>
    <w:p>
      <w:pPr>
        <w:pStyle w:val="TextBody"/>
        <w:bidi w:val="0"/>
        <w:spacing w:lineRule="atLeast" w:line="240" w:before="0" w:after="0"/>
        <w:ind w:left="720" w:right="0" w:hanging="360"/>
        <w:jc w:val="left"/>
        <w:rPr/>
      </w:pPr>
      <w:r>
        <w:rPr/>
        <w:t xml:space="preserve">         </w:t>
      </w:r>
      <w:r>
        <w:rPr>
          <w:sz w:val="20"/>
        </w:rPr>
        <w:t>IME (M) Sdn Bhd, incorporated in Malaysia</w:t>
      </w:r>
    </w:p>
    <w:p>
      <w:pPr>
        <w:pStyle w:val="TextBody"/>
        <w:bidi w:val="0"/>
        <w:spacing w:lineRule="atLeast" w:line="240" w:before="0" w:after="0"/>
        <w:ind w:left="720" w:right="0" w:hanging="360"/>
        <w:jc w:val="left"/>
        <w:rPr/>
      </w:pPr>
      <w:r>
        <w:rPr/>
        <w:t>         </w:t>
      </w:r>
      <w:r>
        <w:rPr>
          <w:sz w:val="20"/>
        </w:rPr>
        <w:t>Infinitium</w:t>
      </w:r>
      <w:r>
        <w:rPr/>
        <w:t> </w:t>
      </w:r>
      <w:r>
        <w:rPr>
          <w:sz w:val="20"/>
        </w:rPr>
        <w:t>Holdings Sdn. Bhd., incorporated in Malaysia</w:t>
      </w:r>
    </w:p>
    <w:p>
      <w:pPr>
        <w:pStyle w:val="TextBody"/>
        <w:bidi w:val="0"/>
        <w:spacing w:lineRule="atLeast" w:line="240" w:before="0" w:after="0"/>
        <w:ind w:left="720" w:right="0" w:hanging="360"/>
        <w:jc w:val="left"/>
        <w:rPr/>
      </w:pPr>
      <w:r>
        <w:rPr/>
        <w:t>         </w:t>
      </w:r>
      <w:r>
        <w:rPr>
          <w:sz w:val="20"/>
        </w:rPr>
        <w:t>Infinitium</w:t>
      </w:r>
      <w:r>
        <w:rPr/>
        <w:t> </w:t>
      </w:r>
      <w:r>
        <w:rPr>
          <w:sz w:val="20"/>
        </w:rPr>
        <w:t>Infuture</w:t>
      </w:r>
      <w:r>
        <w:rPr/>
        <w:t> </w:t>
      </w:r>
      <w:r>
        <w:rPr>
          <w:sz w:val="20"/>
        </w:rPr>
        <w:t>Sdn. Bhd., incorporated in Malaysia</w:t>
      </w:r>
    </w:p>
    <w:p>
      <w:pPr>
        <w:pStyle w:val="TextBody"/>
        <w:bidi w:val="0"/>
        <w:spacing w:lineRule="atLeast" w:line="240" w:before="0" w:after="0"/>
        <w:ind w:left="720" w:right="0" w:hanging="360"/>
        <w:jc w:val="left"/>
        <w:rPr/>
      </w:pPr>
      <w:r>
        <w:rPr/>
        <w:t>         </w:t>
      </w:r>
      <w:r>
        <w:rPr>
          <w:sz w:val="20"/>
        </w:rPr>
        <w:t>Infinitium Solutions, Sdn. Bhd., incorporated in Malaysia</w:t>
      </w:r>
    </w:p>
    <w:p>
      <w:pPr>
        <w:pStyle w:val="TextBody"/>
        <w:bidi w:val="0"/>
        <w:spacing w:lineRule="atLeast" w:line="240" w:before="0" w:after="0"/>
        <w:ind w:left="720" w:right="0" w:hanging="360"/>
        <w:jc w:val="left"/>
        <w:rPr/>
      </w:pPr>
      <w:r>
        <w:rPr/>
        <w:t>         </w:t>
      </w:r>
      <w:r>
        <w:rPr>
          <w:sz w:val="20"/>
        </w:rPr>
        <w:t>Infinitium</w:t>
      </w:r>
      <w:r>
        <w:rPr/>
        <w:t> </w:t>
      </w:r>
      <w:r>
        <w:rPr>
          <w:sz w:val="20"/>
        </w:rPr>
        <w:t>Technology Services Sdn. Bhd., incorporated in Malaysia</w:t>
      </w:r>
    </w:p>
    <w:p>
      <w:pPr>
        <w:pStyle w:val="TextBody"/>
        <w:bidi w:val="0"/>
        <w:spacing w:lineRule="atLeast" w:line="240" w:before="0" w:after="0"/>
        <w:ind w:left="720" w:right="0" w:hanging="360"/>
        <w:jc w:val="left"/>
        <w:rPr/>
      </w:pPr>
      <w:r>
        <w:rPr/>
        <w:t>         </w:t>
      </w:r>
      <w:r>
        <w:rPr>
          <w:sz w:val="20"/>
        </w:rPr>
        <w:t>Euronet</w:t>
      </w:r>
      <w:r>
        <w:rPr/>
        <w:t> </w:t>
      </w:r>
      <w:r>
        <w:rPr>
          <w:sz w:val="20"/>
        </w:rPr>
        <w:t>epay</w:t>
      </w:r>
      <w:r>
        <w:rPr/>
        <w:t> </w:t>
      </w:r>
      <w:r>
        <w:rPr>
          <w:sz w:val="20"/>
        </w:rPr>
        <w:t>Mexico, S. de R.L. de C.V., incorporated in Mexico</w:t>
      </w:r>
    </w:p>
    <w:p>
      <w:pPr>
        <w:pStyle w:val="TextBody"/>
        <w:bidi w:val="0"/>
        <w:spacing w:lineRule="atLeast" w:line="240" w:before="0" w:after="0"/>
        <w:ind w:left="720" w:right="0" w:hanging="360"/>
        <w:jc w:val="left"/>
        <w:rPr/>
      </w:pPr>
      <w:r>
        <w:rPr/>
        <w:t xml:space="preserve">         </w:t>
      </w:r>
      <w:r>
        <w:rPr>
          <w:sz w:val="20"/>
        </w:rPr>
        <w:t>Ria Mexico Solution, S. de R.L. de C.V., incorporated in Mexico</w:t>
      </w:r>
    </w:p>
    <w:p>
      <w:pPr>
        <w:pStyle w:val="TextBody"/>
        <w:bidi w:val="0"/>
        <w:spacing w:lineRule="atLeast" w:line="240" w:before="0" w:after="0"/>
        <w:ind w:left="720" w:right="0" w:hanging="360"/>
        <w:jc w:val="left"/>
        <w:rPr/>
      </w:pPr>
      <w:r>
        <w:rPr/>
        <w:t xml:space="preserve">         </w:t>
      </w:r>
      <w:r>
        <w:rPr>
          <w:sz w:val="20"/>
        </w:rPr>
        <w:t>Ria Mexico Payment Solutions, S. de R.L. de C.V., incorporated in Mexico</w:t>
      </w:r>
    </w:p>
    <w:p>
      <w:pPr>
        <w:pStyle w:val="TextBody"/>
        <w:bidi w:val="0"/>
        <w:spacing w:lineRule="atLeast" w:line="240" w:before="0" w:after="0"/>
        <w:ind w:left="720" w:right="0" w:hanging="360"/>
        <w:jc w:val="left"/>
        <w:rPr/>
      </w:pPr>
      <w:r>
        <w:rPr/>
        <w:t xml:space="preserve">         </w:t>
      </w:r>
      <w:r>
        <w:rPr>
          <w:sz w:val="20"/>
        </w:rPr>
        <w:t>Ria Transfers de Mexico, S. de R.L. de C.V., incorporated in Mexico</w:t>
      </w:r>
    </w:p>
    <w:p>
      <w:pPr>
        <w:pStyle w:val="TextBody"/>
        <w:bidi w:val="0"/>
        <w:spacing w:lineRule="atLeast" w:line="240" w:before="0" w:after="0"/>
        <w:ind w:left="720" w:right="0" w:hanging="360"/>
        <w:jc w:val="left"/>
        <w:rPr/>
      </w:pPr>
      <w:r>
        <w:rPr/>
        <w:t xml:space="preserve">         </w:t>
      </w:r>
      <w:r>
        <w:rPr>
          <w:sz w:val="20"/>
        </w:rPr>
        <w:t>EFT Services Holding B.V., incorporated in the Netherlands</w:t>
      </w:r>
    </w:p>
    <w:p>
      <w:pPr>
        <w:pStyle w:val="TextBody"/>
        <w:bidi w:val="0"/>
        <w:spacing w:lineRule="atLeast" w:line="240" w:before="0" w:after="0"/>
        <w:ind w:left="720" w:right="0" w:hanging="360"/>
        <w:jc w:val="left"/>
        <w:rPr/>
      </w:pPr>
      <w:r>
        <w:rPr/>
        <w:t xml:space="preserve">         </w:t>
      </w:r>
      <w:r>
        <w:rPr>
          <w:sz w:val="20"/>
        </w:rPr>
        <w:t>epay Netherlands B.V., incorporated in the Netherlands</w:t>
      </w:r>
    </w:p>
    <w:p>
      <w:pPr>
        <w:pStyle w:val="TextBody"/>
        <w:bidi w:val="0"/>
        <w:spacing w:lineRule="atLeast" w:line="240" w:before="0" w:after="0"/>
        <w:ind w:left="720" w:right="0" w:hanging="360"/>
        <w:jc w:val="left"/>
        <w:rPr/>
      </w:pPr>
      <w:r>
        <w:rPr/>
        <w:t xml:space="preserve">         </w:t>
      </w:r>
      <w:r>
        <w:rPr>
          <w:sz w:val="20"/>
        </w:rPr>
        <w:t>Innova Taxfree Netherlands B.V., incorporated in the Netherlands</w:t>
      </w:r>
    </w:p>
    <w:p>
      <w:pPr>
        <w:pStyle w:val="TextBody"/>
        <w:bidi w:val="0"/>
        <w:spacing w:lineRule="atLeast" w:line="240" w:before="0" w:after="0"/>
        <w:ind w:left="720" w:right="0" w:hanging="360"/>
        <w:jc w:val="left"/>
        <w:rPr/>
      </w:pPr>
      <w:r>
        <w:rPr/>
        <w:t xml:space="preserve">         </w:t>
      </w:r>
      <w:r>
        <w:rPr>
          <w:sz w:val="20"/>
        </w:rPr>
        <w:t>XE Europe B.V., incorporated in the Netherlands</w:t>
      </w:r>
    </w:p>
    <w:p>
      <w:pPr>
        <w:pStyle w:val="TextBody"/>
        <w:bidi w:val="0"/>
        <w:spacing w:lineRule="atLeast" w:line="240" w:before="0" w:after="0"/>
        <w:ind w:left="720" w:right="0" w:hanging="360"/>
        <w:jc w:val="left"/>
        <w:rPr/>
      </w:pPr>
      <w:r>
        <w:rPr/>
        <w:t xml:space="preserve">         </w:t>
      </w:r>
      <w:r>
        <w:rPr>
          <w:sz w:val="20"/>
        </w:rPr>
        <w:t>RIA Financial Services Netherlands B.V., incorporated in the Netherlands</w:t>
      </w:r>
    </w:p>
    <w:p>
      <w:pPr>
        <w:pStyle w:val="TextBody"/>
        <w:bidi w:val="0"/>
        <w:spacing w:lineRule="atLeast" w:line="240" w:before="0" w:after="0"/>
        <w:ind w:left="720" w:right="0" w:hanging="360"/>
        <w:jc w:val="left"/>
        <w:rPr/>
      </w:pPr>
      <w:r>
        <w:rPr/>
        <w:t xml:space="preserve">         </w:t>
      </w:r>
      <w:r>
        <w:rPr>
          <w:sz w:val="20"/>
        </w:rPr>
        <w:t>epay New Zealand Limited, incorporated in New Zealand</w:t>
      </w:r>
    </w:p>
    <w:p>
      <w:pPr>
        <w:pStyle w:val="TextBody"/>
        <w:bidi w:val="0"/>
        <w:spacing w:lineRule="atLeast" w:line="240" w:before="0" w:after="0"/>
        <w:ind w:left="720" w:right="0" w:hanging="360"/>
        <w:jc w:val="left"/>
        <w:rPr/>
      </w:pPr>
      <w:r>
        <w:rPr/>
        <w:t xml:space="preserve">         </w:t>
      </w:r>
      <w:r>
        <w:rPr>
          <w:sz w:val="20"/>
        </w:rPr>
        <w:t>HiFX Limited, incorporated in New Zealand</w:t>
      </w:r>
    </w:p>
    <w:p>
      <w:pPr>
        <w:pStyle w:val="TextBody"/>
        <w:bidi w:val="0"/>
        <w:spacing w:lineRule="atLeast" w:line="240" w:before="0" w:after="0"/>
        <w:ind w:left="720" w:right="0" w:hanging="360"/>
        <w:jc w:val="left"/>
        <w:rPr/>
      </w:pPr>
      <w:r>
        <w:rPr/>
        <w:t xml:space="preserve">         </w:t>
      </w:r>
      <w:r>
        <w:rPr>
          <w:sz w:val="20"/>
        </w:rPr>
        <w:t>RIA Financial Services New Zealand Limited, incorporated in New Zealand</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Euronet Services MKD DOOEL Skopje incorporated in North Macedonia</w:t>
      </w:r>
    </w:p>
    <w:p>
      <w:pPr>
        <w:pStyle w:val="TextBody"/>
        <w:bidi w:val="0"/>
        <w:spacing w:lineRule="atLeast" w:line="240" w:before="0" w:after="0"/>
        <w:ind w:left="720" w:right="0" w:hanging="360"/>
        <w:jc w:val="left"/>
        <w:rPr/>
      </w:pPr>
      <w:r>
        <w:rPr/>
        <w:t xml:space="preserve">         </w:t>
      </w:r>
      <w:r>
        <w:rPr>
          <w:sz w:val="20"/>
        </w:rPr>
        <w:t>RIA Financial Services Norway AS, incorporated in Norway</w:t>
      </w:r>
    </w:p>
    <w:p>
      <w:pPr>
        <w:pStyle w:val="TextBody"/>
        <w:bidi w:val="0"/>
        <w:spacing w:lineRule="atLeast" w:line="240" w:before="0" w:after="0"/>
        <w:ind w:left="720" w:right="0" w:hanging="360"/>
        <w:jc w:val="left"/>
        <w:rPr/>
      </w:pPr>
      <w:r>
        <w:rPr/>
        <w:t xml:space="preserve">         </w:t>
      </w:r>
      <w:r>
        <w:rPr>
          <w:sz w:val="20"/>
        </w:rPr>
        <w:t>Euronet Technology Services, Inc., incorporated in the Philippines</w:t>
      </w:r>
    </w:p>
    <w:p>
      <w:pPr>
        <w:pStyle w:val="TextBody"/>
        <w:bidi w:val="0"/>
        <w:spacing w:lineRule="atLeast" w:line="240" w:before="0" w:after="0"/>
        <w:ind w:left="720" w:right="0" w:hanging="360"/>
        <w:jc w:val="left"/>
        <w:rPr/>
      </w:pPr>
      <w:r>
        <w:rPr/>
        <w:t xml:space="preserve">         </w:t>
      </w:r>
      <w:r>
        <w:rPr>
          <w:sz w:val="20"/>
        </w:rPr>
        <w:t>RIA Money Transfer,</w:t>
      </w:r>
      <w:r>
        <w:rPr/>
        <w:t> </w:t>
      </w:r>
      <w:r>
        <w:rPr>
          <w:sz w:val="20"/>
        </w:rPr>
        <w:t>Inc., incorporated in the Philippines</w:t>
      </w:r>
    </w:p>
    <w:p>
      <w:pPr>
        <w:pStyle w:val="TextBody"/>
        <w:bidi w:val="0"/>
        <w:spacing w:lineRule="atLeast" w:line="240" w:before="0" w:after="0"/>
        <w:ind w:left="720" w:right="0" w:hanging="360"/>
        <w:jc w:val="left"/>
        <w:rPr/>
      </w:pPr>
      <w:r>
        <w:rPr/>
        <w:t xml:space="preserve">         </w:t>
      </w:r>
      <w:r>
        <w:rPr>
          <w:sz w:val="20"/>
        </w:rPr>
        <w:t>CT202 Spółka z o.o., incorporated in Poland</w:t>
      </w:r>
    </w:p>
    <w:p>
      <w:pPr>
        <w:pStyle w:val="TextBody"/>
        <w:bidi w:val="0"/>
        <w:spacing w:lineRule="atLeast" w:line="240" w:before="0" w:after="0"/>
        <w:ind w:left="720" w:right="0" w:hanging="360"/>
        <w:jc w:val="left"/>
        <w:rPr/>
      </w:pPr>
      <w:r>
        <w:rPr/>
        <w:t xml:space="preserve">         </w:t>
      </w:r>
      <w:r>
        <w:rPr>
          <w:sz w:val="20"/>
        </w:rPr>
        <w:t>Euronet Polska Spolka z o.o., incorporated in Poland</w:t>
      </w:r>
    </w:p>
    <w:p>
      <w:pPr>
        <w:pStyle w:val="TextBody"/>
        <w:bidi w:val="0"/>
        <w:spacing w:lineRule="atLeast" w:line="240" w:before="0" w:after="0"/>
        <w:ind w:left="720" w:right="0" w:hanging="360"/>
        <w:jc w:val="left"/>
        <w:rPr/>
      </w:pPr>
      <w:r>
        <w:rPr/>
        <w:t xml:space="preserve">         </w:t>
      </w:r>
      <w:r>
        <w:rPr>
          <w:sz w:val="20"/>
        </w:rPr>
        <w:t>MT101 Spółka z o.o., incorporated in Poland</w:t>
      </w:r>
    </w:p>
    <w:p>
      <w:pPr>
        <w:pStyle w:val="TextBody"/>
        <w:bidi w:val="0"/>
        <w:spacing w:lineRule="atLeast" w:line="240" w:before="0" w:after="0"/>
        <w:ind w:left="720" w:right="0" w:hanging="360"/>
        <w:jc w:val="left"/>
        <w:rPr/>
      </w:pPr>
      <w:r>
        <w:rPr/>
        <w:t>         </w:t>
      </w:r>
      <w:r>
        <w:rPr>
          <w:sz w:val="20"/>
        </w:rPr>
        <w:t>Euronet</w:t>
      </w:r>
      <w:r>
        <w:rPr/>
        <w:t> </w:t>
      </w:r>
      <w:r>
        <w:rPr>
          <w:sz w:val="20"/>
        </w:rPr>
        <w:t>EFT Services Portugal Unipessoal, LDA, incorporated in Portugal</w:t>
      </w:r>
    </w:p>
    <w:p>
      <w:pPr>
        <w:pStyle w:val="TextBody"/>
        <w:bidi w:val="0"/>
        <w:spacing w:lineRule="atLeast" w:line="240" w:before="0" w:after="0"/>
        <w:ind w:left="720" w:right="0" w:hanging="360"/>
        <w:jc w:val="left"/>
        <w:rPr/>
      </w:pPr>
      <w:r>
        <w:rPr/>
        <w:t xml:space="preserve">         </w:t>
      </w:r>
      <w:r>
        <w:rPr>
          <w:sz w:val="20"/>
        </w:rPr>
        <w:t>Innova Tax Free Portugal Unipessoal Lda, incorporated in Portugal</w:t>
      </w:r>
    </w:p>
    <w:p>
      <w:pPr>
        <w:pStyle w:val="TextBody"/>
        <w:bidi w:val="0"/>
        <w:spacing w:lineRule="atLeast" w:line="240" w:before="0" w:after="0"/>
        <w:ind w:left="720" w:right="0" w:hanging="360"/>
        <w:jc w:val="left"/>
        <w:rPr/>
      </w:pPr>
      <w:r>
        <w:rPr/>
        <w:t>         </w:t>
      </w:r>
      <w:r>
        <w:rPr>
          <w:sz w:val="20"/>
        </w:rPr>
        <w:t>RIA (Portugal), Unispessoal</w:t>
      </w:r>
      <w:r>
        <w:rPr/>
        <w:t> </w:t>
      </w:r>
      <w:r>
        <w:rPr>
          <w:sz w:val="20"/>
        </w:rPr>
        <w:t>L.D.A., incorporated in Portugal</w:t>
      </w:r>
    </w:p>
    <w:p>
      <w:pPr>
        <w:pStyle w:val="TextBody"/>
        <w:bidi w:val="0"/>
        <w:spacing w:lineRule="atLeast" w:line="240" w:before="0" w:after="0"/>
        <w:ind w:left="720" w:right="0" w:hanging="360"/>
        <w:jc w:val="left"/>
        <w:rPr/>
      </w:pPr>
      <w:r>
        <w:rPr/>
        <w:t xml:space="preserve">         </w:t>
      </w:r>
      <w:r>
        <w:rPr>
          <w:sz w:val="20"/>
        </w:rPr>
        <w:t>RIA Financial Services Puerto Rico, Inc., incorporated in Puerto Rico</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CoreCard SRL incorporated in Romania</w:t>
      </w:r>
    </w:p>
    <w:p>
      <w:pPr>
        <w:pStyle w:val="TextBody"/>
        <w:bidi w:val="0"/>
        <w:spacing w:lineRule="atLeast" w:line="240" w:before="0" w:after="0"/>
        <w:ind w:left="720" w:right="0" w:hanging="360"/>
        <w:jc w:val="left"/>
        <w:rPr/>
      </w:pPr>
      <w:r>
        <w:rPr/>
        <w:t xml:space="preserve">         </w:t>
      </w:r>
      <w:r>
        <w:rPr>
          <w:sz w:val="20"/>
        </w:rPr>
        <w:t>Euronet Services S.R.L., incorporated in Romania</w:t>
      </w:r>
    </w:p>
    <w:p>
      <w:pPr>
        <w:pStyle w:val="TextBody"/>
        <w:bidi w:val="0"/>
        <w:spacing w:lineRule="atLeast" w:line="240" w:before="0" w:after="0"/>
        <w:ind w:left="720" w:right="0" w:hanging="360"/>
        <w:jc w:val="left"/>
        <w:rPr/>
      </w:pPr>
      <w:r>
        <w:rPr/>
        <w:t>         </w:t>
      </w:r>
      <w:r>
        <w:rPr>
          <w:sz w:val="20"/>
        </w:rPr>
        <w:t>Euronet</w:t>
      </w:r>
      <w:r>
        <w:rPr/>
        <w:t> </w:t>
      </w:r>
      <w:r>
        <w:rPr>
          <w:sz w:val="20"/>
        </w:rPr>
        <w:t>Services O.O.O., incorporated in Russia</w:t>
      </w:r>
    </w:p>
    <w:p>
      <w:pPr>
        <w:pStyle w:val="TextBody"/>
        <w:bidi w:val="0"/>
        <w:spacing w:lineRule="atLeast" w:line="240" w:before="0" w:after="0"/>
        <w:jc w:val="left"/>
        <w:rPr/>
      </w:pPr>
      <w:r>
        <w:rPr/>
        <w:t> </w:t>
      </w:r>
    </w:p>
    <w:p>
      <w:pPr>
        <w:pStyle w:val="TextBody"/>
        <w:bidi w:val="0"/>
        <w:spacing w:before="0" w:after="0"/>
        <w:jc w:val="center"/>
        <w:rPr>
          <w:sz w:val="20"/>
        </w:rPr>
      </w:pPr>
      <w:r>
        <w:rPr>
          <w:sz w:val="20"/>
        </w:rPr>
        <w:t>2</w:t>
      </w:r>
    </w:p>
    <w:p>
      <w:pPr>
        <w:pStyle w:val="HorizontalLine"/>
        <w:pBdr>
          <w:bottom w:val="double" w:sz="2" w:space="0" w:color="808080"/>
        </w:pBdr>
        <w:bidi w:val="0"/>
        <w:jc w:val="center"/>
        <w:rPr/>
      </w:pPr>
      <w:r>
        <w:rPr/>
      </w:r>
    </w:p>
    <w:p>
      <w:pPr>
        <w:pStyle w:val="TextBody"/>
        <w:bidi w:val="0"/>
        <w:spacing w:lineRule="atLeast" w:line="240" w:before="0" w:after="0"/>
        <w:ind w:left="720" w:right="0" w:hanging="360"/>
        <w:jc w:val="left"/>
        <w:rPr/>
      </w:pPr>
      <w:r>
        <w:rPr/>
        <w:t>         </w:t>
      </w:r>
      <w:r>
        <w:rPr>
          <w:sz w:val="20"/>
        </w:rPr>
        <w:t>Ria Financial</w:t>
      </w:r>
      <w:r>
        <w:rPr/>
        <w:t> </w:t>
      </w:r>
      <w:r>
        <w:rPr>
          <w:sz w:val="20"/>
        </w:rPr>
        <w:t>Services</w:t>
      </w:r>
      <w:r>
        <w:rPr/>
        <w:t> </w:t>
      </w:r>
      <w:r>
        <w:rPr>
          <w:sz w:val="20"/>
        </w:rPr>
        <w:t>Senegal S.A., incorporated in Senegal</w:t>
      </w:r>
    </w:p>
    <w:p>
      <w:pPr>
        <w:pStyle w:val="TextBody"/>
        <w:bidi w:val="0"/>
        <w:spacing w:lineRule="atLeast" w:line="240" w:before="0" w:after="0"/>
        <w:ind w:left="720" w:right="0" w:hanging="360"/>
        <w:jc w:val="left"/>
        <w:rPr/>
      </w:pPr>
      <w:r>
        <w:rPr/>
        <w:t xml:space="preserve">         </w:t>
      </w:r>
      <w:r>
        <w:rPr>
          <w:sz w:val="20"/>
        </w:rPr>
        <w:t>Euronet Services d.o.o., incorporated in Serbia</w:t>
      </w:r>
    </w:p>
    <w:p>
      <w:pPr>
        <w:pStyle w:val="TextBody"/>
        <w:bidi w:val="0"/>
        <w:spacing w:lineRule="atLeast" w:line="240" w:before="0" w:after="0"/>
        <w:ind w:left="720" w:right="0" w:hanging="360"/>
        <w:jc w:val="left"/>
        <w:rPr/>
      </w:pPr>
      <w:r>
        <w:rPr/>
        <w:t>         </w:t>
      </w:r>
      <w:r>
        <w:rPr>
          <w:sz w:val="20"/>
        </w:rPr>
        <w:t>Euronet</w:t>
      </w:r>
      <w:r>
        <w:rPr/>
        <w:t> </w:t>
      </w:r>
      <w:r>
        <w:rPr>
          <w:sz w:val="20"/>
        </w:rPr>
        <w:t>Services Singapore</w:t>
      </w:r>
      <w:r>
        <w:rPr/>
        <w:t> </w:t>
      </w:r>
      <w:r>
        <w:rPr>
          <w:sz w:val="20"/>
        </w:rPr>
        <w:t>Pte</w:t>
      </w:r>
      <w:r>
        <w:rPr/>
        <w:t> </w:t>
      </w:r>
      <w:r>
        <w:rPr>
          <w:sz w:val="20"/>
        </w:rPr>
        <w:t>Ltd., incorporate in Singapore</w:t>
      </w:r>
    </w:p>
    <w:p>
      <w:pPr>
        <w:pStyle w:val="TextBody"/>
        <w:bidi w:val="0"/>
        <w:spacing w:lineRule="atLeast" w:line="240" w:before="0" w:after="0"/>
        <w:ind w:left="720" w:right="0" w:hanging="360"/>
        <w:jc w:val="left"/>
        <w:rPr/>
      </w:pPr>
      <w:r>
        <w:rPr/>
        <w:t>         </w:t>
      </w:r>
      <w:r>
        <w:rPr>
          <w:sz w:val="20"/>
        </w:rPr>
        <w:t>Infinitium</w:t>
      </w:r>
      <w:r>
        <w:rPr/>
        <w:t> </w:t>
      </w:r>
      <w:r>
        <w:rPr>
          <w:sz w:val="20"/>
        </w:rPr>
        <w:t>Holdings Pte. Ltd., incorporated in Singapore</w:t>
      </w:r>
    </w:p>
    <w:p>
      <w:pPr>
        <w:pStyle w:val="TextBody"/>
        <w:bidi w:val="0"/>
        <w:spacing w:lineRule="atLeast" w:line="240" w:before="0" w:after="0"/>
        <w:ind w:left="720" w:right="0" w:hanging="360"/>
        <w:jc w:val="left"/>
        <w:rPr/>
      </w:pPr>
      <w:r>
        <w:rPr/>
        <w:t>         </w:t>
      </w:r>
      <w:r>
        <w:rPr>
          <w:sz w:val="20"/>
        </w:rPr>
        <w:t>Infinitium</w:t>
      </w:r>
      <w:r>
        <w:rPr/>
        <w:t> </w:t>
      </w:r>
      <w:r>
        <w:rPr>
          <w:sz w:val="20"/>
        </w:rPr>
        <w:t>Solutions Pte. Ltd., incorporated in Singapore</w:t>
      </w:r>
    </w:p>
    <w:p>
      <w:pPr>
        <w:pStyle w:val="TextBody"/>
        <w:bidi w:val="0"/>
        <w:spacing w:lineRule="atLeast" w:line="240" w:before="0" w:after="0"/>
        <w:ind w:left="720" w:right="0" w:hanging="360"/>
        <w:jc w:val="left"/>
        <w:rPr/>
      </w:pPr>
      <w:r>
        <w:rPr/>
        <w:t xml:space="preserve">         </w:t>
      </w:r>
      <w:r>
        <w:rPr>
          <w:sz w:val="20"/>
        </w:rPr>
        <w:t>Pure Processing Pte. Ltd., incorporated in Singapore</w:t>
      </w:r>
    </w:p>
    <w:p>
      <w:pPr>
        <w:pStyle w:val="TextBody"/>
        <w:bidi w:val="0"/>
        <w:spacing w:lineRule="atLeast" w:line="240" w:before="0" w:after="0"/>
        <w:ind w:left="720" w:right="0" w:hanging="360"/>
        <w:jc w:val="left"/>
        <w:rPr/>
      </w:pPr>
      <w:r>
        <w:rPr/>
        <w:t xml:space="preserve">         </w:t>
      </w:r>
      <w:r>
        <w:rPr>
          <w:sz w:val="20"/>
        </w:rPr>
        <w:t>RIA Financial Services Singapore Pte. Ltd., incorporated in Singapore</w:t>
      </w:r>
    </w:p>
    <w:p>
      <w:pPr>
        <w:pStyle w:val="TextBody"/>
        <w:bidi w:val="0"/>
        <w:spacing w:lineRule="atLeast" w:line="240" w:before="0" w:after="0"/>
        <w:ind w:left="720" w:right="0" w:hanging="360"/>
        <w:jc w:val="left"/>
        <w:rPr/>
      </w:pPr>
      <w:r>
        <w:rPr/>
        <w:t xml:space="preserve">         </w:t>
      </w:r>
      <w:r>
        <w:rPr>
          <w:sz w:val="20"/>
        </w:rPr>
        <w:t>Euronet Services Slovakia, spol. s r.o., incorporated in Slovakia</w:t>
      </w:r>
    </w:p>
    <w:p>
      <w:pPr>
        <w:pStyle w:val="TextBody"/>
        <w:bidi w:val="0"/>
        <w:spacing w:lineRule="atLeast" w:line="240" w:before="0" w:after="0"/>
        <w:ind w:left="720" w:right="0" w:hanging="360"/>
        <w:jc w:val="left"/>
        <w:rPr/>
      </w:pPr>
      <w:r>
        <w:rPr/>
        <w:t xml:space="preserve">         </w:t>
      </w:r>
      <w:r>
        <w:rPr>
          <w:sz w:val="20"/>
        </w:rPr>
        <w:t>Euronet Business Holdings, S.L.U., incorporated in Spain</w:t>
      </w:r>
    </w:p>
    <w:p>
      <w:pPr>
        <w:pStyle w:val="TextBody"/>
        <w:bidi w:val="0"/>
        <w:spacing w:lineRule="atLeast" w:line="240" w:before="0" w:after="0"/>
        <w:ind w:left="720" w:right="0" w:hanging="360"/>
        <w:jc w:val="left"/>
        <w:rPr/>
      </w:pPr>
      <w:r>
        <w:rPr/>
        <w:t>         </w:t>
      </w:r>
      <w:r>
        <w:rPr>
          <w:sz w:val="20"/>
        </w:rPr>
        <w:t>Euronet</w:t>
      </w:r>
      <w:r>
        <w:rPr/>
        <w:t> </w:t>
      </w:r>
      <w:r>
        <w:rPr>
          <w:sz w:val="20"/>
        </w:rPr>
        <w:t>Services Iberia S.L., incorporated in Spain</w:t>
      </w:r>
    </w:p>
    <w:p>
      <w:pPr>
        <w:pStyle w:val="TextBody"/>
        <w:bidi w:val="0"/>
        <w:spacing w:lineRule="atLeast" w:line="240" w:before="0" w:after="0"/>
        <w:ind w:left="720" w:right="0" w:hanging="360"/>
        <w:jc w:val="left"/>
        <w:rPr/>
      </w:pPr>
      <w:r>
        <w:rPr/>
        <w:t xml:space="preserve">         </w:t>
      </w:r>
      <w:r>
        <w:rPr>
          <w:sz w:val="20"/>
        </w:rPr>
        <w:t>Euronet Telerecarga, S.L.U., incorporated in Spain</w:t>
      </w:r>
    </w:p>
    <w:p>
      <w:pPr>
        <w:pStyle w:val="TextBody"/>
        <w:bidi w:val="0"/>
        <w:spacing w:lineRule="atLeast" w:line="240" w:before="0" w:after="0"/>
        <w:ind w:left="720" w:right="0" w:hanging="360"/>
        <w:jc w:val="left"/>
        <w:rPr/>
      </w:pPr>
      <w:r>
        <w:rPr/>
        <w:t xml:space="preserve">         </w:t>
      </w:r>
      <w:r>
        <w:rPr>
          <w:sz w:val="20"/>
        </w:rPr>
        <w:t>Innova Magazine S.L., incorporated in Spain</w:t>
      </w:r>
    </w:p>
    <w:p>
      <w:pPr>
        <w:pStyle w:val="TextBody"/>
        <w:bidi w:val="0"/>
        <w:spacing w:lineRule="atLeast" w:line="240" w:before="0" w:after="0"/>
        <w:ind w:left="720" w:right="0" w:hanging="360"/>
        <w:jc w:val="left"/>
        <w:rPr/>
      </w:pPr>
      <w:r>
        <w:rPr/>
        <w:t xml:space="preserve">         </w:t>
      </w:r>
      <w:r>
        <w:rPr>
          <w:sz w:val="20"/>
        </w:rPr>
        <w:t>Innova Taxfree Group, S.L., incorporated in Spain</w:t>
      </w:r>
    </w:p>
    <w:p>
      <w:pPr>
        <w:pStyle w:val="TextBody"/>
        <w:bidi w:val="0"/>
        <w:spacing w:lineRule="atLeast" w:line="240" w:before="0" w:after="0"/>
        <w:ind w:left="720" w:right="0" w:hanging="360"/>
        <w:jc w:val="left"/>
        <w:rPr/>
      </w:pPr>
      <w:r>
        <w:rPr/>
        <w:t xml:space="preserve">         </w:t>
      </w:r>
      <w:r>
        <w:rPr>
          <w:sz w:val="20"/>
        </w:rPr>
        <w:t>Innova Taxfree Spain, S.L., incorporated in Spain</w:t>
      </w:r>
    </w:p>
    <w:p>
      <w:pPr>
        <w:pStyle w:val="TextBody"/>
        <w:bidi w:val="0"/>
        <w:spacing w:lineRule="atLeast" w:line="240" w:before="0" w:after="0"/>
        <w:ind w:left="720" w:right="0" w:hanging="360"/>
        <w:jc w:val="left"/>
        <w:rPr/>
      </w:pPr>
      <w:r>
        <w:rPr/>
        <w:t xml:space="preserve">         </w:t>
      </w:r>
      <w:r>
        <w:rPr>
          <w:sz w:val="20"/>
        </w:rPr>
        <w:t>RIA Payment Institution EP, S.A.U., incorporated in Spain</w:t>
      </w:r>
    </w:p>
    <w:p>
      <w:pPr>
        <w:pStyle w:val="TextBody"/>
        <w:bidi w:val="0"/>
        <w:spacing w:lineRule="atLeast" w:line="240" w:before="0" w:after="0"/>
        <w:ind w:left="720" w:right="0" w:hanging="360"/>
        <w:jc w:val="left"/>
        <w:rPr/>
      </w:pPr>
      <w:r>
        <w:rPr/>
        <w:t xml:space="preserve">         </w:t>
      </w:r>
      <w:r>
        <w:rPr>
          <w:sz w:val="20"/>
        </w:rPr>
        <w:t>Sikhona</w:t>
      </w:r>
      <w:r>
        <w:rPr/>
        <w:t> </w:t>
      </w:r>
      <w:r>
        <w:rPr>
          <w:sz w:val="20"/>
        </w:rPr>
        <w:t>Forex (RF) (Pty) Limited, incorporated in South Africa</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SFX Dealing Room (Pty) Ltd. Incorporated in South Africa</w:t>
      </w:r>
    </w:p>
    <w:p>
      <w:pPr>
        <w:pStyle w:val="TextBody"/>
        <w:bidi w:val="0"/>
        <w:spacing w:lineRule="atLeast" w:line="240" w:before="0" w:after="0"/>
        <w:ind w:left="720" w:right="0" w:hanging="360"/>
        <w:jc w:val="left"/>
        <w:rPr/>
      </w:pPr>
      <w:r>
        <w:rPr/>
        <w:t xml:space="preserve">         </w:t>
      </w:r>
      <w:r>
        <w:rPr>
          <w:sz w:val="20"/>
        </w:rPr>
        <w:t>RIA Financial Services Sweden AB, incorporated in Sweden</w:t>
      </w:r>
    </w:p>
    <w:p>
      <w:pPr>
        <w:pStyle w:val="TextBody"/>
        <w:bidi w:val="0"/>
        <w:spacing w:lineRule="atLeast" w:line="240" w:before="0" w:after="0"/>
        <w:ind w:left="720" w:right="0" w:hanging="360"/>
        <w:jc w:val="left"/>
        <w:rPr/>
      </w:pPr>
      <w:r>
        <w:rPr/>
        <w:t xml:space="preserve">         </w:t>
      </w:r>
      <w:r>
        <w:rPr>
          <w:sz w:val="20"/>
        </w:rPr>
        <w:t>Euronet Services Schweiz GmbH, incorporated in Switzerland</w:t>
      </w:r>
    </w:p>
    <w:p>
      <w:pPr>
        <w:pStyle w:val="TextBody"/>
        <w:bidi w:val="0"/>
        <w:spacing w:lineRule="atLeast" w:line="240" w:before="0" w:after="0"/>
        <w:ind w:left="720" w:right="0" w:hanging="360"/>
        <w:jc w:val="left"/>
        <w:rPr/>
      </w:pPr>
      <w:r>
        <w:rPr/>
        <w:t xml:space="preserve">         </w:t>
      </w:r>
      <w:r>
        <w:rPr>
          <w:sz w:val="20"/>
        </w:rPr>
        <w:t>RIA Financial Services GmbH, incorporated in Switzerland</w:t>
      </w:r>
    </w:p>
    <w:p>
      <w:pPr>
        <w:pStyle w:val="TextBody"/>
        <w:bidi w:val="0"/>
        <w:spacing w:lineRule="atLeast" w:line="240" w:before="0" w:after="0"/>
        <w:ind w:left="720" w:right="0" w:hanging="360"/>
        <w:jc w:val="left"/>
        <w:rPr/>
      </w:pPr>
      <w:r>
        <w:rPr/>
        <w:t xml:space="preserve">         </w:t>
      </w:r>
      <w:r>
        <w:rPr>
          <w:sz w:val="20"/>
        </w:rPr>
        <w:t>Euronet Elektronik Islem Hizmetleri Limited Sirketi, incorporated in Turkey</w:t>
      </w:r>
    </w:p>
    <w:p>
      <w:pPr>
        <w:pStyle w:val="TextBody"/>
        <w:bidi w:val="0"/>
        <w:spacing w:lineRule="atLeast" w:line="240" w:before="0" w:after="0"/>
        <w:ind w:left="720" w:right="0" w:hanging="360"/>
        <w:jc w:val="left"/>
        <w:rPr/>
      </w:pPr>
      <w:r>
        <w:rPr/>
        <w:t>         </w:t>
      </w:r>
      <w:r>
        <w:rPr>
          <w:sz w:val="20"/>
        </w:rPr>
        <w:t>Euronet</w:t>
      </w:r>
      <w:r>
        <w:rPr/>
        <w:t> </w:t>
      </w:r>
      <w:r>
        <w:rPr>
          <w:sz w:val="20"/>
        </w:rPr>
        <w:t>Ukraine LLC, incorporated in Ukraine</w:t>
      </w:r>
      <w:r>
        <w:rPr/>
        <w:t xml:space="preserve"> </w:t>
      </w:r>
    </w:p>
    <w:p>
      <w:pPr>
        <w:pStyle w:val="TextBody"/>
        <w:bidi w:val="0"/>
        <w:spacing w:lineRule="atLeast" w:line="240" w:before="0" w:after="0"/>
        <w:ind w:left="720" w:right="0" w:hanging="360"/>
        <w:jc w:val="left"/>
        <w:rPr/>
      </w:pPr>
      <w:r>
        <w:rPr/>
        <w:t></w:t>
      </w:r>
      <w:r>
        <w:rPr>
          <w:caps w:val="false"/>
          <w:smallCaps w:val="false"/>
        </w:rPr>
        <w:t xml:space="preserve">         </w:t>
      </w:r>
      <w:r>
        <w:rPr/>
        <w:t>    </w:t>
      </w:r>
      <w:r>
        <w:rPr>
          <w:sz w:val="20"/>
        </w:rPr>
        <w:t>CoreCard Software DMCC, incorporated in United Arab Emirates</w:t>
      </w:r>
    </w:p>
    <w:p>
      <w:pPr>
        <w:pStyle w:val="TextBody"/>
        <w:bidi w:val="0"/>
        <w:spacing w:lineRule="atLeast" w:line="240" w:before="0" w:after="0"/>
        <w:ind w:left="720" w:right="0" w:hanging="360"/>
        <w:jc w:val="left"/>
        <w:rPr/>
      </w:pPr>
      <w:r>
        <w:rPr/>
        <w:t xml:space="preserve">         </w:t>
      </w:r>
      <w:r>
        <w:rPr>
          <w:sz w:val="20"/>
        </w:rPr>
        <w:t>epay Digital Middle East FZ-LLC, incorporated in United Arab Emirates</w:t>
      </w:r>
    </w:p>
    <w:p>
      <w:pPr>
        <w:pStyle w:val="TextBody"/>
        <w:bidi w:val="0"/>
        <w:spacing w:lineRule="atLeast" w:line="240" w:before="0" w:after="0"/>
        <w:ind w:left="720" w:right="0" w:hanging="360"/>
        <w:jc w:val="left"/>
        <w:rPr/>
      </w:pPr>
      <w:r>
        <w:rPr/>
        <w:t>         </w:t>
      </w:r>
      <w:r>
        <w:rPr>
          <w:sz w:val="20"/>
        </w:rPr>
        <w:t>Euronet</w:t>
      </w:r>
      <w:r>
        <w:rPr/>
        <w:t> </w:t>
      </w:r>
      <w:r>
        <w:rPr>
          <w:sz w:val="20"/>
        </w:rPr>
        <w:t>Gulf FZ-LLC, incorporated in United Arab Emirates</w:t>
      </w:r>
    </w:p>
    <w:p>
      <w:pPr>
        <w:pStyle w:val="TextBody"/>
        <w:bidi w:val="0"/>
        <w:spacing w:lineRule="atLeast" w:line="240" w:before="0" w:after="0"/>
        <w:ind w:left="720" w:right="0" w:hanging="360"/>
        <w:jc w:val="left"/>
        <w:rPr/>
      </w:pPr>
      <w:r>
        <w:rPr/>
        <w:t xml:space="preserve">         </w:t>
      </w:r>
      <w:r>
        <w:rPr>
          <w:sz w:val="20"/>
        </w:rPr>
        <w:t>epay Ltd, incorporated in United Kingdom</w:t>
      </w:r>
    </w:p>
    <w:p>
      <w:pPr>
        <w:pStyle w:val="TextBody"/>
        <w:bidi w:val="0"/>
        <w:spacing w:lineRule="atLeast" w:line="240" w:before="0" w:after="0"/>
        <w:ind w:left="720" w:right="0" w:hanging="360"/>
        <w:jc w:val="left"/>
        <w:rPr/>
      </w:pPr>
      <w:r>
        <w:rPr/>
        <w:t xml:space="preserve">         </w:t>
      </w:r>
      <w:r>
        <w:rPr>
          <w:sz w:val="20"/>
        </w:rPr>
        <w:t>Euronet (London) UK Holdings Limited, incorporated in United Kingdom</w:t>
      </w:r>
    </w:p>
    <w:p>
      <w:pPr>
        <w:pStyle w:val="TextBody"/>
        <w:bidi w:val="0"/>
        <w:spacing w:lineRule="atLeast" w:line="240" w:before="0" w:after="0"/>
        <w:ind w:left="720" w:right="0" w:hanging="360"/>
        <w:jc w:val="left"/>
        <w:rPr/>
      </w:pPr>
      <w:r>
        <w:rPr/>
        <w:t xml:space="preserve">         </w:t>
      </w:r>
      <w:r>
        <w:rPr>
          <w:sz w:val="20"/>
        </w:rPr>
        <w:t>Euronet 360 Finance Limited, incorporated in United Kingdom</w:t>
      </w:r>
    </w:p>
    <w:p>
      <w:pPr>
        <w:pStyle w:val="TextBody"/>
        <w:bidi w:val="0"/>
        <w:spacing w:lineRule="atLeast" w:line="240" w:before="0" w:after="0"/>
        <w:ind w:left="720" w:right="0" w:hanging="360"/>
        <w:jc w:val="left"/>
        <w:rPr/>
      </w:pPr>
      <w:r>
        <w:rPr/>
        <w:t xml:space="preserve">         </w:t>
      </w:r>
      <w:r>
        <w:rPr>
          <w:sz w:val="20"/>
        </w:rPr>
        <w:t>Euronet Payment Services Ltd, incorporated in United Kingdom</w:t>
      </w:r>
    </w:p>
    <w:p>
      <w:pPr>
        <w:pStyle w:val="TextBody"/>
        <w:bidi w:val="0"/>
        <w:spacing w:lineRule="atLeast" w:line="240" w:before="0" w:after="0"/>
        <w:ind w:left="720" w:right="0" w:hanging="360"/>
        <w:jc w:val="left"/>
        <w:rPr/>
      </w:pPr>
      <w:r>
        <w:rPr/>
        <w:t xml:space="preserve">         </w:t>
      </w:r>
      <w:r>
        <w:rPr>
          <w:sz w:val="20"/>
        </w:rPr>
        <w:t>HiFM Holdings Limited, incorporated in United Kingdom</w:t>
      </w:r>
    </w:p>
    <w:p>
      <w:pPr>
        <w:pStyle w:val="TextBody"/>
        <w:bidi w:val="0"/>
        <w:spacing w:lineRule="atLeast" w:line="240" w:before="0" w:after="0"/>
        <w:ind w:left="720" w:right="0" w:hanging="360"/>
        <w:jc w:val="left"/>
        <w:rPr/>
      </w:pPr>
      <w:r>
        <w:rPr/>
        <w:t xml:space="preserve">         </w:t>
      </w:r>
      <w:r>
        <w:rPr>
          <w:sz w:val="20"/>
        </w:rPr>
        <w:t>HiFM Limited, incorporated in United Kingdom</w:t>
      </w:r>
    </w:p>
    <w:p>
      <w:pPr>
        <w:pStyle w:val="TextBody"/>
        <w:bidi w:val="0"/>
        <w:spacing w:lineRule="atLeast" w:line="240" w:before="0" w:after="0"/>
        <w:ind w:left="720" w:right="0" w:hanging="360"/>
        <w:jc w:val="left"/>
        <w:rPr/>
      </w:pPr>
      <w:r>
        <w:rPr/>
        <w:t xml:space="preserve">         </w:t>
      </w:r>
      <w:r>
        <w:rPr>
          <w:sz w:val="20"/>
        </w:rPr>
        <w:t>HiFX Europe Limited, incorporated in United Kingdom</w:t>
      </w:r>
    </w:p>
    <w:p>
      <w:pPr>
        <w:pStyle w:val="TextBody"/>
        <w:bidi w:val="0"/>
        <w:spacing w:lineRule="atLeast" w:line="240" w:before="0" w:after="0"/>
        <w:ind w:left="720" w:right="0" w:hanging="360"/>
        <w:jc w:val="left"/>
        <w:rPr/>
      </w:pPr>
      <w:r>
        <w:rPr/>
        <w:t xml:space="preserve">         </w:t>
      </w:r>
      <w:r>
        <w:rPr>
          <w:sz w:val="20"/>
        </w:rPr>
        <w:t>Innova Tax Free (UK) Limited, incorporated in United Kingdom</w:t>
      </w:r>
    </w:p>
    <w:p>
      <w:pPr>
        <w:pStyle w:val="TextBody"/>
        <w:bidi w:val="0"/>
        <w:spacing w:lineRule="atLeast" w:line="240" w:before="0" w:after="0"/>
        <w:ind w:left="720" w:right="0" w:hanging="360"/>
        <w:jc w:val="left"/>
        <w:rPr/>
      </w:pPr>
      <w:r>
        <w:rPr/>
        <w:t xml:space="preserve">         </w:t>
      </w:r>
      <w:r>
        <w:rPr>
          <w:sz w:val="20"/>
        </w:rPr>
        <w:t>RIA Financial Services Limited, incorporated in United Kingdom</w:t>
      </w:r>
    </w:p>
    <w:p>
      <w:pPr>
        <w:pStyle w:val="TextBody"/>
        <w:bidi w:val="0"/>
        <w:spacing w:lineRule="atLeast" w:line="240" w:before="0" w:after="0"/>
        <w:ind w:left="720" w:right="0" w:hanging="360"/>
        <w:jc w:val="left"/>
        <w:rPr/>
      </w:pPr>
      <w:r>
        <w:rPr/>
        <w:t xml:space="preserve">         </w:t>
      </w:r>
      <w:r>
        <w:rPr>
          <w:sz w:val="20"/>
        </w:rPr>
        <w:t>YourCash Europe Limited, incorporated in United Kingdom</w:t>
      </w:r>
    </w:p>
    <w:p>
      <w:pPr>
        <w:pStyle w:val="TextBody"/>
        <w:bidi w:val="0"/>
        <w:spacing w:lineRule="atLeast" w:line="240" w:before="0" w:after="0"/>
        <w:ind w:left="720" w:right="0" w:hanging="360"/>
        <w:jc w:val="left"/>
        <w:rPr/>
      </w:pPr>
      <w:r>
        <w:rPr/>
        <w:t xml:space="preserve">         </w:t>
      </w:r>
      <w:r>
        <w:rPr>
          <w:sz w:val="20"/>
        </w:rPr>
        <w:t>YourCash Solutions Limited, incorporated in United Kingdom</w:t>
      </w:r>
    </w:p>
    <w:p>
      <w:pPr>
        <w:pStyle w:val="TextBody"/>
        <w:bidi w:val="0"/>
        <w:spacing w:lineRule="atLeast" w:line="240" w:before="0" w:after="0"/>
        <w:ind w:left="720" w:right="0" w:hanging="360"/>
        <w:jc w:val="left"/>
        <w:rPr/>
      </w:pPr>
      <w:r>
        <w:rPr/>
        <w:t xml:space="preserve">         </w:t>
      </w:r>
      <w:r>
        <w:rPr>
          <w:sz w:val="20"/>
        </w:rPr>
        <w:t>YourCash Holdings Limited, incorporated in United Kingdom</w:t>
      </w:r>
    </w:p>
    <w:p>
      <w:pPr>
        <w:pStyle w:val="TextBody"/>
        <w:bidi w:val="0"/>
        <w:spacing w:lineRule="atLeast" w:line="240" w:before="0" w:after="0"/>
        <w:ind w:left="720" w:right="0" w:hanging="360"/>
        <w:jc w:val="left"/>
        <w:rPr/>
      </w:pPr>
      <w:r>
        <w:rPr/>
        <w:t xml:space="preserve">         </w:t>
      </w:r>
      <w:r>
        <w:rPr>
          <w:sz w:val="20"/>
        </w:rPr>
        <w:t>YourCash ATM Systems Limited, incorporated in United Kingdom</w:t>
      </w:r>
    </w:p>
    <w:p>
      <w:pPr>
        <w:pStyle w:val="TextBody"/>
        <w:bidi w:val="0"/>
        <w:spacing w:lineRule="atLeast" w:line="240" w:before="0" w:after="0"/>
        <w:ind w:left="720" w:right="0" w:hanging="360"/>
        <w:jc w:val="left"/>
        <w:rPr/>
      </w:pPr>
      <w:r>
        <w:rPr/>
        <w:t xml:space="preserve">         </w:t>
      </w:r>
      <w:r>
        <w:rPr>
          <w:sz w:val="20"/>
        </w:rPr>
        <w:t>YourCash Limited, incorporated in United Kingdom</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CoreCard Corporation incorporated in Georgia, U.S.A</w:t>
      </w:r>
    </w:p>
    <w:p>
      <w:pPr>
        <w:pStyle w:val="TextBody"/>
        <w:bidi w:val="0"/>
        <w:spacing w:lineRule="atLeast" w:line="240" w:before="0" w:after="0"/>
        <w:ind w:left="720" w:right="0" w:hanging="360"/>
        <w:jc w:val="left"/>
        <w:rPr/>
      </w:pPr>
      <w:r>
        <w:rPr/>
        <w:t xml:space="preserve">         </w:t>
      </w:r>
      <w:r>
        <w:rPr>
          <w:sz w:val="20"/>
        </w:rPr>
        <w:t>Dolphin Debit Access, LLC, incorporated in Texas, U.S.A.</w:t>
      </w:r>
    </w:p>
    <w:p>
      <w:pPr>
        <w:pStyle w:val="TextBody"/>
        <w:bidi w:val="0"/>
        <w:spacing w:lineRule="atLeast" w:line="240" w:before="0" w:after="0"/>
        <w:ind w:left="720" w:right="0" w:hanging="360"/>
        <w:jc w:val="left"/>
        <w:rPr/>
      </w:pPr>
      <w:r>
        <w:rPr/>
        <w:t></w:t>
      </w:r>
      <w:r>
        <w:rPr>
          <w:caps w:val="false"/>
          <w:smallCaps w:val="false"/>
        </w:rPr>
        <w:t xml:space="preserve">         </w:t>
      </w:r>
      <w:r>
        <w:rPr/>
        <w:t xml:space="preserve">   </w:t>
      </w:r>
      <w:r>
        <w:rPr>
          <w:sz w:val="20"/>
        </w:rPr>
        <w:t>CoreCard Software, Inc. incorporated in Delaware, U.S.A</w:t>
      </w:r>
    </w:p>
    <w:p>
      <w:pPr>
        <w:pStyle w:val="TextBody"/>
        <w:bidi w:val="0"/>
        <w:spacing w:lineRule="atLeast" w:line="240" w:before="0" w:after="0"/>
        <w:ind w:left="720" w:right="0" w:hanging="360"/>
        <w:jc w:val="left"/>
        <w:rPr/>
      </w:pPr>
      <w:r>
        <w:rPr/>
        <w:t xml:space="preserve">         </w:t>
      </w:r>
      <w:r>
        <w:rPr>
          <w:sz w:val="20"/>
        </w:rPr>
        <w:t>EFT Americas, Inc., incorporated in Delaware, U.S.A.</w:t>
      </w:r>
    </w:p>
    <w:p>
      <w:pPr>
        <w:pStyle w:val="TextBody"/>
        <w:bidi w:val="0"/>
        <w:spacing w:lineRule="atLeast" w:line="240" w:before="0" w:after="0"/>
        <w:jc w:val="left"/>
        <w:rPr/>
      </w:pPr>
      <w:r>
        <w:rPr/>
        <w:t> </w:t>
      </w:r>
    </w:p>
    <w:p>
      <w:pPr>
        <w:pStyle w:val="TextBody"/>
        <w:bidi w:val="0"/>
        <w:spacing w:before="0" w:after="0"/>
        <w:jc w:val="center"/>
        <w:rPr>
          <w:sz w:val="20"/>
        </w:rPr>
      </w:pPr>
      <w:r>
        <w:rPr>
          <w:sz w:val="20"/>
        </w:rPr>
        <w:t>3</w:t>
      </w:r>
    </w:p>
    <w:p>
      <w:pPr>
        <w:pStyle w:val="HorizontalLine"/>
        <w:pBdr>
          <w:bottom w:val="double" w:sz="2" w:space="0" w:color="808080"/>
        </w:pBdr>
        <w:bidi w:val="0"/>
        <w:jc w:val="center"/>
        <w:rPr/>
      </w:pPr>
      <w:r>
        <w:rPr/>
      </w:r>
    </w:p>
    <w:p>
      <w:pPr>
        <w:pStyle w:val="TextBody"/>
        <w:bidi w:val="0"/>
        <w:spacing w:lineRule="atLeast" w:line="240" w:before="0" w:after="0"/>
        <w:ind w:left="720" w:right="0" w:hanging="360"/>
        <w:jc w:val="left"/>
        <w:rPr/>
      </w:pPr>
      <w:r>
        <w:rPr/>
        <w:t xml:space="preserve">         </w:t>
      </w:r>
      <w:r>
        <w:rPr>
          <w:sz w:val="20"/>
        </w:rPr>
        <w:t>Euronet Pakistan Holdings Inc., incorporated in Delaware, U.S.A.</w:t>
      </w:r>
    </w:p>
    <w:p>
      <w:pPr>
        <w:pStyle w:val="TextBody"/>
        <w:bidi w:val="0"/>
        <w:spacing w:lineRule="atLeast" w:line="240" w:before="0" w:after="0"/>
        <w:ind w:left="720" w:right="0" w:hanging="360"/>
        <w:jc w:val="left"/>
        <w:rPr/>
      </w:pPr>
      <w:r>
        <w:rPr/>
        <w:t xml:space="preserve">         </w:t>
      </w:r>
      <w:r>
        <w:rPr>
          <w:sz w:val="20"/>
        </w:rPr>
        <w:t>Euronet USA, LLC, incorporated in Arkansas, U.S.A.</w:t>
      </w:r>
    </w:p>
    <w:p>
      <w:pPr>
        <w:pStyle w:val="TextBody"/>
        <w:bidi w:val="0"/>
        <w:spacing w:lineRule="atLeast" w:line="240" w:before="0" w:after="0"/>
        <w:ind w:left="720" w:right="0" w:hanging="360"/>
        <w:jc w:val="left"/>
        <w:rPr/>
      </w:pPr>
      <w:r>
        <w:rPr/>
        <w:t xml:space="preserve">         </w:t>
      </w:r>
      <w:r>
        <w:rPr>
          <w:sz w:val="20"/>
        </w:rPr>
        <w:t>Dandelion Payments, Inc., incorporated in Kansas, U.S.A.</w:t>
      </w:r>
    </w:p>
    <w:p>
      <w:pPr>
        <w:pStyle w:val="TextBody"/>
        <w:bidi w:val="0"/>
        <w:spacing w:lineRule="atLeast" w:line="240" w:before="0" w:after="0"/>
        <w:ind w:left="720" w:right="0" w:hanging="360"/>
        <w:jc w:val="left"/>
        <w:rPr/>
      </w:pPr>
      <w:r>
        <w:rPr/>
        <w:t xml:space="preserve">         </w:t>
      </w:r>
      <w:r>
        <w:rPr>
          <w:sz w:val="20"/>
        </w:rPr>
        <w:t>PaySpot, LLC, incorporated in Kansas, U.S.A.</w:t>
      </w:r>
    </w:p>
    <w:p>
      <w:pPr>
        <w:pStyle w:val="TextBody"/>
        <w:bidi w:val="0"/>
        <w:spacing w:lineRule="atLeast" w:line="240" w:before="0" w:after="0"/>
        <w:ind w:left="720" w:right="0" w:hanging="360"/>
        <w:jc w:val="left"/>
        <w:rPr/>
      </w:pPr>
      <w:r>
        <w:rPr/>
        <w:t xml:space="preserve">         </w:t>
      </w:r>
      <w:r>
        <w:rPr>
          <w:sz w:val="20"/>
        </w:rPr>
        <w:t>RIA Envia, LLC, incorporated in Kansas, U.S.A.</w:t>
      </w:r>
    </w:p>
    <w:p>
      <w:pPr>
        <w:pStyle w:val="TextBody"/>
        <w:bidi w:val="0"/>
        <w:spacing w:lineRule="atLeast" w:line="240" w:before="0" w:after="0"/>
        <w:ind w:left="720" w:right="0" w:hanging="360"/>
        <w:jc w:val="left"/>
        <w:rPr/>
      </w:pPr>
      <w:r>
        <w:rPr/>
        <w:t xml:space="preserve">         </w:t>
      </w:r>
      <w:r>
        <w:rPr>
          <w:sz w:val="20"/>
        </w:rPr>
        <w:t>RIA Telecommunications of New York, Inc., incorporated in New York, U.S.A.</w:t>
      </w:r>
    </w:p>
    <w:p>
      <w:pPr>
        <w:pStyle w:val="TextBody"/>
        <w:bidi w:val="0"/>
        <w:spacing w:lineRule="atLeast" w:line="240" w:before="0" w:after="0"/>
        <w:ind w:left="720" w:right="0" w:hanging="360"/>
        <w:jc w:val="left"/>
        <w:rPr/>
      </w:pPr>
      <w:r>
        <w:rPr/>
        <w:t xml:space="preserve">         </w:t>
      </w:r>
      <w:r>
        <w:rPr>
          <w:sz w:val="20"/>
        </w:rPr>
        <w:t>Telecomnet LLC, incorporated in Delaware, U.S.A.</w:t>
      </w:r>
    </w:p>
    <w:p>
      <w:pPr>
        <w:pStyle w:val="TextBody"/>
        <w:bidi w:val="0"/>
        <w:spacing w:lineRule="atLeast" w:line="240" w:before="0" w:after="0"/>
        <w:ind w:left="720" w:right="0" w:hanging="360"/>
        <w:jc w:val="left"/>
        <w:rPr/>
      </w:pPr>
      <w:r>
        <w:rPr/>
        <w:t>         </w:t>
      </w:r>
      <w:r>
        <w:rPr>
          <w:sz w:val="20"/>
        </w:rPr>
        <w:t>Euronet</w:t>
      </w:r>
      <w:r>
        <w:rPr/>
        <w:t> </w:t>
      </w:r>
      <w:r>
        <w:rPr>
          <w:sz w:val="20"/>
        </w:rPr>
        <w:t>Services</w:t>
      </w:r>
      <w:r>
        <w:rPr/>
        <w:t> </w:t>
      </w:r>
      <w:r>
        <w:rPr>
          <w:sz w:val="20"/>
        </w:rPr>
        <w:t>LLC, incorporated in Kansas, U.S.A.</w:t>
      </w:r>
    </w:p>
    <w:p>
      <w:pPr>
        <w:pStyle w:val="TextBody"/>
        <w:bidi w:val="0"/>
        <w:spacing w:lineRule="atLeast" w:line="240" w:before="0" w:after="0"/>
        <w:ind w:left="720" w:right="0" w:hanging="360"/>
        <w:jc w:val="left"/>
        <w:rPr/>
      </w:pPr>
      <w:r>
        <w:rPr/>
        <w:t xml:space="preserve">         </w:t>
      </w:r>
      <w:r>
        <w:rPr>
          <w:sz w:val="20"/>
        </w:rPr>
        <w:t>Euronet</w:t>
      </w:r>
      <w:r>
        <w:rPr/>
        <w:t> </w:t>
      </w:r>
      <w:r>
        <w:rPr>
          <w:sz w:val="20"/>
        </w:rPr>
        <w:t>Vietnam Company Limited, incorporated in Vietnam</w:t>
      </w:r>
    </w:p>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As of December 31, 2025, Euronet also had shareholdings in the following companies that are not wholly owned:</w:t>
      </w:r>
    </w:p>
    <w:p>
      <w:pPr>
        <w:pStyle w:val="TextBody"/>
        <w:bidi w:val="0"/>
        <w:spacing w:lineRule="atLeast" w:line="240" w:before="0" w:after="0"/>
        <w:ind w:left="864" w:right="0" w:hanging="504"/>
        <w:jc w:val="left"/>
        <w:rPr/>
      </w:pPr>
      <w:r>
        <w:rPr/>
        <w:t></w:t>
      </w:r>
      <w:r>
        <w:rPr>
          <w:caps w:val="false"/>
          <w:smallCaps w:val="false"/>
        </w:rPr>
        <w:t xml:space="preserve">              </w:t>
      </w:r>
      <w:r>
        <w:rPr>
          <w:sz w:val="20"/>
        </w:rPr>
        <w:t>Cashlink Bangladesh Ltd., incorporated in Bangladesh, of which 10% is owned by EFT Services Holding B.V.</w:t>
      </w:r>
    </w:p>
    <w:p>
      <w:pPr>
        <w:pStyle w:val="TextBody"/>
        <w:bidi w:val="0"/>
        <w:spacing w:lineRule="atLeast" w:line="240" w:before="0" w:after="0"/>
        <w:ind w:left="864" w:right="0" w:hanging="504"/>
        <w:jc w:val="left"/>
        <w:rPr/>
      </w:pPr>
      <w:r>
        <w:rPr/>
        <w:t></w:t>
      </w:r>
      <w:r>
        <w:rPr>
          <w:caps w:val="false"/>
          <w:smallCaps w:val="false"/>
        </w:rPr>
        <w:t xml:space="preserve">              </w:t>
      </w:r>
      <w:r>
        <w:rPr>
          <w:sz w:val="20"/>
        </w:rPr>
        <w:t>HISPRONET</w:t>
      </w:r>
      <w:r>
        <w:rPr/>
        <w:t> </w:t>
      </w:r>
      <w:r>
        <w:rPr>
          <w:sz w:val="20"/>
        </w:rPr>
        <w:t>Latam</w:t>
      </w:r>
      <w:r>
        <w:rPr/>
        <w:t> </w:t>
      </w:r>
      <w:r>
        <w:rPr>
          <w:sz w:val="20"/>
        </w:rPr>
        <w:t>ATM Solutions DR S.A., incorporated in Dominican</w:t>
      </w:r>
      <w:r>
        <w:rPr/>
        <w:t> </w:t>
      </w:r>
      <w:r>
        <w:rPr>
          <w:sz w:val="20"/>
        </w:rPr>
        <w:t>Republic of which 99% is owned by</w:t>
      </w:r>
      <w:r>
        <w:rPr/>
        <w:t> </w:t>
      </w:r>
      <w:r>
        <w:rPr>
          <w:sz w:val="20"/>
        </w:rPr>
        <w:t>Latam</w:t>
      </w:r>
      <w:r>
        <w:rPr/>
        <w:t> </w:t>
      </w:r>
      <w:r>
        <w:rPr>
          <w:sz w:val="20"/>
        </w:rPr>
        <w:t>ATM Solutions, S.L.</w:t>
      </w:r>
      <w:r>
        <w:rPr/>
        <w:t> </w:t>
      </w:r>
      <w:r>
        <w:rPr>
          <w:sz w:val="20"/>
        </w:rPr>
        <w:t>and 0.51% by EFT Services Holding B.V</w:t>
      </w:r>
      <w:r>
        <w:rPr>
          <w:rFonts w:ascii="Calibri" w:hAnsi="Calibri"/>
          <w:sz w:val="20"/>
        </w:rPr>
        <w:t>.</w:t>
      </w:r>
    </w:p>
    <w:p>
      <w:pPr>
        <w:pStyle w:val="TextBody"/>
        <w:bidi w:val="0"/>
        <w:spacing w:lineRule="atLeast" w:line="240" w:before="0" w:after="0"/>
        <w:ind w:left="864" w:right="0" w:hanging="504"/>
        <w:jc w:val="left"/>
        <w:rPr/>
      </w:pPr>
      <w:r>
        <w:rPr/>
        <w:t></w:t>
      </w:r>
      <w:r>
        <w:rPr>
          <w:caps w:val="false"/>
          <w:smallCaps w:val="false"/>
        </w:rPr>
        <w:t xml:space="preserve">              </w:t>
      </w:r>
      <w:r>
        <w:rPr>
          <w:sz w:val="20"/>
        </w:rPr>
        <w:t>Euronet Pakistan (Pvt.) Limited, incorporated in Pakistan, incorporated in Pakistan, of which 70% is owned by Euronet Pakistan Holdings, Inc.</w:t>
      </w:r>
    </w:p>
    <w:p>
      <w:pPr>
        <w:pStyle w:val="TextBody"/>
        <w:bidi w:val="0"/>
        <w:spacing w:lineRule="atLeast" w:line="240" w:before="0" w:after="0"/>
        <w:ind w:left="864" w:right="0" w:hanging="504"/>
        <w:jc w:val="left"/>
        <w:rPr/>
      </w:pPr>
      <w:r>
        <w:rPr/>
        <w:t></w:t>
      </w:r>
      <w:r>
        <w:rPr>
          <w:caps w:val="false"/>
          <w:smallCaps w:val="false"/>
        </w:rPr>
        <w:t xml:space="preserve">              </w:t>
      </w:r>
      <w:r>
        <w:rPr>
          <w:sz w:val="20"/>
        </w:rPr>
        <w:t>Ria Money Transfer Panama S. de R.L. incorporated in Panama of which 99% is owned by</w:t>
      </w:r>
      <w:r>
        <w:rPr/>
        <w:t> </w:t>
      </w:r>
      <w:r>
        <w:rPr>
          <w:sz w:val="20"/>
        </w:rPr>
        <w:t>Euronet</w:t>
      </w:r>
      <w:r>
        <w:rPr/>
        <w:t> </w:t>
      </w:r>
      <w:r>
        <w:rPr>
          <w:sz w:val="20"/>
        </w:rPr>
        <w:t>Business Holdings SLU</w:t>
      </w:r>
    </w:p>
    <w:p>
      <w:pPr>
        <w:pStyle w:val="TextBody"/>
        <w:bidi w:val="0"/>
        <w:spacing w:lineRule="atLeast" w:line="240" w:before="0" w:after="0"/>
        <w:ind w:left="864" w:right="0" w:hanging="504"/>
        <w:jc w:val="left"/>
        <w:rPr/>
      </w:pPr>
      <w:r>
        <w:rPr/>
        <w:t></w:t>
      </w:r>
      <w:r>
        <w:rPr>
          <w:caps w:val="false"/>
          <w:smallCaps w:val="false"/>
        </w:rPr>
        <w:t xml:space="preserve">              </w:t>
      </w:r>
      <w:r>
        <w:rPr>
          <w:sz w:val="20"/>
        </w:rPr>
        <w:t>HISPRONET</w:t>
      </w:r>
      <w:r>
        <w:rPr/>
        <w:t> </w:t>
      </w:r>
      <w:r>
        <w:rPr>
          <w:sz w:val="20"/>
        </w:rPr>
        <w:t>Latam</w:t>
      </w:r>
      <w:r>
        <w:rPr/>
        <w:t> </w:t>
      </w:r>
      <w:r>
        <w:rPr>
          <w:sz w:val="20"/>
        </w:rPr>
        <w:t>ATM Solutions Peru, S.A.C., incorporated in Peru of which 99.8% is</w:t>
      </w:r>
      <w:r>
        <w:rPr/>
        <w:t> </w:t>
      </w:r>
      <w:r>
        <w:rPr>
          <w:sz w:val="20"/>
        </w:rPr>
        <w:t>owned by</w:t>
      </w:r>
      <w:r>
        <w:rPr/>
        <w:t> </w:t>
      </w:r>
      <w:r>
        <w:rPr>
          <w:sz w:val="20"/>
        </w:rPr>
        <w:t>Latam</w:t>
      </w:r>
      <w:r>
        <w:rPr/>
        <w:t> </w:t>
      </w:r>
      <w:r>
        <w:rPr>
          <w:sz w:val="20"/>
        </w:rPr>
        <w:t>ATM Solutions, S.L. and 0.1% by EFT Services Holding B.V.</w:t>
      </w:r>
    </w:p>
    <w:p>
      <w:pPr>
        <w:pStyle w:val="TextBody"/>
        <w:bidi w:val="0"/>
        <w:spacing w:lineRule="atLeast" w:line="240" w:before="0" w:after="0"/>
        <w:ind w:left="864" w:right="0" w:hanging="504"/>
        <w:jc w:val="left"/>
        <w:rPr/>
      </w:pPr>
      <w:r>
        <w:rPr/>
        <w:t></w:t>
      </w:r>
      <w:r>
        <w:rPr>
          <w:caps w:val="false"/>
          <w:smallCaps w:val="false"/>
        </w:rPr>
        <w:t xml:space="preserve">              </w:t>
      </w:r>
      <w:r>
        <w:rPr>
          <w:sz w:val="20"/>
        </w:rPr>
        <w:t>Latam</w:t>
      </w:r>
      <w:r>
        <w:rPr/>
        <w:t> </w:t>
      </w:r>
      <w:r>
        <w:rPr>
          <w:sz w:val="20"/>
        </w:rPr>
        <w:t>ATM Solutions, S.L., incorporated in Spain, of which 51% is owned by EFT Services Holding B.V.</w:t>
      </w:r>
    </w:p>
    <w:p>
      <w:pPr>
        <w:pStyle w:val="TextBody"/>
        <w:bidi w:val="0"/>
        <w:spacing w:lineRule="atLeast" w:line="240" w:before="0" w:after="0"/>
        <w:ind w:left="864" w:right="0" w:hanging="504"/>
        <w:jc w:val="left"/>
        <w:rPr>
          <w:shd w:fill="FFFFFF" w:val="clear"/>
        </w:rPr>
      </w:pPr>
      <w:r>
        <w:rPr>
          <w:shd w:fill="FFFFFF" w:val="clear"/>
        </w:rPr>
        <w:t></w:t>
      </w:r>
      <w:r>
        <w:rPr>
          <w:caps w:val="false"/>
          <w:smallCaps w:val="false"/>
          <w:shd w:fill="FFFFFF" w:val="clear"/>
        </w:rPr>
        <w:t xml:space="preserve">              </w:t>
      </w:r>
      <w:r>
        <w:rPr>
          <w:sz w:val="20"/>
          <w:shd w:fill="FFFFFF" w:val="clear"/>
        </w:rPr>
        <w:t>Marker Trax, LLC incorporated in Nevada, incorporated in the U.S.A., of which 4.95% is owned by Euronet Worldwide, Inc.</w:t>
      </w:r>
    </w:p>
    <w:p>
      <w:pPr>
        <w:pStyle w:val="TextBody"/>
        <w:bidi w:val="0"/>
        <w:spacing w:lineRule="atLeast" w:line="240" w:before="0" w:after="0"/>
        <w:ind w:left="864" w:right="0" w:hanging="504"/>
        <w:jc w:val="left"/>
        <w:rPr>
          <w:shd w:fill="FFFFFF" w:val="clear"/>
        </w:rPr>
      </w:pPr>
      <w:r>
        <w:rPr>
          <w:shd w:fill="FFFFFF" w:val="clear"/>
        </w:rPr>
        <w:t></w:t>
      </w:r>
      <w:r>
        <w:rPr>
          <w:caps w:val="false"/>
          <w:smallCaps w:val="false"/>
          <w:shd w:fill="FFFFFF" w:val="clear"/>
        </w:rPr>
        <w:t xml:space="preserve">              </w:t>
      </w:r>
      <w:r>
        <w:rPr>
          <w:sz w:val="20"/>
          <w:shd w:fill="FFFFFF" w:val="clear"/>
        </w:rPr>
        <w:t>Marker Trax Digital, LLC incorporated in Nevada, incorporated in the U.S.A., of which 4.95% is owned by Euronet Worldwide, Inc.</w:t>
      </w:r>
    </w:p>
    <w:p>
      <w:pPr>
        <w:pStyle w:val="TextBody"/>
        <w:bidi w:val="0"/>
        <w:spacing w:lineRule="atLeast" w:line="240" w:before="0" w:after="0"/>
        <w:ind w:left="864" w:right="0" w:hanging="504"/>
        <w:jc w:val="left"/>
        <w:rPr>
          <w:shd w:fill="FFFFFF" w:val="clear"/>
        </w:rPr>
      </w:pPr>
      <w:r>
        <w:rPr>
          <w:shd w:fill="FFFFFF" w:val="clear"/>
        </w:rPr>
        <w:t></w:t>
      </w:r>
      <w:r>
        <w:rPr>
          <w:caps w:val="false"/>
          <w:smallCaps w:val="false"/>
          <w:shd w:fill="FFFFFF" w:val="clear"/>
        </w:rPr>
        <w:t xml:space="preserve">              </w:t>
      </w:r>
      <w:r>
        <w:rPr>
          <w:sz w:val="20"/>
          <w:shd w:fill="FFFFFF" w:val="clear"/>
        </w:rPr>
        <w:t>KOIN Mobile, LLC incorporated in Nevada, incorporated in the U.S.A., of which 4.95% is owned by Euronet Worldwide, Inc.</w:t>
      </w:r>
    </w:p>
    <w:p>
      <w:pPr>
        <w:pStyle w:val="TextBody"/>
        <w:bidi w:val="0"/>
        <w:spacing w:before="0" w:after="0"/>
        <w:jc w:val="left"/>
        <w:rPr/>
      </w:pPr>
      <w:r>
        <w:rPr/>
        <w:t> </w:t>
      </w:r>
      <w:r>
        <w:br w:type="page"/>
      </w:r>
    </w:p>
    <w:p>
      <w:pPr>
        <w:pStyle w:val="TextBody"/>
        <w:bidi w:val="0"/>
        <w:spacing w:before="0" w:after="0"/>
        <w:jc w:val="left"/>
        <w:rPr/>
      </w:pPr>
      <w:bookmarkStart w:id="84" w:name="ex231_3.htm"/>
      <w:bookmarkStart w:id="85" w:name="ksex231_3"/>
      <w:bookmarkEnd w:id="84"/>
      <w:bookmarkEnd w:id="85"/>
      <w:r>
        <w:rPr/>
        <w:t> </w:t>
      </w:r>
    </w:p>
    <w:p>
      <w:pPr>
        <w:pStyle w:val="TextBody"/>
        <w:bidi w:val="0"/>
        <w:spacing w:lineRule="atLeast" w:line="240" w:before="0" w:after="0"/>
        <w:jc w:val="right"/>
        <w:rPr>
          <w:b/>
          <w:sz w:val="20"/>
        </w:rPr>
      </w:pPr>
      <w:r>
        <w:rPr>
          <w:b/>
          <w:sz w:val="20"/>
        </w:rPr>
        <w:t>Exhibit 23.1</w:t>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Consent of Independent Registered Public Accounting Firm</w:t>
      </w:r>
    </w:p>
    <w:p>
      <w:pPr>
        <w:pStyle w:val="TextBody"/>
        <w:bidi w:val="0"/>
        <w:spacing w:lineRule="atLeast" w:line="240" w:before="0" w:after="0"/>
        <w:jc w:val="left"/>
        <w:rPr/>
      </w:pPr>
      <w:r>
        <w:rPr/>
        <w:t> </w:t>
      </w:r>
    </w:p>
    <w:p>
      <w:pPr>
        <w:pStyle w:val="TextBody"/>
        <w:bidi w:val="0"/>
        <w:spacing w:lineRule="atLeast" w:line="240" w:before="0" w:after="0"/>
        <w:jc w:val="both"/>
        <w:rPr/>
      </w:pPr>
      <w:r>
        <w:rPr>
          <w:sz w:val="20"/>
        </w:rPr>
        <w:t>We consent to the incorporation by reference in the registration statements (Nos. 333-261016, 333-24539, 333-83555, 333-44890, 333-64634, 333-71766, 333-98013, 333-102875, 333-116920, 333-136485, 333-161245, 333-176238, and 333-190337) on Form S-8 of</w:t>
      </w:r>
      <w:r>
        <w:rPr/>
        <w:t> </w:t>
      </w:r>
      <w:r>
        <w:rPr>
          <w:sz w:val="20"/>
        </w:rPr>
        <w:t>our report dated February 26, 2026, with respect to the consolidated financial statements of Euronet</w:t>
      </w:r>
      <w:r>
        <w:rPr/>
        <w:t> </w:t>
      </w:r>
      <w:r>
        <w:rPr>
          <w:sz w:val="20"/>
        </w:rPr>
        <w:t>Worldwide, Inc. and the effectiveness of internal control over financial reporting.</w:t>
      </w:r>
    </w:p>
    <w:p>
      <w:pPr>
        <w:pStyle w:val="TextBody"/>
        <w:bidi w:val="0"/>
        <w:spacing w:lineRule="atLeast" w:line="240" w:before="0" w:after="0"/>
        <w:jc w:val="left"/>
        <w:rPr/>
      </w:pPr>
      <w:r>
        <w:rPr/>
        <w:t> </w:t>
      </w:r>
    </w:p>
    <w:p>
      <w:pPr>
        <w:pStyle w:val="TextBody"/>
        <w:bidi w:val="0"/>
        <w:spacing w:lineRule="atLeast" w:line="240" w:before="0" w:after="0"/>
        <w:jc w:val="center"/>
        <w:rPr>
          <w:sz w:val="20"/>
        </w:rPr>
      </w:pPr>
      <w:r>
        <w:rPr>
          <w:sz w:val="20"/>
        </w:rPr>
        <w:t>/s/ KPMG LLP</w:t>
      </w:r>
    </w:p>
    <w:p>
      <w:pPr>
        <w:pStyle w:val="TextBody"/>
        <w:bidi w:val="0"/>
        <w:spacing w:lineRule="atLeast" w:line="240" w:before="0" w:after="0"/>
        <w:jc w:val="center"/>
        <w:rPr/>
      </w:pPr>
      <w:r>
        <w:rPr/>
        <w:t> </w:t>
      </w:r>
    </w:p>
    <w:p>
      <w:pPr>
        <w:pStyle w:val="TextBody"/>
        <w:bidi w:val="0"/>
        <w:spacing w:lineRule="atLeast" w:line="240" w:before="0" w:after="0"/>
        <w:jc w:val="left"/>
        <w:rPr>
          <w:sz w:val="20"/>
        </w:rPr>
      </w:pPr>
      <w:r>
        <w:rPr>
          <w:sz w:val="20"/>
        </w:rPr>
        <w:t>Kansas City, Missouri</w:t>
      </w:r>
    </w:p>
    <w:p>
      <w:pPr>
        <w:pStyle w:val="TextBody"/>
        <w:bidi w:val="0"/>
        <w:spacing w:lineRule="atLeast" w:line="240" w:before="0" w:after="0"/>
        <w:jc w:val="left"/>
        <w:rPr>
          <w:sz w:val="20"/>
        </w:rPr>
      </w:pPr>
      <w:r>
        <w:rPr>
          <w:sz w:val="20"/>
        </w:rPr>
        <w:t>February 26, 2026</w:t>
      </w:r>
    </w:p>
    <w:p>
      <w:pPr>
        <w:pStyle w:val="TextBody"/>
        <w:bidi w:val="0"/>
        <w:spacing w:before="0" w:after="0"/>
        <w:jc w:val="left"/>
        <w:rPr/>
      </w:pPr>
      <w:r>
        <w:rPr/>
        <w:t> </w:t>
      </w:r>
      <w:r>
        <w:br w:type="page"/>
      </w:r>
    </w:p>
    <w:p>
      <w:pPr>
        <w:pStyle w:val="TextBody"/>
        <w:bidi w:val="0"/>
        <w:spacing w:before="0" w:after="0"/>
        <w:jc w:val="left"/>
        <w:rPr/>
      </w:pPr>
      <w:bookmarkStart w:id="86" w:name="ex311_4.htm"/>
      <w:bookmarkStart w:id="87" w:name="ksex311_4"/>
      <w:bookmarkEnd w:id="86"/>
      <w:bookmarkEnd w:id="87"/>
      <w:r>
        <w:rPr/>
        <w:t> </w:t>
      </w:r>
    </w:p>
    <w:p>
      <w:pPr>
        <w:pStyle w:val="TextBody"/>
        <w:bidi w:val="0"/>
        <w:spacing w:lineRule="atLeast" w:line="240" w:before="0" w:after="0"/>
        <w:jc w:val="right"/>
        <w:rPr>
          <w:b/>
          <w:sz w:val="20"/>
        </w:rPr>
      </w:pPr>
      <w:r>
        <w:rPr>
          <w:b/>
          <w:sz w:val="20"/>
        </w:rPr>
        <w:t>EXHIBIT 31.1</w:t>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CERTIFICATIONS OF CHIEF EXECUTIVE OFFICER</w:t>
      </w:r>
    </w:p>
    <w:p>
      <w:pPr>
        <w:pStyle w:val="TextBody"/>
        <w:pBdr/>
        <w:bidi w:val="0"/>
        <w:spacing w:lineRule="atLeast" w:line="240" w:before="0" w:after="0"/>
        <w:jc w:val="left"/>
        <w:rPr/>
      </w:pPr>
      <w:r>
        <w:rPr>
          <w:sz w:val="20"/>
        </w:rPr>
        <w:t>I, Michael J. Brown, certify that:</w:t>
      </w: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pPr>
            <w:r>
              <w:rPr/>
              <w:t> </w:t>
            </w:r>
          </w:p>
        </w:tc>
        <w:tc>
          <w:tcPr>
            <w:tcW w:w="10046" w:type="dxa"/>
            <w:tcBorders/>
            <w:vAlign w:val="center"/>
          </w:tcPr>
          <w:p>
            <w:pPr>
              <w:pStyle w:val="TableContents"/>
              <w:bidi w:val="0"/>
              <w:spacing w:before="0" w:after="0"/>
              <w:jc w:val="left"/>
              <w:rPr/>
            </w:pPr>
            <w:r>
              <w:rPr/>
              <w:t> </w:t>
            </w:r>
          </w:p>
        </w:tc>
      </w:tr>
      <w:tr>
        <w:trPr/>
        <w:tc>
          <w:tcPr>
            <w:tcW w:w="159" w:type="dxa"/>
            <w:tcBorders/>
            <w:vAlign w:val="center"/>
          </w:tcPr>
          <w:p>
            <w:pPr>
              <w:pStyle w:val="TableContents"/>
              <w:bidi w:val="0"/>
              <w:spacing w:lineRule="atLeast" w:line="240" w:before="0" w:after="0"/>
              <w:jc w:val="left"/>
              <w:rPr>
                <w:sz w:val="20"/>
              </w:rPr>
            </w:pPr>
            <w:r>
              <w:rPr>
                <w:sz w:val="20"/>
              </w:rPr>
              <w:t>1)</w:t>
            </w:r>
          </w:p>
        </w:tc>
        <w:tc>
          <w:tcPr>
            <w:tcW w:w="10046" w:type="dxa"/>
            <w:tcBorders/>
            <w:vAlign w:val="center"/>
          </w:tcPr>
          <w:p>
            <w:pPr>
              <w:pStyle w:val="TableContents"/>
              <w:bidi w:val="0"/>
              <w:spacing w:lineRule="atLeast" w:line="240" w:before="0" w:after="0"/>
              <w:jc w:val="left"/>
              <w:rPr/>
            </w:pPr>
            <w:r>
              <w:rPr>
                <w:sz w:val="20"/>
              </w:rPr>
              <w:t>I have reviewed this report on Form 10-K of</w:t>
            </w:r>
            <w:r>
              <w:rPr/>
              <w:t> </w:t>
            </w:r>
            <w:r>
              <w:rPr>
                <w:sz w:val="20"/>
              </w:rPr>
              <w:t>Euronet</w:t>
            </w:r>
            <w:r>
              <w:rPr/>
              <w:t> </w:t>
            </w:r>
            <w:r>
              <w:rPr>
                <w:sz w:val="20"/>
              </w:rPr>
              <w:t>Worldwide,</w:t>
            </w:r>
            <w:r>
              <w:rPr/>
              <w:t> </w:t>
            </w:r>
            <w:r>
              <w:rPr>
                <w:sz w:val="20"/>
              </w:rPr>
              <w:t>Inc.;</w:t>
            </w:r>
          </w:p>
        </w:tc>
      </w:tr>
      <w:tr>
        <w:trPr/>
        <w:tc>
          <w:tcPr>
            <w:tcW w:w="159" w:type="dxa"/>
            <w:tcBorders/>
            <w:vAlign w:val="center"/>
          </w:tcPr>
          <w:p>
            <w:pPr>
              <w:pStyle w:val="TableContents"/>
              <w:bidi w:val="0"/>
              <w:spacing w:lineRule="atLeast" w:line="240" w:before="0" w:after="0"/>
              <w:jc w:val="left"/>
              <w:rPr/>
            </w:pPr>
            <w:r>
              <w:rPr/>
              <w:t> </w:t>
            </w:r>
          </w:p>
        </w:tc>
        <w:tc>
          <w:tcPr>
            <w:tcW w:w="10046" w:type="dxa"/>
            <w:tcBorders/>
            <w:vAlign w:val="center"/>
          </w:tcPr>
          <w:p>
            <w:pPr>
              <w:pStyle w:val="TableContents"/>
              <w:bidi w:val="0"/>
              <w:spacing w:lineRule="atLeast" w:line="240" w:before="0" w:after="0"/>
              <w:jc w:val="left"/>
              <w:rPr/>
            </w:pPr>
            <w:r>
              <w:rPr/>
              <w:t> </w:t>
            </w:r>
          </w:p>
        </w:tc>
      </w:tr>
      <w:tr>
        <w:trPr/>
        <w:tc>
          <w:tcPr>
            <w:tcW w:w="159" w:type="dxa"/>
            <w:tcBorders/>
            <w:vAlign w:val="center"/>
          </w:tcPr>
          <w:p>
            <w:pPr>
              <w:pStyle w:val="TableContents"/>
              <w:bidi w:val="0"/>
              <w:spacing w:lineRule="atLeast" w:line="240" w:before="0" w:after="0"/>
              <w:jc w:val="left"/>
              <w:rPr>
                <w:sz w:val="20"/>
              </w:rPr>
            </w:pPr>
            <w:r>
              <w:rPr>
                <w:sz w:val="20"/>
              </w:rPr>
              <w:t>2)</w:t>
            </w:r>
          </w:p>
        </w:tc>
        <w:tc>
          <w:tcPr>
            <w:tcW w:w="10046" w:type="dxa"/>
            <w:tcBorders/>
            <w:vAlign w:val="center"/>
          </w:tcPr>
          <w:p>
            <w:pPr>
              <w:pStyle w:val="TableContents"/>
              <w:bidi w:val="0"/>
              <w:spacing w:lineRule="atLeast" w:line="240" w:before="0" w:after="0"/>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9" w:type="dxa"/>
            <w:tcBorders/>
            <w:vAlign w:val="center"/>
          </w:tcPr>
          <w:p>
            <w:pPr>
              <w:pStyle w:val="TableContents"/>
              <w:bidi w:val="0"/>
              <w:spacing w:lineRule="atLeast" w:line="240" w:before="0" w:after="0"/>
              <w:jc w:val="left"/>
              <w:rPr/>
            </w:pPr>
            <w:r>
              <w:rPr/>
              <w:t> </w:t>
            </w:r>
          </w:p>
        </w:tc>
        <w:tc>
          <w:tcPr>
            <w:tcW w:w="10046" w:type="dxa"/>
            <w:tcBorders/>
            <w:vAlign w:val="center"/>
          </w:tcPr>
          <w:p>
            <w:pPr>
              <w:pStyle w:val="TableContents"/>
              <w:bidi w:val="0"/>
              <w:spacing w:lineRule="atLeast" w:line="240" w:before="0" w:after="0"/>
              <w:jc w:val="left"/>
              <w:rPr/>
            </w:pPr>
            <w:r>
              <w:rPr/>
              <w:t> </w:t>
            </w:r>
          </w:p>
        </w:tc>
      </w:tr>
      <w:tr>
        <w:trPr/>
        <w:tc>
          <w:tcPr>
            <w:tcW w:w="159" w:type="dxa"/>
            <w:tcBorders/>
            <w:vAlign w:val="center"/>
          </w:tcPr>
          <w:p>
            <w:pPr>
              <w:pStyle w:val="TableContents"/>
              <w:bidi w:val="0"/>
              <w:spacing w:lineRule="atLeast" w:line="240" w:before="0" w:after="0"/>
              <w:jc w:val="left"/>
              <w:rPr>
                <w:sz w:val="20"/>
              </w:rPr>
            </w:pPr>
            <w:r>
              <w:rPr>
                <w:sz w:val="20"/>
              </w:rPr>
              <w:t>3)</w:t>
            </w:r>
          </w:p>
        </w:tc>
        <w:tc>
          <w:tcPr>
            <w:tcW w:w="10046" w:type="dxa"/>
            <w:tcBorders/>
            <w:vAlign w:val="center"/>
          </w:tcPr>
          <w:p>
            <w:pPr>
              <w:pStyle w:val="TableContents"/>
              <w:bidi w:val="0"/>
              <w:spacing w:lineRule="atLeast" w:line="240" w:before="0" w:after="0"/>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9" w:type="dxa"/>
            <w:tcBorders/>
            <w:vAlign w:val="center"/>
          </w:tcPr>
          <w:p>
            <w:pPr>
              <w:pStyle w:val="TableContents"/>
              <w:bidi w:val="0"/>
              <w:spacing w:lineRule="atLeast" w:line="240" w:before="0" w:after="0"/>
              <w:jc w:val="left"/>
              <w:rPr/>
            </w:pPr>
            <w:r>
              <w:rPr/>
              <w:t> </w:t>
            </w:r>
          </w:p>
        </w:tc>
        <w:tc>
          <w:tcPr>
            <w:tcW w:w="10046" w:type="dxa"/>
            <w:tcBorders/>
            <w:vAlign w:val="center"/>
          </w:tcPr>
          <w:p>
            <w:pPr>
              <w:pStyle w:val="TableContents"/>
              <w:bidi w:val="0"/>
              <w:spacing w:lineRule="atLeast" w:line="240" w:before="0" w:after="0"/>
              <w:jc w:val="left"/>
              <w:rPr/>
            </w:pPr>
            <w:r>
              <w:rPr/>
              <w:t> </w:t>
            </w:r>
          </w:p>
        </w:tc>
      </w:tr>
      <w:tr>
        <w:trPr/>
        <w:tc>
          <w:tcPr>
            <w:tcW w:w="159" w:type="dxa"/>
            <w:tcBorders/>
            <w:vAlign w:val="center"/>
          </w:tcPr>
          <w:p>
            <w:pPr>
              <w:pStyle w:val="TableContents"/>
              <w:bidi w:val="0"/>
              <w:spacing w:lineRule="atLeast" w:line="240" w:before="0" w:after="0"/>
              <w:jc w:val="left"/>
              <w:rPr>
                <w:sz w:val="20"/>
              </w:rPr>
            </w:pPr>
            <w:r>
              <w:rPr>
                <w:sz w:val="20"/>
              </w:rPr>
              <w:t>4)</w:t>
            </w:r>
          </w:p>
        </w:tc>
        <w:tc>
          <w:tcPr>
            <w:tcW w:w="10046" w:type="dxa"/>
            <w:tcBorders/>
            <w:vAlign w:val="center"/>
          </w:tcPr>
          <w:p>
            <w:pPr>
              <w:pStyle w:val="TableContents"/>
              <w:bidi w:val="0"/>
              <w:spacing w:lineRule="atLeast" w:line="240" w:before="0" w:after="0"/>
              <w:jc w:val="both"/>
              <w:rPr/>
            </w:pPr>
            <w:r>
              <w:rPr>
                <w:sz w:val="20"/>
              </w:rPr>
              <w:t>The registrant's other certifying officer and I are responsible for establishing and maintaining disclosure controls and procedures (as defined in Exchange Act Rules</w:t>
            </w:r>
            <w:r>
              <w:rPr/>
              <w:t> </w:t>
            </w:r>
            <w:r>
              <w:rPr>
                <w:sz w:val="20"/>
              </w:rPr>
              <w:t>13a-15(e) and 15d-15(e)) and internal control over financial reporting (as defined in Exchange Act Rules 13a-15(f) and 15d-15(f)) for the registrant and have: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pPr>
            <w:r>
              <w:rPr/>
              <w:t> </w:t>
            </w:r>
          </w:p>
        </w:tc>
        <w:tc>
          <w:tcPr>
            <w:tcW w:w="10046" w:type="dxa"/>
            <w:tcBorders/>
            <w:vAlign w:val="center"/>
          </w:tcPr>
          <w:p>
            <w:pPr>
              <w:pStyle w:val="TableContents"/>
              <w:bidi w:val="0"/>
              <w:spacing w:before="0" w:after="0"/>
              <w:jc w:val="left"/>
              <w:rPr/>
            </w:pPr>
            <w:r>
              <w:rPr/>
              <w:t> </w:t>
            </w:r>
          </w:p>
        </w:tc>
      </w:tr>
      <w:tr>
        <w:trPr/>
        <w:tc>
          <w:tcPr>
            <w:tcW w:w="159" w:type="dxa"/>
            <w:tcBorders/>
            <w:vAlign w:val="center"/>
          </w:tcPr>
          <w:p>
            <w:pPr>
              <w:pStyle w:val="TableContents"/>
              <w:pBdr/>
              <w:bidi w:val="0"/>
              <w:spacing w:lineRule="atLeast" w:line="240" w:before="0" w:after="0"/>
              <w:ind w:left="100" w:right="0" w:hanging="0"/>
              <w:jc w:val="left"/>
              <w:rPr>
                <w:sz w:val="20"/>
              </w:rPr>
            </w:pPr>
            <w:r>
              <w:rPr>
                <w:sz w:val="20"/>
              </w:rPr>
              <w:t>a)</w:t>
            </w:r>
          </w:p>
        </w:tc>
        <w:tc>
          <w:tcPr>
            <w:tcW w:w="10046" w:type="dxa"/>
            <w:tcBorders/>
            <w:vAlign w:val="center"/>
          </w:tcPr>
          <w:p>
            <w:pPr>
              <w:pStyle w:val="TableContents"/>
              <w:bidi w:val="0"/>
              <w:spacing w:lineRule="atLeast" w:line="240" w:before="0" w:after="0"/>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9" w:type="dxa"/>
            <w:tcBorders/>
            <w:vAlign w:val="center"/>
          </w:tcPr>
          <w:p>
            <w:pPr>
              <w:pStyle w:val="TableContents"/>
              <w:pBdr/>
              <w:bidi w:val="0"/>
              <w:spacing w:lineRule="atLeast" w:line="240" w:before="0" w:after="0"/>
              <w:ind w:left="100" w:right="0" w:hanging="0"/>
              <w:jc w:val="left"/>
              <w:rPr/>
            </w:pPr>
            <w:r>
              <w:rPr/>
              <w:t> </w:t>
            </w:r>
          </w:p>
        </w:tc>
        <w:tc>
          <w:tcPr>
            <w:tcW w:w="10046" w:type="dxa"/>
            <w:tcBorders/>
            <w:vAlign w:val="center"/>
          </w:tcPr>
          <w:p>
            <w:pPr>
              <w:pStyle w:val="TableContents"/>
              <w:bidi w:val="0"/>
              <w:spacing w:lineRule="atLeast" w:line="240" w:before="0" w:after="0"/>
              <w:jc w:val="left"/>
              <w:rPr/>
            </w:pPr>
            <w:r>
              <w:rPr/>
              <w:t> </w:t>
            </w:r>
          </w:p>
        </w:tc>
      </w:tr>
      <w:tr>
        <w:trPr/>
        <w:tc>
          <w:tcPr>
            <w:tcW w:w="159" w:type="dxa"/>
            <w:tcBorders/>
            <w:vAlign w:val="center"/>
          </w:tcPr>
          <w:p>
            <w:pPr>
              <w:pStyle w:val="TableContents"/>
              <w:pBdr/>
              <w:bidi w:val="0"/>
              <w:spacing w:lineRule="atLeast" w:line="240" w:before="0" w:after="0"/>
              <w:ind w:left="100" w:right="0" w:hanging="0"/>
              <w:jc w:val="left"/>
              <w:rPr>
                <w:sz w:val="20"/>
              </w:rPr>
            </w:pPr>
            <w:r>
              <w:rPr>
                <w:sz w:val="20"/>
              </w:rPr>
              <w:t>b)</w:t>
            </w:r>
          </w:p>
        </w:tc>
        <w:tc>
          <w:tcPr>
            <w:tcW w:w="10046" w:type="dxa"/>
            <w:tcBorders/>
            <w:vAlign w:val="center"/>
          </w:tcPr>
          <w:p>
            <w:pPr>
              <w:pStyle w:val="TableContents"/>
              <w:bidi w:val="0"/>
              <w:spacing w:lineRule="atLeast" w:line="240" w:before="0" w:after="0"/>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59" w:type="dxa"/>
            <w:tcBorders/>
            <w:vAlign w:val="center"/>
          </w:tcPr>
          <w:p>
            <w:pPr>
              <w:pStyle w:val="TableContents"/>
              <w:pBdr/>
              <w:bidi w:val="0"/>
              <w:spacing w:lineRule="atLeast" w:line="240" w:before="0" w:after="0"/>
              <w:ind w:left="100" w:right="0" w:hanging="0"/>
              <w:jc w:val="left"/>
              <w:rPr/>
            </w:pPr>
            <w:r>
              <w:rPr/>
              <w:t> </w:t>
            </w:r>
          </w:p>
        </w:tc>
        <w:tc>
          <w:tcPr>
            <w:tcW w:w="10046" w:type="dxa"/>
            <w:tcBorders/>
            <w:vAlign w:val="center"/>
          </w:tcPr>
          <w:p>
            <w:pPr>
              <w:pStyle w:val="TableContents"/>
              <w:bidi w:val="0"/>
              <w:spacing w:lineRule="atLeast" w:line="240" w:before="0" w:after="0"/>
              <w:jc w:val="left"/>
              <w:rPr/>
            </w:pPr>
            <w:r>
              <w:rPr/>
              <w:t> </w:t>
            </w:r>
          </w:p>
        </w:tc>
      </w:tr>
      <w:tr>
        <w:trPr/>
        <w:tc>
          <w:tcPr>
            <w:tcW w:w="159" w:type="dxa"/>
            <w:tcBorders/>
            <w:vAlign w:val="center"/>
          </w:tcPr>
          <w:p>
            <w:pPr>
              <w:pStyle w:val="TableContents"/>
              <w:pBdr/>
              <w:bidi w:val="0"/>
              <w:spacing w:lineRule="atLeast" w:line="240" w:before="0" w:after="0"/>
              <w:ind w:left="100" w:right="0" w:hanging="0"/>
              <w:jc w:val="left"/>
              <w:rPr>
                <w:sz w:val="20"/>
              </w:rPr>
            </w:pPr>
            <w:r>
              <w:rPr>
                <w:sz w:val="20"/>
              </w:rPr>
              <w:t>c)</w:t>
            </w:r>
          </w:p>
        </w:tc>
        <w:tc>
          <w:tcPr>
            <w:tcW w:w="10046" w:type="dxa"/>
            <w:tcBorders/>
            <w:vAlign w:val="center"/>
          </w:tcPr>
          <w:p>
            <w:pPr>
              <w:pStyle w:val="TableContents"/>
              <w:bidi w:val="0"/>
              <w:spacing w:lineRule="atLeast" w:line="240" w:before="0" w:after="0"/>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9" w:type="dxa"/>
            <w:tcBorders/>
            <w:vAlign w:val="center"/>
          </w:tcPr>
          <w:p>
            <w:pPr>
              <w:pStyle w:val="TableContents"/>
              <w:pBdr/>
              <w:bidi w:val="0"/>
              <w:spacing w:lineRule="atLeast" w:line="240" w:before="0" w:after="0"/>
              <w:ind w:left="100" w:right="0" w:hanging="0"/>
              <w:jc w:val="left"/>
              <w:rPr/>
            </w:pPr>
            <w:r>
              <w:rPr/>
              <w:t> </w:t>
            </w:r>
          </w:p>
        </w:tc>
        <w:tc>
          <w:tcPr>
            <w:tcW w:w="10046" w:type="dxa"/>
            <w:tcBorders/>
            <w:vAlign w:val="center"/>
          </w:tcPr>
          <w:p>
            <w:pPr>
              <w:pStyle w:val="TableContents"/>
              <w:bidi w:val="0"/>
              <w:spacing w:lineRule="atLeast" w:line="240" w:before="0" w:after="0"/>
              <w:jc w:val="left"/>
              <w:rPr/>
            </w:pPr>
            <w:r>
              <w:rPr/>
              <w:t> </w:t>
            </w:r>
          </w:p>
        </w:tc>
      </w:tr>
      <w:tr>
        <w:trPr/>
        <w:tc>
          <w:tcPr>
            <w:tcW w:w="159" w:type="dxa"/>
            <w:tcBorders/>
            <w:vAlign w:val="center"/>
          </w:tcPr>
          <w:p>
            <w:pPr>
              <w:pStyle w:val="TableContents"/>
              <w:pBdr/>
              <w:bidi w:val="0"/>
              <w:spacing w:lineRule="atLeast" w:line="240" w:before="0" w:after="0"/>
              <w:ind w:left="100" w:right="0" w:hanging="0"/>
              <w:jc w:val="left"/>
              <w:rPr>
                <w:sz w:val="20"/>
              </w:rPr>
            </w:pPr>
            <w:r>
              <w:rPr>
                <w:sz w:val="20"/>
              </w:rPr>
              <w:t>d)</w:t>
            </w:r>
          </w:p>
        </w:tc>
        <w:tc>
          <w:tcPr>
            <w:tcW w:w="10046" w:type="dxa"/>
            <w:tcBorders/>
            <w:vAlign w:val="center"/>
          </w:tcPr>
          <w:p>
            <w:pPr>
              <w:pStyle w:val="TableContents"/>
              <w:bidi w:val="0"/>
              <w:spacing w:lineRule="atLeast" w:line="240" w:before="0" w:after="0"/>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59" w:type="dxa"/>
            <w:tcBorders/>
            <w:vAlign w:val="center"/>
          </w:tcPr>
          <w:p>
            <w:pPr>
              <w:pStyle w:val="TableContents"/>
              <w:pBdr/>
              <w:bidi w:val="0"/>
              <w:spacing w:lineRule="atLeast" w:line="240" w:before="0" w:after="0"/>
              <w:ind w:left="100" w:right="0" w:hanging="0"/>
              <w:jc w:val="left"/>
              <w:rPr/>
            </w:pPr>
            <w:r>
              <w:rPr/>
              <w:t> </w:t>
            </w:r>
          </w:p>
        </w:tc>
        <w:tc>
          <w:tcPr>
            <w:tcW w:w="10046" w:type="dxa"/>
            <w:tcBorders/>
            <w:vAlign w:val="center"/>
          </w:tcPr>
          <w:p>
            <w:pPr>
              <w:pStyle w:val="TableContents"/>
              <w:bidi w:val="0"/>
              <w:spacing w:lineRule="atLeast" w:line="240" w:before="0" w:after="0"/>
              <w:jc w:val="both"/>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pPr>
            <w:r>
              <w:rPr/>
              <w:t> </w:t>
            </w:r>
          </w:p>
        </w:tc>
        <w:tc>
          <w:tcPr>
            <w:tcW w:w="10040" w:type="dxa"/>
            <w:tcBorders/>
            <w:vAlign w:val="center"/>
          </w:tcPr>
          <w:p>
            <w:pPr>
              <w:pStyle w:val="TableContents"/>
              <w:bidi w:val="0"/>
              <w:spacing w:before="0" w:after="0"/>
              <w:jc w:val="left"/>
              <w:rPr/>
            </w:pPr>
            <w:r>
              <w:rPr/>
              <w:t> </w:t>
            </w:r>
          </w:p>
        </w:tc>
      </w:tr>
      <w:tr>
        <w:trPr/>
        <w:tc>
          <w:tcPr>
            <w:tcW w:w="165" w:type="dxa"/>
            <w:tcBorders/>
            <w:vAlign w:val="center"/>
          </w:tcPr>
          <w:p>
            <w:pPr>
              <w:pStyle w:val="TableContents"/>
              <w:bidi w:val="0"/>
              <w:spacing w:lineRule="atLeast" w:line="240" w:before="0" w:after="0"/>
              <w:jc w:val="left"/>
              <w:rPr>
                <w:sz w:val="20"/>
              </w:rPr>
            </w:pPr>
            <w:r>
              <w:rPr>
                <w:sz w:val="20"/>
              </w:rPr>
              <w:t>5)</w:t>
            </w:r>
          </w:p>
        </w:tc>
        <w:tc>
          <w:tcPr>
            <w:tcW w:w="10040" w:type="dxa"/>
            <w:tcBorders/>
            <w:vAlign w:val="center"/>
          </w:tcPr>
          <w:p>
            <w:pPr>
              <w:pStyle w:val="TableContents"/>
              <w:bidi w:val="0"/>
              <w:spacing w:lineRule="atLeast" w:line="240" w:before="0" w:after="0"/>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pPr>
            <w:r>
              <w:rPr/>
              <w:t> </w:t>
            </w:r>
          </w:p>
        </w:tc>
        <w:tc>
          <w:tcPr>
            <w:tcW w:w="10038" w:type="dxa"/>
            <w:tcBorders/>
            <w:vAlign w:val="center"/>
          </w:tcPr>
          <w:p>
            <w:pPr>
              <w:pStyle w:val="TableContents"/>
              <w:bidi w:val="0"/>
              <w:spacing w:before="0" w:after="0"/>
              <w:jc w:val="left"/>
              <w:rPr/>
            </w:pPr>
            <w:r>
              <w:rPr/>
              <w:t> </w:t>
            </w:r>
          </w:p>
        </w:tc>
      </w:tr>
      <w:tr>
        <w:trPr/>
        <w:tc>
          <w:tcPr>
            <w:tcW w:w="167" w:type="dxa"/>
            <w:tcBorders/>
            <w:vAlign w:val="center"/>
          </w:tcPr>
          <w:p>
            <w:pPr>
              <w:pStyle w:val="TableContents"/>
              <w:pBdr/>
              <w:bidi w:val="0"/>
              <w:spacing w:lineRule="atLeast" w:line="240" w:before="0" w:after="0"/>
              <w:ind w:left="100" w:right="0" w:hanging="0"/>
              <w:jc w:val="left"/>
              <w:rPr>
                <w:sz w:val="20"/>
              </w:rPr>
            </w:pPr>
            <w:r>
              <w:rPr>
                <w:sz w:val="20"/>
              </w:rPr>
              <w:t>a)</w:t>
            </w:r>
          </w:p>
        </w:tc>
        <w:tc>
          <w:tcPr>
            <w:tcW w:w="10038" w:type="dxa"/>
            <w:tcBorders/>
            <w:vAlign w:val="center"/>
          </w:tcPr>
          <w:p>
            <w:pPr>
              <w:pStyle w:val="TableContents"/>
              <w:bidi w:val="0"/>
              <w:spacing w:lineRule="atLeast" w:line="240" w:before="0" w:after="0"/>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67" w:type="dxa"/>
            <w:tcBorders/>
            <w:vAlign w:val="center"/>
          </w:tcPr>
          <w:p>
            <w:pPr>
              <w:pStyle w:val="TableContents"/>
              <w:pBdr/>
              <w:bidi w:val="0"/>
              <w:spacing w:lineRule="atLeast" w:line="240" w:before="0" w:after="0"/>
              <w:ind w:left="100" w:right="0" w:hanging="0"/>
              <w:jc w:val="left"/>
              <w:rPr/>
            </w:pPr>
            <w:r>
              <w:rPr/>
              <w:t> </w:t>
            </w:r>
          </w:p>
        </w:tc>
        <w:tc>
          <w:tcPr>
            <w:tcW w:w="10038" w:type="dxa"/>
            <w:tcBorders/>
            <w:vAlign w:val="center"/>
          </w:tcPr>
          <w:p>
            <w:pPr>
              <w:pStyle w:val="TableContents"/>
              <w:bidi w:val="0"/>
              <w:spacing w:lineRule="atLeast" w:line="240" w:before="0" w:after="0"/>
              <w:jc w:val="left"/>
              <w:rPr/>
            </w:pPr>
            <w:r>
              <w:rPr/>
              <w:t> </w:t>
            </w:r>
          </w:p>
        </w:tc>
      </w:tr>
      <w:tr>
        <w:trPr/>
        <w:tc>
          <w:tcPr>
            <w:tcW w:w="167" w:type="dxa"/>
            <w:tcBorders/>
            <w:vAlign w:val="center"/>
          </w:tcPr>
          <w:p>
            <w:pPr>
              <w:pStyle w:val="TableContents"/>
              <w:pBdr/>
              <w:bidi w:val="0"/>
              <w:spacing w:lineRule="atLeast" w:line="240" w:before="0" w:after="0"/>
              <w:ind w:left="100" w:right="0" w:hanging="0"/>
              <w:jc w:val="left"/>
              <w:rPr>
                <w:sz w:val="20"/>
              </w:rPr>
            </w:pPr>
            <w:r>
              <w:rPr>
                <w:sz w:val="20"/>
              </w:rPr>
              <w:t>b)</w:t>
            </w:r>
          </w:p>
        </w:tc>
        <w:tc>
          <w:tcPr>
            <w:tcW w:w="10038" w:type="dxa"/>
            <w:tcBorders/>
            <w:vAlign w:val="center"/>
          </w:tcPr>
          <w:p>
            <w:pPr>
              <w:pStyle w:val="TableContents"/>
              <w:bidi w:val="0"/>
              <w:spacing w:lineRule="atLeast" w:line="240" w:before="0" w:after="0"/>
              <w:jc w:val="left"/>
              <w:rPr>
                <w:sz w:val="20"/>
              </w:rPr>
            </w:pPr>
            <w:r>
              <w:rPr>
                <w:sz w:val="20"/>
              </w:rPr>
              <w:t>any fraud, whether or not material, that involves management or other employees who have a significant role in the registrant's internal control over financial reporting.</w:t>
            </w:r>
          </w:p>
        </w:tc>
      </w:tr>
    </w:tbl>
    <w:p>
      <w:pPr>
        <w:pStyle w:val="TextBody"/>
        <w:pBdr/>
        <w:bidi w:val="0"/>
        <w:spacing w:lineRule="atLeast" w:line="240" w:before="0" w:after="0"/>
        <w:ind w:left="460" w:right="0" w:hanging="0"/>
        <w:jc w:val="left"/>
        <w:rPr/>
      </w:pPr>
      <w:r>
        <w:rPr/>
        <w:t> </w:t>
      </w:r>
    </w:p>
    <w:p>
      <w:pPr>
        <w:pStyle w:val="TextBody"/>
        <w:bidi w:val="0"/>
        <w:spacing w:lineRule="atLeast" w:line="240" w:before="0" w:after="0"/>
        <w:jc w:val="left"/>
        <w:rPr/>
      </w:pPr>
      <w:r>
        <w:rPr>
          <w:sz w:val="20"/>
        </w:rPr>
        <w:t>Date: February 26, 2026</w:t>
      </w:r>
      <w:r>
        <w:rPr/>
        <w:t xml:space="preserve"> </w:t>
      </w:r>
    </w:p>
    <w:tbl>
      <w:tblPr>
        <w:tblW w:w="75" w:type="dxa"/>
        <w:jc w:val="left"/>
        <w:tblInd w:w="0" w:type="dxa"/>
        <w:tblLayout w:type="fixed"/>
        <w:tblCellMar>
          <w:top w:w="0" w:type="dxa"/>
          <w:left w:w="0" w:type="dxa"/>
          <w:bottom w:w="0" w:type="dxa"/>
          <w:right w:w="0" w:type="dxa"/>
        </w:tblCellMar>
      </w:tblPr>
      <w:tblGrid>
        <w:gridCol w:w="75"/>
      </w:tblGrid>
      <w:tr>
        <w:trPr/>
        <w:tc>
          <w:tcPr>
            <w:tcW w:w="75" w:type="dxa"/>
            <w:tcBorders/>
            <w:vAlign w:val="center"/>
          </w:tcPr>
          <w:p>
            <w:pPr>
              <w:pStyle w:val="TableContents"/>
              <w:bidi w:val="0"/>
              <w:spacing w:before="0" w:after="0"/>
              <w:jc w:val="left"/>
              <w:rPr>
                <w:sz w:val="20"/>
              </w:rPr>
            </w:pPr>
            <w:r>
              <w:rPr>
                <w:sz w:val="20"/>
              </w:rPr>
              <w:br/>
              <w:t> </w:t>
            </w:r>
          </w:p>
        </w:tc>
      </w:tr>
    </w:tbl>
    <w:p>
      <w:pPr>
        <w:pStyle w:val="TextBody"/>
        <w:bidi w:val="0"/>
        <w:spacing w:before="0" w:after="0"/>
        <w:jc w:val="left"/>
        <w:rPr/>
      </w:pPr>
      <w:r>
        <w:rPr/>
        <w:t> </w:t>
      </w:r>
    </w:p>
    <w:tbl>
      <w:tblPr>
        <w:tblW w:w="2090" w:type="dxa"/>
        <w:jc w:val="left"/>
        <w:tblInd w:w="0" w:type="dxa"/>
        <w:tblLayout w:type="fixed"/>
        <w:tblCellMar>
          <w:top w:w="0" w:type="dxa"/>
          <w:left w:w="0" w:type="dxa"/>
          <w:bottom w:w="0" w:type="dxa"/>
          <w:right w:w="0" w:type="dxa"/>
        </w:tblCellMar>
      </w:tblPr>
      <w:tblGrid>
        <w:gridCol w:w="2015"/>
        <w:gridCol w:w="75"/>
      </w:tblGrid>
      <w:tr>
        <w:trPr/>
        <w:tc>
          <w:tcPr>
            <w:tcW w:w="2090" w:type="dxa"/>
            <w:gridSpan w:val="2"/>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015" w:type="dxa"/>
            <w:tcBorders>
              <w:bottom w:val="single" w:sz="8"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15" w:type="dxa"/>
            <w:tcBorders>
              <w:top w:val="single" w:sz="8" w:space="0" w:color="000000"/>
            </w:tcBorders>
            <w:tcMar>
              <w:top w:w="35" w:type="dxa"/>
            </w:tcMar>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240" w:before="0" w:after="0"/>
        <w:jc w:val="right"/>
        <w:rPr>
          <w:b/>
          <w:sz w:val="20"/>
        </w:rPr>
      </w:pPr>
      <w:bookmarkStart w:id="88" w:name="ex312_5.htm"/>
      <w:bookmarkStart w:id="89" w:name="ksex312_5"/>
      <w:bookmarkEnd w:id="88"/>
      <w:bookmarkEnd w:id="89"/>
      <w:r>
        <w:rPr>
          <w:b/>
          <w:sz w:val="20"/>
        </w:rPr>
        <w:t>EXHIBIT 31.2</w:t>
      </w:r>
      <w:r>
        <w:br w:type="page"/>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CERTIFICATIONS OF CHIEF FINANCIAL OFFICER</w:t>
      </w:r>
    </w:p>
    <w:p>
      <w:pPr>
        <w:pStyle w:val="TextBody"/>
        <w:pBdr/>
        <w:bidi w:val="0"/>
        <w:spacing w:lineRule="atLeast" w:line="240" w:before="0" w:after="0"/>
        <w:jc w:val="left"/>
        <w:rPr>
          <w:sz w:val="20"/>
        </w:rPr>
      </w:pPr>
      <w:r>
        <w:rPr>
          <w:sz w:val="20"/>
        </w:rPr>
        <w:t>I, Rick L. Weller, certify that:</w:t>
      </w:r>
    </w:p>
    <w:tbl>
      <w:tblPr>
        <w:tblW w:w="10205" w:type="dxa"/>
        <w:jc w:val="left"/>
        <w:tblInd w:w="0" w:type="dxa"/>
        <w:tblLayout w:type="fixed"/>
        <w:tblCellMar>
          <w:top w:w="0" w:type="dxa"/>
          <w:left w:w="0" w:type="dxa"/>
          <w:bottom w:w="0" w:type="dxa"/>
          <w:right w:w="0" w:type="dxa"/>
        </w:tblCellMar>
      </w:tblPr>
      <w:tblGrid>
        <w:gridCol w:w="187"/>
        <w:gridCol w:w="215"/>
        <w:gridCol w:w="9803"/>
      </w:tblGrid>
      <w:tr>
        <w:trPr/>
        <w:tc>
          <w:tcPr>
            <w:tcW w:w="187" w:type="dxa"/>
            <w:tcBorders/>
            <w:vAlign w:val="center"/>
          </w:tcPr>
          <w:p>
            <w:pPr>
              <w:pStyle w:val="TableContents"/>
              <w:bidi w:val="0"/>
              <w:spacing w:before="0" w:after="0"/>
              <w:jc w:val="left"/>
              <w:rPr>
                <w:sz w:val="20"/>
              </w:rPr>
            </w:pPr>
            <w:r>
              <w:rPr>
                <w:sz w:val="20"/>
              </w:rPr>
              <w:t>1)</w:t>
            </w:r>
          </w:p>
        </w:tc>
        <w:tc>
          <w:tcPr>
            <w:tcW w:w="10018" w:type="dxa"/>
            <w:gridSpan w:val="2"/>
            <w:tcBorders/>
            <w:vAlign w:val="center"/>
          </w:tcPr>
          <w:p>
            <w:pPr>
              <w:pStyle w:val="TableContents"/>
              <w:bidi w:val="0"/>
              <w:spacing w:before="0" w:after="0"/>
              <w:jc w:val="left"/>
              <w:rPr>
                <w:sz w:val="20"/>
              </w:rPr>
            </w:pPr>
            <w:r>
              <w:rPr>
                <w:sz w:val="20"/>
              </w:rPr>
              <w:t>I have reviewed this report on Form 10-K of Euronet Worldwide, Inc.;</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sz w:val="20"/>
              </w:rPr>
            </w:pPr>
            <w:r>
              <w:rPr>
                <w:sz w:val="20"/>
              </w:rPr>
              <w:t>2)</w:t>
            </w:r>
          </w:p>
        </w:tc>
        <w:tc>
          <w:tcPr>
            <w:tcW w:w="10018" w:type="dxa"/>
            <w:gridSpan w:val="2"/>
            <w:tcBorders/>
            <w:vAlign w:val="center"/>
          </w:tcPr>
          <w:p>
            <w:pPr>
              <w:pStyle w:val="TableContents"/>
              <w:bidi w:val="0"/>
              <w:spacing w:before="0" w:after="0"/>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sz w:val="20"/>
              </w:rPr>
            </w:pPr>
            <w:r>
              <w:rPr>
                <w:sz w:val="20"/>
              </w:rPr>
              <w:t>3)</w:t>
            </w:r>
          </w:p>
        </w:tc>
        <w:tc>
          <w:tcPr>
            <w:tcW w:w="10018" w:type="dxa"/>
            <w:gridSpan w:val="2"/>
            <w:tcBorders/>
            <w:vAlign w:val="center"/>
          </w:tcPr>
          <w:p>
            <w:pPr>
              <w:pStyle w:val="TableContents"/>
              <w:bidi w:val="0"/>
              <w:spacing w:before="0" w:after="0"/>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sz w:val="20"/>
              </w:rPr>
            </w:pPr>
            <w:r>
              <w:rPr>
                <w:sz w:val="20"/>
              </w:rPr>
              <w:t>4)</w:t>
            </w:r>
          </w:p>
        </w:tc>
        <w:tc>
          <w:tcPr>
            <w:tcW w:w="10018" w:type="dxa"/>
            <w:gridSpan w:val="2"/>
            <w:tcBorders/>
            <w:vAlign w:val="center"/>
          </w:tcPr>
          <w:p>
            <w:pPr>
              <w:pStyle w:val="TableContents"/>
              <w:bidi w:val="0"/>
              <w:spacing w:before="0" w:after="0"/>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sz w:val="20"/>
              </w:rPr>
            </w:pPr>
            <w:r>
              <w:rPr>
                <w:sz w:val="20"/>
              </w:rPr>
              <w:t>a)</w:t>
            </w:r>
          </w:p>
        </w:tc>
        <w:tc>
          <w:tcPr>
            <w:tcW w:w="9803" w:type="dxa"/>
            <w:tcBorders/>
            <w:vAlign w:val="center"/>
          </w:tcPr>
          <w:p>
            <w:pPr>
              <w:pStyle w:val="TableContents"/>
              <w:bidi w:val="0"/>
              <w:spacing w:before="0" w:after="0"/>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sz w:val="20"/>
              </w:rPr>
            </w:pPr>
            <w:r>
              <w:rPr>
                <w:sz w:val="20"/>
              </w:rPr>
              <w:t>b)</w:t>
            </w:r>
          </w:p>
        </w:tc>
        <w:tc>
          <w:tcPr>
            <w:tcW w:w="9803" w:type="dxa"/>
            <w:tcBorders/>
            <w:vAlign w:val="center"/>
          </w:tcPr>
          <w:p>
            <w:pPr>
              <w:pStyle w:val="TableContents"/>
              <w:bidi w:val="0"/>
              <w:spacing w:before="0" w:after="0"/>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sz w:val="20"/>
              </w:rPr>
            </w:pPr>
            <w:r>
              <w:rPr>
                <w:sz w:val="20"/>
              </w:rPr>
              <w:t>c)</w:t>
            </w:r>
          </w:p>
        </w:tc>
        <w:tc>
          <w:tcPr>
            <w:tcW w:w="9803" w:type="dxa"/>
            <w:tcBorders/>
            <w:vAlign w:val="center"/>
          </w:tcPr>
          <w:p>
            <w:pPr>
              <w:pStyle w:val="TableContents"/>
              <w:bidi w:val="0"/>
              <w:spacing w:before="0" w:after="0"/>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sz w:val="20"/>
              </w:rPr>
            </w:pPr>
            <w:r>
              <w:rPr>
                <w:sz w:val="20"/>
              </w:rPr>
              <w:t>d)</w:t>
            </w:r>
          </w:p>
        </w:tc>
        <w:tc>
          <w:tcPr>
            <w:tcW w:w="9803" w:type="dxa"/>
            <w:tcBorders/>
            <w:vAlign w:val="center"/>
          </w:tcPr>
          <w:p>
            <w:pPr>
              <w:pStyle w:val="TableContents"/>
              <w:bidi w:val="0"/>
              <w:spacing w:before="0" w:after="0"/>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sz w:val="20"/>
              </w:rPr>
            </w:pPr>
            <w:r>
              <w:rPr>
                <w:sz w:val="20"/>
              </w:rPr>
              <w:t>5)</w:t>
            </w:r>
          </w:p>
        </w:tc>
        <w:tc>
          <w:tcPr>
            <w:tcW w:w="10018" w:type="dxa"/>
            <w:gridSpan w:val="2"/>
            <w:tcBorders/>
            <w:vAlign w:val="center"/>
          </w:tcPr>
          <w:p>
            <w:pPr>
              <w:pStyle w:val="TableContents"/>
              <w:bidi w:val="0"/>
              <w:spacing w:before="0" w:after="0"/>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sz w:val="20"/>
              </w:rPr>
            </w:pPr>
            <w:r>
              <w:rPr>
                <w:sz w:val="20"/>
              </w:rPr>
              <w:t>a)</w:t>
            </w:r>
          </w:p>
        </w:tc>
        <w:tc>
          <w:tcPr>
            <w:tcW w:w="9803" w:type="dxa"/>
            <w:tcBorders/>
            <w:vAlign w:val="center"/>
          </w:tcPr>
          <w:p>
            <w:pPr>
              <w:pStyle w:val="TableContents"/>
              <w:bidi w:val="0"/>
              <w:spacing w:before="0" w:after="0"/>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pPr>
            <w:r>
              <w:rPr/>
              <w:t> </w:t>
            </w:r>
          </w:p>
        </w:tc>
        <w:tc>
          <w:tcPr>
            <w:tcW w:w="9803" w:type="dxa"/>
            <w:tcBorders/>
            <w:vAlign w:val="center"/>
          </w:tcPr>
          <w:p>
            <w:pPr>
              <w:pStyle w:val="TableContents"/>
              <w:bidi w:val="0"/>
              <w:spacing w:before="0" w:after="0"/>
              <w:jc w:val="left"/>
              <w:rPr/>
            </w:pPr>
            <w:r>
              <w:rPr/>
              <w:t> </w:t>
            </w:r>
          </w:p>
        </w:tc>
      </w:tr>
      <w:tr>
        <w:trPr/>
        <w:tc>
          <w:tcPr>
            <w:tcW w:w="187"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center"/>
              <w:rPr>
                <w:sz w:val="20"/>
              </w:rPr>
            </w:pPr>
            <w:r>
              <w:rPr>
                <w:sz w:val="20"/>
              </w:rPr>
              <w:t>b)</w:t>
            </w:r>
          </w:p>
        </w:tc>
        <w:tc>
          <w:tcPr>
            <w:tcW w:w="9803" w:type="dxa"/>
            <w:tcBorders/>
            <w:vAlign w:val="center"/>
          </w:tcPr>
          <w:p>
            <w:pPr>
              <w:pStyle w:val="TableContents"/>
              <w:bidi w:val="0"/>
              <w:spacing w:before="0" w:after="0"/>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pBdr/>
        <w:bidi w:val="0"/>
        <w:spacing w:lineRule="atLeast" w:line="240" w:before="0" w:after="0"/>
        <w:ind w:left="460" w:right="0" w:hanging="0"/>
        <w:jc w:val="left"/>
        <w:rPr/>
      </w:pPr>
      <w:r>
        <w:rPr/>
        <w:t> </w:t>
      </w:r>
    </w:p>
    <w:p>
      <w:pPr>
        <w:pStyle w:val="TextBody"/>
        <w:bidi w:val="0"/>
        <w:spacing w:lineRule="atLeast" w:line="240" w:before="0" w:after="0"/>
        <w:jc w:val="left"/>
        <w:rPr>
          <w:sz w:val="20"/>
        </w:rPr>
      </w:pPr>
      <w:r>
        <w:rPr>
          <w:sz w:val="20"/>
        </w:rPr>
        <w:t>Date: February 26, 2026</w:t>
      </w:r>
    </w:p>
    <w:p>
      <w:pPr>
        <w:pStyle w:val="TextBody"/>
        <w:bidi w:val="0"/>
        <w:spacing w:lineRule="atLeast" w:line="240" w:before="0" w:after="0"/>
        <w:jc w:val="left"/>
        <w:rPr/>
      </w:pPr>
      <w:r>
        <w:rPr/>
        <w:t> </w:t>
      </w:r>
    </w:p>
    <w:tbl>
      <w:tblPr>
        <w:tblW w:w="2060" w:type="dxa"/>
        <w:jc w:val="left"/>
        <w:tblInd w:w="0" w:type="dxa"/>
        <w:tblLayout w:type="fixed"/>
        <w:tblCellMar>
          <w:top w:w="0" w:type="dxa"/>
          <w:left w:w="0" w:type="dxa"/>
          <w:bottom w:w="0" w:type="dxa"/>
          <w:right w:w="0" w:type="dxa"/>
        </w:tblCellMar>
      </w:tblPr>
      <w:tblGrid>
        <w:gridCol w:w="1985"/>
        <w:gridCol w:w="75"/>
      </w:tblGrid>
      <w:tr>
        <w:trPr/>
        <w:tc>
          <w:tcPr>
            <w:tcW w:w="2060" w:type="dxa"/>
            <w:gridSpan w:val="2"/>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1985" w:type="dxa"/>
            <w:tcBorders>
              <w:top w:val="single" w:sz="8" w:space="0" w:color="000000"/>
            </w:tcBorders>
            <w:tcMar>
              <w:top w:w="35" w:type="dxa"/>
            </w:tcMar>
            <w:vAlign w:val="center"/>
          </w:tcPr>
          <w:p>
            <w:pPr>
              <w:pStyle w:val="TableContents"/>
              <w:bidi w:val="0"/>
              <w:spacing w:before="0" w:after="0"/>
              <w:jc w:val="center"/>
              <w:rPr>
                <w:b/>
                <w:sz w:val="20"/>
              </w:rPr>
            </w:pPr>
            <w:r>
              <w:rPr>
                <w:b/>
                <w:sz w:val="20"/>
              </w:rPr>
              <w:t>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Chief Financial Officer</w:t>
            </w:r>
          </w:p>
        </w:tc>
        <w:tc>
          <w:tcPr>
            <w:tcW w:w="75" w:type="dxa"/>
            <w:tcBorders/>
            <w:vAlign w:val="center"/>
          </w:tcPr>
          <w:p>
            <w:pPr>
              <w:pStyle w:val="TableContents"/>
              <w:bidi w:val="0"/>
              <w:spacing w:before="0" w:after="0"/>
              <w:jc w:val="left"/>
              <w:rPr/>
            </w:pPr>
            <w:r>
              <w:rPr/>
              <w:t> </w:t>
            </w:r>
          </w:p>
        </w:tc>
      </w:tr>
    </w:tbl>
    <w:p>
      <w:pPr>
        <w:pStyle w:val="TextBody"/>
        <w:pBdr/>
        <w:bidi w:val="0"/>
        <w:spacing w:lineRule="atLeast" w:line="240" w:before="0" w:after="0"/>
        <w:jc w:val="left"/>
        <w:rPr/>
      </w:pPr>
      <w:r>
        <w:rPr/>
        <w:t> </w:t>
      </w:r>
      <w:r>
        <w:br w:type="page"/>
      </w:r>
    </w:p>
    <w:p>
      <w:pPr>
        <w:pStyle w:val="TextBody"/>
        <w:bidi w:val="0"/>
        <w:spacing w:before="0" w:after="0"/>
        <w:jc w:val="left"/>
        <w:rPr/>
      </w:pPr>
      <w:bookmarkStart w:id="90" w:name="ex321_6.htm"/>
      <w:bookmarkStart w:id="91" w:name="ksex321_6"/>
      <w:bookmarkEnd w:id="90"/>
      <w:bookmarkEnd w:id="91"/>
      <w:r>
        <w:rPr/>
        <w:t> </w:t>
      </w:r>
    </w:p>
    <w:p>
      <w:pPr>
        <w:pStyle w:val="TextBody"/>
        <w:bidi w:val="0"/>
        <w:spacing w:lineRule="atLeast" w:line="240" w:before="0" w:after="0"/>
        <w:jc w:val="right"/>
        <w:rPr>
          <w:b/>
          <w:sz w:val="20"/>
        </w:rPr>
      </w:pPr>
      <w:r>
        <w:rPr>
          <w:b/>
          <w:sz w:val="20"/>
        </w:rPr>
        <w:t>EXHIBIT 32.1</w:t>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CERTIFICATION PURSUANT TO</w:t>
      </w:r>
    </w:p>
    <w:p>
      <w:pPr>
        <w:pStyle w:val="TextBody"/>
        <w:bidi w:val="0"/>
        <w:spacing w:lineRule="atLeast" w:line="240" w:before="0" w:after="0"/>
        <w:jc w:val="center"/>
        <w:rPr>
          <w:b/>
          <w:sz w:val="20"/>
        </w:rPr>
      </w:pPr>
      <w:r>
        <w:rPr>
          <w:b/>
          <w:sz w:val="20"/>
        </w:rPr>
        <w:t>18 U.S.C. SECTION 1350,</w:t>
      </w:r>
    </w:p>
    <w:p>
      <w:pPr>
        <w:pStyle w:val="TextBody"/>
        <w:bidi w:val="0"/>
        <w:spacing w:lineRule="atLeast" w:line="240" w:before="0" w:after="0"/>
        <w:jc w:val="center"/>
        <w:rPr>
          <w:b/>
          <w:sz w:val="20"/>
        </w:rPr>
      </w:pPr>
      <w:r>
        <w:rPr>
          <w:b/>
          <w:sz w:val="20"/>
        </w:rPr>
        <w:t>AS ADOPTED PURSUANT TO</w:t>
      </w:r>
    </w:p>
    <w:p>
      <w:pPr>
        <w:pStyle w:val="TextBody"/>
        <w:bidi w:val="0"/>
        <w:spacing w:lineRule="atLeast" w:line="240" w:before="0" w:after="0"/>
        <w:jc w:val="center"/>
        <w:rPr>
          <w:b/>
          <w:sz w:val="20"/>
        </w:rPr>
      </w:pPr>
      <w:r>
        <w:rPr>
          <w:b/>
          <w:sz w:val="20"/>
        </w:rPr>
        <w:t>SECTION 906 OF THE SARBANES-OXLEY ACT OF 2002</w:t>
      </w:r>
    </w:p>
    <w:p>
      <w:pPr>
        <w:pStyle w:val="TextBody"/>
        <w:bidi w:val="0"/>
        <w:spacing w:lineRule="atLeast" w:line="240" w:before="0" w:after="0"/>
        <w:jc w:val="center"/>
        <w:rPr/>
      </w:pPr>
      <w:r>
        <w:rPr/>
        <w:t> </w:t>
      </w:r>
    </w:p>
    <w:p>
      <w:pPr>
        <w:pStyle w:val="TextBody"/>
        <w:pBdr/>
        <w:bidi w:val="0"/>
        <w:spacing w:lineRule="atLeast" w:line="240" w:before="0" w:after="0"/>
        <w:jc w:val="both"/>
        <w:rPr/>
      </w:pPr>
      <w:r>
        <w:rPr>
          <w:sz w:val="20"/>
        </w:rPr>
        <w:t>In connection with the Annual Report on Form 10-K of Euronet Worldwide, Inc. (the “Company”) for the period ended</w:t>
      </w:r>
      <w:r>
        <w:rPr/>
        <w:t> </w:t>
      </w:r>
      <w:r>
        <w:rPr>
          <w:sz w:val="20"/>
        </w:rPr>
        <w:t>December 31, 2025</w:t>
      </w:r>
      <w:r>
        <w:rPr/>
        <w:t> </w:t>
      </w:r>
      <w:r>
        <w:rPr>
          <w:sz w:val="20"/>
        </w:rPr>
        <w:t>as filed with the Securities and Exchange Commission on the date hereof (the “Report”), the undersigned hereby certifies, pursuant to 18 U.S.C. Section</w:t>
      </w:r>
      <w:r>
        <w:rPr/>
        <w:t> </w:t>
      </w:r>
      <w:r>
        <w:rPr>
          <w:sz w:val="20"/>
        </w:rPr>
        <w:t>1350, as adopted pursuant to Section</w:t>
      </w:r>
      <w:r>
        <w:rPr/>
        <w:t> </w:t>
      </w:r>
      <w:r>
        <w:rPr>
          <w:sz w:val="20"/>
        </w:rPr>
        <w:t>906 of the Sarbanes-Oxley Act of 2002, that:</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center"/>
              <w:rPr>
                <w:sz w:val="20"/>
              </w:rPr>
            </w:pPr>
            <w:r>
              <w:rPr>
                <w:sz w:val="20"/>
              </w:rPr>
              <w:t>(1)</w:t>
            </w:r>
          </w:p>
        </w:tc>
        <w:tc>
          <w:tcPr>
            <w:tcW w:w="9955" w:type="dxa"/>
            <w:tcBorders/>
            <w:vAlign w:val="center"/>
          </w:tcPr>
          <w:p>
            <w:pPr>
              <w:pStyle w:val="TableContents"/>
              <w:bidi w:val="0"/>
              <w:spacing w:before="0" w:after="0"/>
              <w:jc w:val="both"/>
              <w:rPr>
                <w:sz w:val="20"/>
              </w:rPr>
            </w:pPr>
            <w:r>
              <w:rPr>
                <w:sz w:val="20"/>
              </w:rPr>
              <w:t>the Report fully complies with the requirements of Section 13(a) or 15(d) of the Securities Exchange Act of 1934, as amended; and</w:t>
            </w:r>
          </w:p>
        </w:tc>
      </w:tr>
      <w:tr>
        <w:trPr/>
        <w:tc>
          <w:tcPr>
            <w:tcW w:w="250" w:type="dxa"/>
            <w:tcBorders/>
            <w:vAlign w:val="center"/>
          </w:tcPr>
          <w:p>
            <w:pPr>
              <w:pStyle w:val="TableContents"/>
              <w:bidi w:val="0"/>
              <w:spacing w:before="0" w:after="0"/>
              <w:jc w:val="left"/>
              <w:rPr/>
            </w:pPr>
            <w:r>
              <w:rPr/>
              <w:t> </w:t>
            </w:r>
          </w:p>
        </w:tc>
        <w:tc>
          <w:tcPr>
            <w:tcW w:w="9955" w:type="dxa"/>
            <w:tcBorders/>
            <w:vAlign w:val="center"/>
          </w:tcPr>
          <w:p>
            <w:pPr>
              <w:pStyle w:val="TableContents"/>
              <w:bidi w:val="0"/>
              <w:spacing w:before="0" w:after="0"/>
              <w:jc w:val="left"/>
              <w:rPr/>
            </w:pPr>
            <w:r>
              <w:rPr/>
              <w:t> </w:t>
            </w:r>
          </w:p>
        </w:tc>
      </w:tr>
      <w:tr>
        <w:trPr/>
        <w:tc>
          <w:tcPr>
            <w:tcW w:w="250" w:type="dxa"/>
            <w:tcBorders/>
            <w:vAlign w:val="center"/>
          </w:tcPr>
          <w:p>
            <w:pPr>
              <w:pStyle w:val="TableContents"/>
              <w:bidi w:val="0"/>
              <w:spacing w:before="0" w:after="0"/>
              <w:jc w:val="center"/>
              <w:rPr>
                <w:sz w:val="20"/>
              </w:rPr>
            </w:pPr>
            <w:r>
              <w:rPr>
                <w:sz w:val="20"/>
              </w:rPr>
              <w:t>(2)</w:t>
            </w:r>
          </w:p>
        </w:tc>
        <w:tc>
          <w:tcPr>
            <w:tcW w:w="9955" w:type="dxa"/>
            <w:tcBorders/>
            <w:vAlign w:val="center"/>
          </w:tcPr>
          <w:p>
            <w:pPr>
              <w:pStyle w:val="TableContents"/>
              <w:bidi w:val="0"/>
              <w:spacing w:before="0" w:after="0"/>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lineRule="atLeast" w:line="240" w:before="0" w:after="0"/>
        <w:jc w:val="left"/>
        <w:rPr/>
      </w:pPr>
      <w:r>
        <w:rPr/>
        <w:t> </w:t>
      </w:r>
    </w:p>
    <w:tbl>
      <w:tblPr>
        <w:tblW w:w="2090" w:type="dxa"/>
        <w:jc w:val="left"/>
        <w:tblInd w:w="0" w:type="dxa"/>
        <w:tblLayout w:type="fixed"/>
        <w:tblCellMar>
          <w:top w:w="0" w:type="dxa"/>
          <w:left w:w="0" w:type="dxa"/>
          <w:bottom w:w="0" w:type="dxa"/>
          <w:right w:w="0" w:type="dxa"/>
        </w:tblCellMar>
      </w:tblPr>
      <w:tblGrid>
        <w:gridCol w:w="2015"/>
        <w:gridCol w:w="75"/>
      </w:tblGrid>
      <w:tr>
        <w:trPr/>
        <w:tc>
          <w:tcPr>
            <w:tcW w:w="2090" w:type="dxa"/>
            <w:gridSpan w:val="2"/>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015" w:type="dxa"/>
            <w:tcBorders>
              <w:bottom w:val="single" w:sz="8"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15" w:type="dxa"/>
            <w:tcBorders>
              <w:top w:val="single" w:sz="8" w:space="0" w:color="000000"/>
            </w:tcBorders>
            <w:tcMar>
              <w:top w:w="35" w:type="dxa"/>
            </w:tcMar>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15"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February 26, 2026</w:t>
      </w:r>
    </w:p>
    <w:p>
      <w:pPr>
        <w:pStyle w:val="TextBody"/>
        <w:pBdr/>
        <w:bidi w:val="0"/>
        <w:spacing w:lineRule="atLeast" w:line="240" w:before="0" w:after="0"/>
        <w:jc w:val="left"/>
        <w:rPr/>
      </w:pPr>
      <w:r>
        <w:rPr/>
        <w:t> </w:t>
      </w:r>
      <w:r>
        <w:br w:type="page"/>
      </w:r>
    </w:p>
    <w:p>
      <w:pPr>
        <w:pStyle w:val="TextBody"/>
        <w:bidi w:val="0"/>
        <w:spacing w:before="0" w:after="0"/>
        <w:jc w:val="left"/>
        <w:rPr/>
      </w:pPr>
      <w:bookmarkStart w:id="92" w:name="ex322_7.htm"/>
      <w:bookmarkStart w:id="93" w:name="ksex322_7"/>
      <w:bookmarkEnd w:id="92"/>
      <w:bookmarkEnd w:id="93"/>
      <w:r>
        <w:rPr/>
        <w:t> </w:t>
      </w:r>
    </w:p>
    <w:p>
      <w:pPr>
        <w:pStyle w:val="TextBody"/>
        <w:bidi w:val="0"/>
        <w:spacing w:lineRule="atLeast" w:line="240" w:before="0" w:after="0"/>
        <w:jc w:val="right"/>
        <w:rPr>
          <w:b/>
          <w:sz w:val="20"/>
        </w:rPr>
      </w:pPr>
      <w:r>
        <w:rPr>
          <w:b/>
          <w:sz w:val="20"/>
        </w:rPr>
        <w:t>EXHIBIT 32.2</w:t>
      </w:r>
    </w:p>
    <w:p>
      <w:pPr>
        <w:pStyle w:val="TextBody"/>
        <w:bidi w:val="0"/>
        <w:spacing w:lineRule="atLeast" w:line="240" w:before="0" w:after="0"/>
        <w:jc w:val="center"/>
        <w:rPr/>
      </w:pPr>
      <w:r>
        <w:rPr/>
        <w:t> </w:t>
      </w:r>
    </w:p>
    <w:p>
      <w:pPr>
        <w:pStyle w:val="TextBody"/>
        <w:bidi w:val="0"/>
        <w:spacing w:lineRule="atLeast" w:line="240" w:before="0" w:after="0"/>
        <w:jc w:val="center"/>
        <w:rPr>
          <w:b/>
          <w:sz w:val="20"/>
        </w:rPr>
      </w:pPr>
      <w:r>
        <w:rPr>
          <w:b/>
          <w:sz w:val="20"/>
        </w:rPr>
        <w:t>CERTIFICATION PURSUANT TO</w:t>
      </w:r>
    </w:p>
    <w:p>
      <w:pPr>
        <w:pStyle w:val="TextBody"/>
        <w:bidi w:val="0"/>
        <w:spacing w:lineRule="atLeast" w:line="240" w:before="0" w:after="0"/>
        <w:jc w:val="center"/>
        <w:rPr>
          <w:b/>
          <w:sz w:val="20"/>
        </w:rPr>
      </w:pPr>
      <w:r>
        <w:rPr>
          <w:b/>
          <w:sz w:val="20"/>
        </w:rPr>
        <w:t>18 U.S.C. SECTION 1350,</w:t>
      </w:r>
    </w:p>
    <w:p>
      <w:pPr>
        <w:pStyle w:val="TextBody"/>
        <w:bidi w:val="0"/>
        <w:spacing w:lineRule="atLeast" w:line="240" w:before="0" w:after="0"/>
        <w:jc w:val="center"/>
        <w:rPr>
          <w:b/>
          <w:sz w:val="20"/>
        </w:rPr>
      </w:pPr>
      <w:r>
        <w:rPr>
          <w:b/>
          <w:sz w:val="20"/>
        </w:rPr>
        <w:t>AS ADOPTED PURSUANT TO</w:t>
      </w:r>
    </w:p>
    <w:p>
      <w:pPr>
        <w:pStyle w:val="TextBody"/>
        <w:bidi w:val="0"/>
        <w:spacing w:lineRule="atLeast" w:line="240" w:before="0" w:after="0"/>
        <w:jc w:val="center"/>
        <w:rPr>
          <w:b/>
          <w:sz w:val="20"/>
        </w:rPr>
      </w:pPr>
      <w:r>
        <w:rPr>
          <w:b/>
          <w:sz w:val="20"/>
        </w:rPr>
        <w:t>SECTION 906 OF THE SARBANES-OXLEY ACT OF 2002</w:t>
      </w:r>
    </w:p>
    <w:p>
      <w:pPr>
        <w:pStyle w:val="TextBody"/>
        <w:bidi w:val="0"/>
        <w:spacing w:lineRule="atLeast" w:line="240" w:before="0" w:after="0"/>
        <w:jc w:val="center"/>
        <w:rPr/>
      </w:pPr>
      <w:r>
        <w:rPr/>
        <w:t> </w:t>
      </w:r>
    </w:p>
    <w:p>
      <w:pPr>
        <w:pStyle w:val="TextBody"/>
        <w:pBdr/>
        <w:bidi w:val="0"/>
        <w:spacing w:lineRule="atLeast" w:line="240" w:before="0" w:after="0"/>
        <w:jc w:val="both"/>
        <w:rPr/>
      </w:pPr>
      <w:r>
        <w:rPr>
          <w:sz w:val="20"/>
        </w:rPr>
        <w:t>In connection with the Annual Report on Form 10-K of Euronet Worldwide, Inc. (the “Company”) for the period ended</w:t>
      </w:r>
      <w:r>
        <w:rPr/>
        <w:t> </w:t>
      </w:r>
      <w:r>
        <w:rPr>
          <w:sz w:val="20"/>
        </w:rPr>
        <w:t>December 31, 2025</w:t>
      </w:r>
      <w:r>
        <w:rPr/>
        <w:t> </w:t>
      </w:r>
      <w:r>
        <w:rPr>
          <w:sz w:val="20"/>
        </w:rPr>
        <w:t>as filed with the Securities and Exchange Commission on the date hereof (the “Report”), the undersigned hereby certifies, pursuant to 18 U.S.C. Section</w:t>
      </w:r>
      <w:r>
        <w:rPr/>
        <w:t> </w:t>
      </w:r>
      <w:r>
        <w:rPr>
          <w:sz w:val="20"/>
        </w:rPr>
        <w:t>1350, as adopted pursuant to Section</w:t>
      </w:r>
      <w:r>
        <w:rPr/>
        <w:t> </w:t>
      </w:r>
      <w:r>
        <w:rPr>
          <w:sz w:val="20"/>
        </w:rPr>
        <w:t>906 of the Sarbanes-Oxley Act of 2002, that:</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center"/>
              <w:rPr>
                <w:sz w:val="20"/>
              </w:rPr>
            </w:pPr>
            <w:r>
              <w:rPr>
                <w:sz w:val="20"/>
              </w:rPr>
              <w:t>(1)</w:t>
            </w:r>
          </w:p>
        </w:tc>
        <w:tc>
          <w:tcPr>
            <w:tcW w:w="9955" w:type="dxa"/>
            <w:tcBorders/>
            <w:vAlign w:val="center"/>
          </w:tcPr>
          <w:p>
            <w:pPr>
              <w:pStyle w:val="TableContents"/>
              <w:bidi w:val="0"/>
              <w:spacing w:before="0" w:after="0"/>
              <w:jc w:val="both"/>
              <w:rPr>
                <w:sz w:val="20"/>
              </w:rPr>
            </w:pPr>
            <w:r>
              <w:rPr>
                <w:sz w:val="20"/>
              </w:rPr>
              <w:t>the Report fully complies with the requirements of Section 13(a) or 15(d) of the Securities Exchange Act of 1934, as amended; and</w:t>
            </w:r>
          </w:p>
        </w:tc>
      </w:tr>
      <w:tr>
        <w:trPr/>
        <w:tc>
          <w:tcPr>
            <w:tcW w:w="250" w:type="dxa"/>
            <w:tcBorders/>
            <w:vAlign w:val="center"/>
          </w:tcPr>
          <w:p>
            <w:pPr>
              <w:pStyle w:val="TableContents"/>
              <w:bidi w:val="0"/>
              <w:spacing w:before="0" w:after="0"/>
              <w:jc w:val="left"/>
              <w:rPr/>
            </w:pPr>
            <w:r>
              <w:rPr/>
              <w:t> </w:t>
            </w:r>
          </w:p>
        </w:tc>
        <w:tc>
          <w:tcPr>
            <w:tcW w:w="9955" w:type="dxa"/>
            <w:tcBorders/>
            <w:vAlign w:val="center"/>
          </w:tcPr>
          <w:p>
            <w:pPr>
              <w:pStyle w:val="TableContents"/>
              <w:bidi w:val="0"/>
              <w:spacing w:before="0" w:after="0"/>
              <w:jc w:val="left"/>
              <w:rPr/>
            </w:pPr>
            <w:r>
              <w:rPr/>
              <w:t> </w:t>
            </w:r>
          </w:p>
        </w:tc>
      </w:tr>
      <w:tr>
        <w:trPr/>
        <w:tc>
          <w:tcPr>
            <w:tcW w:w="250" w:type="dxa"/>
            <w:tcBorders/>
            <w:vAlign w:val="center"/>
          </w:tcPr>
          <w:p>
            <w:pPr>
              <w:pStyle w:val="TableContents"/>
              <w:bidi w:val="0"/>
              <w:spacing w:before="0" w:after="0"/>
              <w:jc w:val="center"/>
              <w:rPr>
                <w:sz w:val="20"/>
              </w:rPr>
            </w:pPr>
            <w:r>
              <w:rPr>
                <w:sz w:val="20"/>
              </w:rPr>
              <w:t>(2)</w:t>
            </w:r>
          </w:p>
        </w:tc>
        <w:tc>
          <w:tcPr>
            <w:tcW w:w="9955" w:type="dxa"/>
            <w:tcBorders/>
            <w:vAlign w:val="center"/>
          </w:tcPr>
          <w:p>
            <w:pPr>
              <w:pStyle w:val="TableContents"/>
              <w:bidi w:val="0"/>
              <w:spacing w:before="0" w:after="0"/>
              <w:jc w:val="both"/>
              <w:rPr>
                <w:sz w:val="20"/>
              </w:rPr>
            </w:pPr>
            <w:r>
              <w:rPr>
                <w:sz w:val="20"/>
              </w:rPr>
              <w:t>the information contained in the Report fairly presents, in all material respects, the financial condition and results of operations of the Company.</w:t>
            </w:r>
          </w:p>
        </w:tc>
      </w:tr>
    </w:tbl>
    <w:p>
      <w:pPr>
        <w:pStyle w:val="TextBody"/>
        <w:pBdr/>
        <w:bidi w:val="0"/>
        <w:spacing w:lineRule="atLeast" w:line="240" w:before="0" w:after="0"/>
        <w:jc w:val="left"/>
        <w:rPr/>
      </w:pPr>
      <w:r>
        <w:rPr/>
        <w:t> </w:t>
      </w:r>
    </w:p>
    <w:tbl>
      <w:tblPr>
        <w:tblW w:w="2060" w:type="dxa"/>
        <w:jc w:val="left"/>
        <w:tblInd w:w="0" w:type="dxa"/>
        <w:tblLayout w:type="fixed"/>
        <w:tblCellMar>
          <w:top w:w="0" w:type="dxa"/>
          <w:left w:w="0" w:type="dxa"/>
          <w:bottom w:w="0" w:type="dxa"/>
          <w:right w:w="0" w:type="dxa"/>
        </w:tblCellMar>
      </w:tblPr>
      <w:tblGrid>
        <w:gridCol w:w="1985"/>
        <w:gridCol w:w="75"/>
      </w:tblGrid>
      <w:tr>
        <w:trPr/>
        <w:tc>
          <w:tcPr>
            <w:tcW w:w="2060" w:type="dxa"/>
            <w:gridSpan w:val="2"/>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1985" w:type="dxa"/>
            <w:tcBorders>
              <w:top w:val="single" w:sz="8" w:space="0" w:color="000000"/>
            </w:tcBorders>
            <w:tcMar>
              <w:top w:w="35" w:type="dxa"/>
            </w:tcMar>
            <w:vAlign w:val="center"/>
          </w:tcPr>
          <w:p>
            <w:pPr>
              <w:pStyle w:val="TableContents"/>
              <w:bidi w:val="0"/>
              <w:spacing w:before="0" w:after="0"/>
              <w:jc w:val="center"/>
              <w:rPr>
                <w:b/>
                <w:sz w:val="20"/>
              </w:rPr>
            </w:pPr>
            <w:r>
              <w:rPr>
                <w:b/>
                <w:sz w:val="20"/>
              </w:rPr>
              <w:t>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sz w:val="20"/>
        </w:rPr>
      </w:pPr>
      <w:r>
        <w:rPr>
          <w:sz w:val="20"/>
        </w:rPr>
        <w:t>February 26, 2026</w:t>
      </w:r>
    </w:p>
    <w:p>
      <w:pPr>
        <w:pStyle w:val="TextBody"/>
        <w:pBdr/>
        <w:bidi w:val="0"/>
        <w:spacing w:lineRule="atLeast" w:line="240"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ourier New">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29199/000155485525000873/ex21_1.htm" TargetMode="External"/><Relationship Id="rId4" Type="http://schemas.openxmlformats.org/officeDocument/2006/relationships/hyperlink" Target="http://www.sec.gov/Archives/edgar/data/1029199/000155485525000873/ex21_1.htm" TargetMode="External"/><Relationship Id="rId5" Type="http://schemas.openxmlformats.org/officeDocument/2006/relationships/hyperlink" Target="http://www.sec.gov/Archives/edgar/data/1029199/000101410809000126/ewi-ex32toform8k_8353998v3.htm" TargetMode="External"/><Relationship Id="rId6" Type="http://schemas.openxmlformats.org/officeDocument/2006/relationships/hyperlink" Target="http://www.sec.gov/Archives/edgar/data/1029199/000101410809000126/ewi-ex31toform8k_8353998v3.htm" TargetMode="External"/><Relationship Id="rId7" Type="http://schemas.openxmlformats.org/officeDocument/2006/relationships/hyperlink" Target="http://www.sec.gov/Archives/edgar/data/1029199/000101410813000094/ex31-certofrights.htm" TargetMode="External"/><Relationship Id="rId8" Type="http://schemas.openxmlformats.org/officeDocument/2006/relationships/hyperlink" Target="http://www.sec.gov/Archives/edgar/data/1029199/000102919917000004/exhibit32-amendedandrestat.htm" TargetMode="External"/><Relationship Id="rId9" Type="http://schemas.openxmlformats.org/officeDocument/2006/relationships/hyperlink" Target="http://www.sec.gov/Archives/edgar/data/1029199/000119312514398639/d817126dex41.htm" TargetMode="External"/><Relationship Id="rId10" Type="http://schemas.openxmlformats.org/officeDocument/2006/relationships/hyperlink" Target="http://www.sec.gov/Archives/edgar/data/1029199/000119312519154044/d727874dex42.htm" TargetMode="External"/><Relationship Id="rId11" Type="http://schemas.openxmlformats.org/officeDocument/2006/relationships/hyperlink" Target="http://www.sec.gov/Archives/edgar/data/1029199/000119312514398639/d817126dex41.htm" TargetMode="External"/><Relationship Id="rId12" Type="http://schemas.openxmlformats.org/officeDocument/2006/relationships/hyperlink" Target="http://www.sec.gov/Archives/edgar/data/1029199/000102919919000025/exhibit41indenture.htm" TargetMode="External"/><Relationship Id="rId13" Type="http://schemas.openxmlformats.org/officeDocument/2006/relationships/hyperlink" Target="http://www.sec.gov/Archives/edgar/data/1029199/000102919919000025/exhibit41indenture.htm" TargetMode="External"/><Relationship Id="rId14" Type="http://schemas.openxmlformats.org/officeDocument/2006/relationships/hyperlink" Target="https://www.sec.gov/Archives/edgar/data/1029199/000102919920000009/eeft12312019ex46.htm" TargetMode="External"/><Relationship Id="rId15" Type="http://schemas.openxmlformats.org/officeDocument/2006/relationships/hyperlink" Target="https://www.sec.gov/Archives/edgar/data/1029199/000155485525001094/ex41_1.htm" TargetMode="External"/><Relationship Id="rId16" Type="http://schemas.openxmlformats.org/officeDocument/2006/relationships/hyperlink" Target="https://www.sec.gov/Archives/edgar/data/1029199/000155485525001094/ex41_1.htm" TargetMode="External"/><Relationship Id="rId17" Type="http://schemas.openxmlformats.org/officeDocument/2006/relationships/hyperlink" Target="http://www.sec.gov/Archives/edgar/data/1029199/000095013706008670/c07036exv10w8.htm" TargetMode="External"/><Relationship Id="rId18" Type="http://schemas.openxmlformats.org/officeDocument/2006/relationships/hyperlink" Target="http://www.sec.gov/Archives/edgar/data/1029199/000101410807000144/ewi-ex101toform8k_7640045.htm" TargetMode="External"/><Relationship Id="rId19" Type="http://schemas.openxmlformats.org/officeDocument/2006/relationships/hyperlink" Target="http://www.sec.gov/Archives/edgar/data/1029199/000095013708007169/c26311exv10w3.htm" TargetMode="External"/><Relationship Id="rId20" Type="http://schemas.openxmlformats.org/officeDocument/2006/relationships/hyperlink" Target="http://www.sec.gov/Archives/edgar/data/1029199/000095013708007169/c26311exv10w4.htm" TargetMode="External"/><Relationship Id="rId21" Type="http://schemas.openxmlformats.org/officeDocument/2006/relationships/hyperlink" Target="http://www.sec.gov/Archives/edgar/data/1029199/000095013708007169/c26311exv10w6.htm" TargetMode="External"/><Relationship Id="rId22" Type="http://schemas.openxmlformats.org/officeDocument/2006/relationships/hyperlink" Target="http://www.sec.gov/Archives/edgar/data/1029199/000095015208010588/c48372exv10w1.htm" TargetMode="External"/><Relationship Id="rId23" Type="http://schemas.openxmlformats.org/officeDocument/2006/relationships/hyperlink" Target="http://www.sec.gov/Archives/edgar/data/1029199/000121390021020144/MainDocument.htm" TargetMode="External"/><Relationship Id="rId24" Type="http://schemas.openxmlformats.org/officeDocument/2006/relationships/hyperlink" Target="http://www.sec.gov/Archives/edgar/data/1029199/000095012310046071/c57991exv10w2.htm" TargetMode="External"/><Relationship Id="rId25" Type="http://schemas.openxmlformats.org/officeDocument/2006/relationships/hyperlink" Target="http://www.sec.gov/Archives/edgar/data/1029199/000095012311018840/c61623exv10w25.htm" TargetMode="External"/><Relationship Id="rId26" Type="http://schemas.openxmlformats.org/officeDocument/2006/relationships/hyperlink" Target="http://www.sec.gov/Archives/edgar/data/1029199/000102919917000080/exhibit101nikosfountasempl.htm" TargetMode="External"/><Relationship Id="rId27" Type="http://schemas.openxmlformats.org/officeDocument/2006/relationships/hyperlink" Target="http://www.sec.gov/Archives/edgar/data/1029199/000095012311018840/c61623exv10w26.htm" TargetMode="External"/><Relationship Id="rId28" Type="http://schemas.openxmlformats.org/officeDocument/2006/relationships/hyperlink" Target="http://www.sec.gov/Archives/edgar/data/1029199/000102919916000143/eeft12312015ex1018.htm" TargetMode="External"/><Relationship Id="rId29" Type="http://schemas.openxmlformats.org/officeDocument/2006/relationships/hyperlink" Target="http://www.sec.gov/Archives/edgar/data/1029199/000102919916000159/def14aproxystatement-2016.htm" TargetMode="External"/><Relationship Id="rId30" Type="http://schemas.openxmlformats.org/officeDocument/2006/relationships/hyperlink" Target="http://www.sec.gov/Archives/edgar/data/1029199/000102919918000015/eeft12312017ex1019.htm" TargetMode="External"/><Relationship Id="rId31" Type="http://schemas.openxmlformats.org/officeDocument/2006/relationships/hyperlink" Target="http://www.sec.gov/Archives/edgar/data/1029199/000102919918000015/eeft12312017ex1020.htm" TargetMode="External"/><Relationship Id="rId32" Type="http://schemas.openxmlformats.org/officeDocument/2006/relationships/hyperlink" Target="http://www.sec.gov/Archives/edgar/data/1029199/000121390024110405/ea022515701ex10-1_euronet.htm" TargetMode="External"/><Relationship Id="rId33" Type="http://schemas.openxmlformats.org/officeDocument/2006/relationships/hyperlink" Target="http://www.sec.gov/Archives/edgar/data/1029199/000121390024110405/ea022515701ex10-1_euronet.htm" TargetMode="External"/><Relationship Id="rId34" Type="http://schemas.openxmlformats.org/officeDocument/2006/relationships/hyperlink" Target="http://www.sec.gov/Archives/edgar/data/1029199/000121390024110405/ea022515701ex10-1_euronet.htm" TargetMode="External"/><Relationship Id="rId35" Type="http://schemas.openxmlformats.org/officeDocument/2006/relationships/hyperlink" Target="http://www.sec.gov/Archives/edgar/data/1029199/000121390024110405/ea022515701ex10-1_euronet.htm" TargetMode="External"/><Relationship Id="rId36" Type="http://schemas.openxmlformats.org/officeDocument/2006/relationships/hyperlink" Target="http://www.sec.gov/Archives/edgar/data/1029199/000121390024110405/ea022515701ex10-1_euronet.htm" TargetMode="External"/><Relationship Id="rId37" Type="http://schemas.openxmlformats.org/officeDocument/2006/relationships/hyperlink" Target="http://www.sec.gov/Archives/edgar/data/1029199/000121390024110405/ea022515701ex10-1_euronet.htm" TargetMode="External"/><Relationship Id="rId38" Type="http://schemas.openxmlformats.org/officeDocument/2006/relationships/hyperlink" Target="http://www.sec.gov/Archives/edgar/data/1029199/000121390024110405/ea022515701ex10-1_euronet.htm" TargetMode="External"/><Relationship Id="rId39" Type="http://schemas.openxmlformats.org/officeDocument/2006/relationships/hyperlink" Target="http://www.sec.gov/Archives/edgar/data/1029199/000121390024110405/ea022515701ex10-1_euronet.htm" TargetMode="External"/><Relationship Id="rId40" Type="http://schemas.openxmlformats.org/officeDocument/2006/relationships/hyperlink" Target="http://www.sec.gov/Archives/edgar/data/1029199/000121390024110405/ea022515701ex10-1_euronet.htm" TargetMode="External"/><Relationship Id="rId41" Type="http://schemas.openxmlformats.org/officeDocument/2006/relationships/hyperlink" Target="http://www.sec.gov/Archives/edgar/data/1029199/000121390024110405/ea022515701ex10-1_euronet.htm" TargetMode="External"/><Relationship Id="rId42" Type="http://schemas.openxmlformats.org/officeDocument/2006/relationships/hyperlink" Target="http://www.sec.gov/Archives/edgar/data/1029199/000121390024110405/ea022515701ex10-1_euronet.htm" TargetMode="External"/><Relationship Id="rId43" Type="http://schemas.openxmlformats.org/officeDocument/2006/relationships/hyperlink" Target="https://www.sec.gov/Archives/edgar/data/1029199/000155485525001094/ex101_2.htm" TargetMode="External"/><Relationship Id="rId44" Type="http://schemas.openxmlformats.org/officeDocument/2006/relationships/hyperlink" Target="https://www.sec.gov/Archives/edgar/data/1029199/000121390025017068/ex971_8.htm" TargetMode="External"/><Relationship Id="rId45" Type="http://schemas.openxmlformats.org/officeDocument/2006/relationships/hyperlink" Target="https://www.sec.gov/Archives/edgar/data/1029199/000121390025017068/ex971_8.htm" TargetMode="External"/><Relationship Id="rId46" Type="http://schemas.openxmlformats.org/officeDocument/2006/relationships/hyperlink" Target="https://www.sec.gov/Archives/edgar/data/1029199/000121390025017068/ex971_8.htm" TargetMode="External"/><Relationship Id="rId47" Type="http://schemas.openxmlformats.org/officeDocument/2006/relationships/hyperlink" Target="https://www.sec.gov/Archives/edgar/data/1029199/000121390025017068/ex971_8.htm" TargetMode="External"/><Relationship Id="rId48" Type="http://schemas.openxmlformats.org/officeDocument/2006/relationships/hyperlink" Target="https://www.sec.gov/Archives/edgar/data/1029199/000121390025017068/ex971_8.htm" TargetMode="External"/><Relationship Id="rId49" Type="http://schemas.openxmlformats.org/officeDocument/2006/relationships/hyperlink" Target="https://www.sec.gov/Archives/edgar/data/1029199/000121390025017068/ex971_8.htm" TargetMode="External"/><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65531</Words>
  <Characters>369306</Characters>
  <CharactersWithSpaces>438274</CharactersWithSpaces>
  <Paragraphs>9789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