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44"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535" w:right="299" w:bottom="1440" w:gutter="0" w:footer="0" w:header="0"/>
        </w:sectPr>
      </w:pPr>
    </w:p>
    <w:p>
      <w:pPr>
        <w:spacing w:after="0" w:line="95"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90" w:lineRule="exact"/>
        <w:rPr>
          <w:sz w:val="24"/>
          <w:szCs w:val="24"/>
          <w:color w:val="auto"/>
        </w:rPr>
      </w:pPr>
    </w:p>
    <w:p>
      <w:pPr>
        <w:sectPr>
          <w:pgSz w:w="11900" w:h="16838" w:orient="portrait"/>
          <w:cols w:equalWidth="0" w:num="4">
            <w:col w:w="2340" w:space="720"/>
            <w:col w:w="1320" w:space="560"/>
            <w:col w:w="1660" w:space="40"/>
            <w:col w:w="4720"/>
          </w:cols>
          <w:pgMar w:left="240" w:top="535" w:right="29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xml:space="preserve">Emerging growth company </w:t>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4560" w:space="720"/>
            <w:col w:w="6080"/>
          </w:cols>
          <w:pgMar w:left="240" w:top="535" w:right="299" w:bottom="1440" w:gutter="0" w:footer="0" w:header="0"/>
          <w:type w:val="continuous"/>
        </w:sectPr>
      </w:pPr>
    </w:p>
    <w:p>
      <w:pPr>
        <w:spacing w:after="0" w:line="156" w:lineRule="exact"/>
        <w:rPr>
          <w:sz w:val="24"/>
          <w:szCs w:val="24"/>
          <w:color w:val="auto"/>
        </w:rPr>
      </w:pPr>
    </w:p>
    <w:p>
      <w:pPr>
        <w:ind w:left="40" w:right="60"/>
        <w:spacing w:after="0" w:line="258"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On May 9, 2018, Euronet Worldwide, Inc. had 51,280,843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535" w:right="2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I—FINANCIAL INFORMATION</w:t>
              </w:r>
            </w:hyperlink>
          </w:p>
        </w:tc>
        <w:tc>
          <w:tcPr>
            <w:tcW w:w="7780" w:type="dxa"/>
            <w:vAlign w:val="bottom"/>
            <w:gridSpan w:val="9"/>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as of March 31, 2018 and December 31, 2017</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for the Three Months Ended March 31, 2018 and 2017</w:t>
              </w:r>
            </w:hyperlink>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Comprehensive Income for the Three Months Ended March 31, 2018 and 2017</w:t>
              </w:r>
            </w:hyperlink>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40" w:type="dxa"/>
            <w:vAlign w:val="bottom"/>
            <w:gridSpan w:val="14"/>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Cash Flows for the Three Months Ended March 31, 2018 and 2017</w:t>
              </w:r>
            </w:hyperlink>
          </w:p>
        </w:tc>
        <w:tc>
          <w:tcPr>
            <w:tcW w:w="268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160" w:type="dxa"/>
            <w:vAlign w:val="bottom"/>
            <w:gridSpan w:val="13"/>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the Unaudited Consolidated Financial Statements</w:t>
              </w:r>
            </w:hyperlink>
          </w:p>
        </w:tc>
        <w:tc>
          <w:tcPr>
            <w:tcW w:w="3460" w:type="dxa"/>
            <w:vAlign w:val="bottom"/>
            <w:gridSpan w:val="2"/>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20">
              <w:r>
                <w:rPr>
                  <w:rFonts w:ascii="Arial" w:cs="Arial" w:eastAsia="Arial" w:hAnsi="Arial"/>
                  <w:sz w:val="16"/>
                  <w:szCs w:val="16"/>
                  <w:color w:val="0000EE"/>
                  <w:w w:val="91"/>
                </w:rPr>
                <w:t>Management's Discussion and Analysis of Financial Condition and Results of Operations</w:t>
              </w:r>
            </w:hyperlink>
          </w:p>
        </w:tc>
        <w:tc>
          <w:tcPr>
            <w:tcW w:w="3820" w:type="dxa"/>
            <w:vAlign w:val="bottom"/>
            <w:gridSpan w:val="4"/>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20">
              <w:r>
                <w:rPr>
                  <w:rFonts w:ascii="Arial" w:cs="Arial" w:eastAsia="Arial" w:hAnsi="Arial"/>
                  <w:sz w:val="17"/>
                  <w:szCs w:val="17"/>
                  <w:color w:val="0000EE"/>
                </w:rPr>
                <w:t>20</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3.</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w w:val="92"/>
              </w:rPr>
            </w:pPr>
            <w:hyperlink w:anchor="page37">
              <w:r>
                <w:rPr>
                  <w:rFonts w:ascii="Arial" w:cs="Arial" w:eastAsia="Arial" w:hAnsi="Arial"/>
                  <w:sz w:val="16"/>
                  <w:szCs w:val="16"/>
                  <w:color w:val="0000EE"/>
                  <w:w w:val="92"/>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4"/>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Controls and Procedures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PART II—OTHER INFORMATION</w:t>
              </w:r>
            </w:hyperlink>
          </w:p>
        </w:tc>
        <w:tc>
          <w:tcPr>
            <w:tcW w:w="80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Legal Proceedings</w:t>
              </w:r>
            </w:hyperlink>
          </w:p>
        </w:tc>
        <w:tc>
          <w:tcPr>
            <w:tcW w:w="8420" w:type="dxa"/>
            <w:vAlign w:val="bottom"/>
            <w:gridSpan w:val="11"/>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62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Exhibits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6"/>
                <w:szCs w:val="16"/>
                <w:color w:val="0000EE"/>
                <w:w w:val="86"/>
              </w:rPr>
            </w:pPr>
            <w:hyperlink w:anchor="page42">
              <w:r>
                <w:rPr>
                  <w:rFonts w:ascii="Arial" w:cs="Arial" w:eastAsia="Arial" w:hAnsi="Arial"/>
                  <w:sz w:val="16"/>
                  <w:szCs w:val="16"/>
                  <w:color w:val="0000EE"/>
                  <w:w w:val="86"/>
                </w:rPr>
                <w:t>Signatures</w:t>
              </w:r>
            </w:hyperlink>
          </w:p>
        </w:tc>
        <w:tc>
          <w:tcPr>
            <w:tcW w:w="8940" w:type="dxa"/>
            <w:vAlign w:val="bottom"/>
            <w:gridSpan w:val="13"/>
          </w:tcPr>
          <w:p>
            <w:pPr>
              <w:spacing w:after="0"/>
              <w:rPr>
                <w:sz w:val="24"/>
                <w:szCs w:val="24"/>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2">
              <w:r>
                <w:rPr>
                  <w:rFonts w:ascii="Arial" w:cs="Arial" w:eastAsia="Arial" w:hAnsi="Arial"/>
                  <w:sz w:val="17"/>
                  <w:szCs w:val="17"/>
                  <w:color w:val="0000EE"/>
                </w:rPr>
                <w:t>42</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4"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885,646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819,144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63,842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81,374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Trade accounts receivable, net of allowances for doubtful accounts of $23,637 at March 31, 2018 and $20,958 at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December 31, 2017</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707,242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744,879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213,212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244,789</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1,869,942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1,890,186</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0"/>
              </w:rPr>
              <w:t>Property and equipment, net of accumulated depreciation of $357,181 at March 31, 2018 and $340,128 at December 31,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280,606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268,303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717,386</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2"/>
              </w:rPr>
              <w:t>Acquired intangible assets, net of accumulated amortization of $187,761 at March 31, 2018 and $179,142 at December</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31, 2017</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148,057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150,543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Other assets, net of accumulated amortization of $46,381 at March 31, 2018 and $44,469 at December 31, 2017</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115,314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113,611</w:t>
            </w:r>
          </w:p>
        </w:tc>
      </w:tr>
      <w:tr>
        <w:trPr>
          <w:trHeight w:val="297"/>
        </w:trPr>
        <w:tc>
          <w:tcPr>
            <w:tcW w:w="88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3,157,375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3,140,029</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494,841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744,369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759,789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46,972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41,288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54,437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55,413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51,996</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1,318,322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1,407,720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573,594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404,012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59,871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54,969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64,097</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2,028,343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1,940,551</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9"/>
              </w:rPr>
              <w:t>Common Stock, $0.02 par value. 90,000,000 shares authorized; 59,020,849 issued at March 31, 2018 and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58,892,744 issued at December 31, 2017</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1,078,502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1,072,005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w w:val="99"/>
              </w:rPr>
              <w:t>Treasury stock, at cost, 7,515,228 shares at March 31, 2018 and 6,084,586 shares at December 31, 2017</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(217,161)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436,954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(94,458)</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1,128,087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1,198,518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960</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1,129,032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1,199,478</w:t>
            </w:r>
          </w:p>
        </w:tc>
      </w:tr>
      <w:tr>
        <w:trPr>
          <w:trHeight w:val="25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3,157,375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3,140,029</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58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58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65"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473,380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296,607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85,706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71,863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41,987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26,002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21,637</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505,043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432,094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45,472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41,286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1,170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Loss from unconsolidated affiliates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exchange gain,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gains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40,011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37,040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(8,971)</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26,344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28,069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97"/>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26,413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28,123</w:t>
            </w:r>
          </w:p>
        </w:tc>
      </w:tr>
      <w:tr>
        <w:trPr>
          <w:trHeight w:val="257"/>
        </w:trPr>
        <w:tc>
          <w:tcPr>
            <w:tcW w:w="8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r>
      <w:tr>
        <w:trPr>
          <w:trHeight w:val="20"/>
        </w:trPr>
        <w:tc>
          <w:tcPr>
            <w:tcW w:w="28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2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61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0.51</w:t>
            </w:r>
          </w:p>
        </w:tc>
      </w:tr>
      <w:tr>
        <w:trPr>
          <w:trHeight w:val="203"/>
        </w:trPr>
        <w:tc>
          <w:tcPr>
            <w:tcW w:w="2860" w:type="dxa"/>
            <w:vAlign w:val="bottom"/>
            <w:tcBorders>
              <w:top w:val="single" w:sz="8" w:color="CCEEFF"/>
            </w:tcBorders>
            <w:shd w:val="clear" w:color="auto" w:fill="CCEEFF"/>
          </w:tcPr>
          <w:p>
            <w:pPr>
              <w:spacing w:after="0"/>
              <w:rPr>
                <w:sz w:val="17"/>
                <w:szCs w:val="17"/>
                <w:color w:val="auto"/>
              </w:rPr>
            </w:pPr>
          </w:p>
        </w:tc>
        <w:tc>
          <w:tcPr>
            <w:tcW w:w="5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w w:val="90"/>
              </w:rPr>
              <w:t>Weighted average shares outstanding:</w:t>
            </w: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51,899,282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52,345,944</w:t>
            </w:r>
          </w:p>
        </w:tc>
      </w:tr>
      <w:tr>
        <w:trPr>
          <w:trHeight w:val="20"/>
        </w:trPr>
        <w:tc>
          <w:tcPr>
            <w:tcW w:w="28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2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59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53,953,246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54,921,779</w:t>
            </w:r>
          </w:p>
        </w:tc>
      </w:tr>
      <w:tr>
        <w:trPr>
          <w:trHeight w:val="20"/>
        </w:trPr>
        <w:tc>
          <w:tcPr>
            <w:tcW w:w="28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2860" w:type="dxa"/>
            <w:vAlign w:val="bottom"/>
          </w:tcPr>
          <w:p>
            <w:pPr>
              <w:spacing w:after="0"/>
              <w:rPr>
                <w:sz w:val="24"/>
                <w:szCs w:val="24"/>
                <w:color w:val="auto"/>
              </w:rPr>
            </w:pPr>
          </w:p>
        </w:tc>
        <w:tc>
          <w:tcPr>
            <w:tcW w:w="6160" w:type="dxa"/>
            <w:vAlign w:val="bottom"/>
            <w:gridSpan w:val="2"/>
          </w:tcPr>
          <w:p>
            <w:pPr>
              <w:jc w:val="center"/>
              <w:ind w:right="37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2860" w:type="dxa"/>
            <w:vAlign w:val="bottom"/>
          </w:tcPr>
          <w:p>
            <w:pPr>
              <w:spacing w:after="0"/>
              <w:rPr>
                <w:sz w:val="24"/>
                <w:szCs w:val="24"/>
                <w:color w:val="auto"/>
              </w:rPr>
            </w:pPr>
          </w:p>
        </w:tc>
        <w:tc>
          <w:tcPr>
            <w:tcW w:w="5940" w:type="dxa"/>
            <w:vAlign w:val="bottom"/>
          </w:tcPr>
          <w:p>
            <w:pPr>
              <w:jc w:val="right"/>
              <w:ind w:right="29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5"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28,069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19,420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47,489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Euronet Worldwide,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49,307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47,519</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28,069</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21,637</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3,706</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foreign exchange gain,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922</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3,317</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working capital, net of amounts acquired: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140,012</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62,147</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(144,333)</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1,924</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(45,441)</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Changes in noncurrent assets and liabilities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656</w:t>
            </w:r>
          </w:p>
        </w:tc>
      </w:tr>
      <w:tr>
        <w:trPr>
          <w:trHeight w:val="27"/>
        </w:trPr>
        <w:tc>
          <w:tcPr>
            <w:tcW w:w="8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70,803</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(22,659)</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other long-term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8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(23,913)</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shares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2,084</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Repurchase of shares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(126,577)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(2,188)</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Borrowings from revolving credit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1,010,643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342,113</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Repayments of revolving credit agreements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(841,786)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(342,900)</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long-term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Repayments of capital lease obligations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Borrowings from (repayments of) short-term debt obligations,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8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(6,361)</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10,962</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cash and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51,491</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900,518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812,088</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87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97"/>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949,488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863,579</w:t>
            </w:r>
          </w:p>
        </w:tc>
      </w:tr>
      <w:tr>
        <w:trPr>
          <w:trHeight w:val="217"/>
        </w:trPr>
        <w:tc>
          <w:tcPr>
            <w:tcW w:w="8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paid during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6,387</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Income taxes paid during the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5,825</w:t>
            </w:r>
          </w:p>
        </w:tc>
      </w:tr>
      <w:tr>
        <w:trPr>
          <w:trHeight w:val="243"/>
        </w:trPr>
        <w:tc>
          <w:tcPr>
            <w:tcW w:w="8780" w:type="dxa"/>
            <w:vAlign w:val="bottom"/>
          </w:tcPr>
          <w:p>
            <w:pPr>
              <w:ind w:left="296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2017, including the notes thereto, set forth in the Company’s 2017 Annual Report on Form 10-K. Certain amounts in prior years have been reclassified to conform to the current year's presentation.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Euronet’s EFT Processing Segment experiences its heaviest demand for dynamic currency conversion ("DCC") services during the third quarter of the fiscal year, coinciding with the tourism season. Additionally, the EFT Processing and epay Segments are impacted by seasonality during the fourth quarter and the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(“Topic 606”), and subsequently modified the standard with several ASUs. The Company adopted the standard on January 1, 2018</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historic accounting under Topic 605.</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completed its review of customer contracts relative to the requirements of Topic 606 and concluded that revenues from certain customer contracts in the epay Segment should be recorded differently under the principal versus agent guidance of Topic 606. With respect to those contracts, the Company concluded that it earns a commission from content providers for distributing and processing their prepaid mobile airtime and other electronic payment products, but it is not the principal for the products themselves. As a result, the impact of the change in accounting principle was a $22.6 million reduction in both revenues and direct operating expenses for the three months ended March 31, 2018.</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new standard requires the deferral of incremental costs to obtain customer contracts, known as contract assets, which are then amortized to expense as part of selling, general and administrative expense over the respective periods of expected benefit. The Company completed its review of such costs and concluded that a transition adjustment was not necessary related to contract assets. However, the Company has implemented processes and controls to record such costs on an ongoing basis and will disclose them if they become material.</w:t>
      </w:r>
    </w:p>
    <w:p>
      <w:pPr>
        <w:spacing w:after="0" w:line="19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records deferred revenues when cash payments are received or due in advance of its performance. The increase in the deferred revenue balance for the three months ended March 31, 2018 is primarily driven by $17.6 million of cash payments received or due in advance of satisfying the performance obligations, offset by $15.2 million of revenues recognized that were included in the deferred revenue balance as of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Within the EFT segment, outsourcing services area generally billed on the basis of a fixed fee per ATM, plus a transaction-based fee. Transaction-based fees are recognized at the time the transactions are processed and outsourcing management fees are recognized ratably over the contract period. These fees can be variable based on transaction volume tiered discounts; however, as all tiered discounts are calculated monthly, the actual discount is recorded on a monthly basis. In addition, the epay segment generates commissions from the distribution of electronic content. It is common for these long-term contracts to contain award fees, incentive fees, or other provisions that can either increase or decrease the transaction price. These variable amounts generally are awarded upon achievement of certain performance metrics or program milestones and can be based upon customer discretion.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Transaction fees, as well as any tiered volume discounts or incentive fees, are calculated and billed monthly in accordance with the terms established in the contract. The Company estimates variable consideration at the most likely amount to which it expects to be entitled. The Company includes estimated amounts in the transaction price to the extent it is probable that a significant reversal of cumulative revenue recognized will not occur when the uncertainly associated with the variable consideration is resolved. Estimates of variable consideration and determination of whether to include estimated amounts in the transaction price are based largely on as assessment of Euronet's anticipated performance and all information (historical, current and forecast) that is reasonably available.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Multiple Performance Obligations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Company's most significant revenues are generated from transaction fees for which there are no remaining performance obligations left to fulfill after revenue is recognized. An insignificant amount of revenues are generated from contracts with customers which may include multiple performance obligations. For such arrangements, Euronet allocates revenues to each performance obligation based on its relative standalone selling price.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are recognized when control of the promised goods or services is transferred to Euronet's customers, in an amount that reflects the consideration it expects to be entitled to in exchange for goods or services.</w:t>
      </w:r>
    </w:p>
    <w:p>
      <w:pPr>
        <w:spacing w:after="0" w:line="18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w w:val="94"/>
              </w:rPr>
              <w:t>For the Three Months Ended March 31, 2018</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EFT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Money</w:t>
            </w:r>
          </w:p>
        </w:tc>
        <w:tc>
          <w:tcPr>
            <w:tcW w:w="260" w:type="dxa"/>
            <w:vAlign w:val="bottom"/>
          </w:tcPr>
          <w:p>
            <w:pPr>
              <w:spacing w:after="0"/>
              <w:rPr>
                <w:sz w:val="13"/>
                <w:szCs w:val="13"/>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128,984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178,051</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Europe</w:t>
            </w:r>
          </w:p>
        </w:tc>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113,451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73,958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287,496</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77,188</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4,890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8,650</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135,704</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176,845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238,836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551,385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670"/>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4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w w:val="94"/>
              </w:rPr>
              <w:t>For the Three Months Ended March 31, 2017</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EFT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Money</w:t>
            </w:r>
          </w:p>
        </w:tc>
        <w:tc>
          <w:tcPr>
            <w:tcW w:w="260" w:type="dxa"/>
            <w:vAlign w:val="bottom"/>
          </w:tcPr>
          <w:p>
            <w:pPr>
              <w:spacing w:after="0"/>
              <w:rPr>
                <w:sz w:val="13"/>
                <w:szCs w:val="13"/>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5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121,548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145,917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119,834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55,723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251,452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70,179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105,752</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164,170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203,973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473,895</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3"/>
          <w:szCs w:val="13"/>
          <w:color w:val="auto"/>
        </w:rPr>
        <w:t>As noted above, prior period amounts have not been adjusted under the modified retrospective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-93980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March 2016, the FASB issued ASU 2016-04, Recognition of Breakage for Certain Prepaid Stored-Value Products. The new standard specifies that liabilities within its scope are considered to be financial liabilities, and amends the guidance in ASC 405-20, Extinguishments of Liabilities, by directing entities to derecognize prepaid stored-value product liabilities based on expected breakage in proportion to the pattern of rights expected to be exercised by the consumer. Derecognition for breakage is permitted only to the extent that it is probable that a significant reversal of recognized breakage will not subsequently occur. The new standard is consistent with the breakage guidance in Topic 606. The ASU is effective for annual periods beginning after December 15, 2017, and is applied either using a modified retrospective transition method or retrospectively. Early adoption is permitted. The Company adopted this ASU as of January 1, 2018 along with Topic 606. The adoption of this standard did not have a significant impact on the Company's consolidated financial statements and related disclosures.</w:t>
      </w:r>
    </w:p>
    <w:p>
      <w:pPr>
        <w:spacing w:after="0" w:line="19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August 2016, the FASB issued an accounting standard classified under FASB ASC Topic 230, “Statement of Cash Flows”. This accounting standard provides guidance on eight specific cash flow issues. Subsequently, the FASB issued amendments to this accounting standard that required companies to include restricted cash and restricted cash equivalents with cash and cash equivalents when reconciling the statement of cash flows. The amendments were effective for fiscal years beginning after December 15, 2017, and interim periods within those fiscal years.</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adopted these standards as of January 1, 2018. The adoption of these accounting standards resulted in an increase in net cash provided by operating activities of $20.0 million for the three months ended March 31, 2017. As of March 31, 2018, the Company had $63.8 million of restricted cash consisting of restricted cash held in trust and/or cash held on behalf of others and cash collateral on bank credit arrangements. 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which clarifies the changes to terms or conditions of a share-based payment award that require an entity to apply modification accounting. The amendments of this ASU are effective for annual reporting periods, and interim periods therein, beginning after December 15, 2017 and prospective application is required. The Company adopted ASU 2017-09 as of January 1, 2018 and the adoption did not have a significant impact on its consolidated financial statements.</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will update the existing guidance on accounting for leases and require new qualitative and quantitative disclosures about the Company’s leasing activities.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 The new standard is effective for annual periods beginning after December 15, 2018 and interim periods within those annual periods, with early adoption permitted. In transition, lessees and lessors are required to recognize and measure leases at the beginning of the earliest period presented using a modified retrospective approach. The modified retrospective approach includes a number of optional practical expedients that the Company may elect to apply. The Company is currently evaluating the expected impact of the adoption of this standard on its consolidated financial statements and related disclosures.</w:t>
      </w:r>
    </w:p>
    <w:p>
      <w:pPr>
        <w:spacing w:after="0" w:line="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June 2016, the FASB issued ASU 2016-13, Financial Instruments - 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Company is currently in the process of evaluating the effect of the adoption of ASU 2016-13 on its consolidated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periods. Diluted earnings per share has been computed by dividing earnings available to common stockholders by the weighted average shares outstanding during the respective period, after adjusting for any potential dilution from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42"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51,899,282</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52,345,944</w:t>
            </w: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Incremental shares from assumed exercise of stock options and vesting of restricted stock</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1,578,071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1,706,342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notes</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475,893</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869,493</w:t>
            </w:r>
          </w:p>
        </w:tc>
      </w:tr>
      <w:tr>
        <w:trPr>
          <w:trHeight w:val="27"/>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53,953,246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54,921,779</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table includes the impact of all stock options and restricted stock that are dilutive to the Company’s weighted average common shares outstanding during the three months ended March 31, 2018 and 2017. The calculation of diluted earnings per share excludes stock options or shares of restricted stock that are anti-dilutive to the Company’s weighted average common shares outstanding of approximately 1,151,000 and 969,000 for the three months ended March 31, 2018 and 2017, respectively.</w:t>
      </w:r>
    </w:p>
    <w:p>
      <w:pPr>
        <w:spacing w:after="0" w:line="7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Company's convertible notes have settlement features requiring the Company upon conversion to settle the principal amount of the debt and the conversion value in excess of the principal value ("conversion premium") for cash or shares of the Company's common stock or a combination thereof, at the Company's option. At issuance, the Company stated its intent to settle any conversion of these notes by paying cash for the principal value and issuing common stock for any conversion premium. Accordingly, the convertible notes are included in the calculation of diluted earnings per share if their inclusion is dilutive. The convertible notes would only have a dilutive effect if the market price per share of common stock exceeds the conversion price of $72.18 per share and the dilutive effect increases the more the market price exceeds the conversion price. As of March 31, 2018 and 2017, the stock price exceeded the conversion price and these notes were dilutive to earnings per share. Further, as a result of the share price decreasing from $85.52 at March 31, 2017 to $78.92 at March 31, 2018, there was a decrease in shares from the assumed conversion of convertible notes.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Company's Board of Directors has authorized a stock repurchase program ("Repurchase Program") allowing Euronet to repurchase up to $375 million in value or 10.0 million shares of stock through March 31, 2020. Repurchases under the Repurchase Program may take place in the open market or in privately negotiated transactions, including derivative transactions, and may be made under a Rule 10b5-1 plan. For the three months ended March 31, 2018, the Company repurchased $125.0 million in value of Euronet common stock under the Repurchase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90"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Accumulated other comprehensive loss consists entirely of foreign currency translation adjustments. The Company recorded foreign currency translation gains of $22.9 million and $19.4 million for the three months ended March 31, 2018 and 2017, respectively. There were no reclassifications of foreign currency translation into the consolidated statements of income for the three months ended March 31, 2018 and 2017.</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 months ended March 31, 2018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867,929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15,229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 and impairment)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14,196</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March 31, 2018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148,057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743,456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891,513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March 31, 2018, is expected to total $17.6 million for the remainder of 2018, $22.5 million for 2019, $21.7 million for 2020, $20.7 million for 2021, $19.6 million for 2022 and $14.5 million for 2023.</w:t>
      </w:r>
    </w:p>
    <w:p>
      <w:pPr>
        <w:spacing w:after="0" w:line="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March 2018, the Company completed the acquisition of a small European business for an immaterial amount of cash consideration. The acquisition has been accounted for as a business combination in accordance with U.S. GAAP and the results of operations have been included from the date of acquisition in the EFT Processing Segment.</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2017 resulted in impairment charges of $31.8 million.</w:t>
      </w:r>
    </w:p>
    <w:p>
      <w:pPr>
        <w:spacing w:after="0" w:line="6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2017 annual impairment test could change, which may result in the Company recording material non-cash impairment charges during the year in which these changes take place.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w w:val="85"/>
              </w:rPr>
              <w:t>As of</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March 31,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253,627</w:t>
            </w:r>
          </w:p>
        </w:tc>
        <w:tc>
          <w:tcPr>
            <w:tcW w:w="5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301,390</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Money transfer settlement obligations</w:t>
            </w:r>
          </w:p>
        </w:tc>
        <w:tc>
          <w:tcPr>
            <w:tcW w:w="3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328,962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343,613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92,291</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744,369</w:t>
            </w:r>
          </w:p>
        </w:tc>
        <w:tc>
          <w:tcPr>
            <w:tcW w:w="5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759,789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2018</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Term loan, due 2019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48,750</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51,094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agreements, due 2019</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171,804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37"/>
        </w:trPr>
        <w:tc>
          <w:tcPr>
            <w:tcW w:w="88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220,554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54,094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372,090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369,259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33,097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27,763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debt obligations</w:t>
            </w: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625,741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451,116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620,566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445,300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(41,288)</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573,594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404,012</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March 31, 2018, the Company had a $675 million senior secured credit facility (the "Credit Facility") consisting of a $600 million revolving credit facility and a $75 million term loan ("Term Loan A"), which had been reduced to $48.8 million through principal amortization payments. The Credit Facility expires April 9, 2019.</w:t>
      </w:r>
    </w:p>
    <w:p>
      <w:pPr>
        <w:spacing w:after="0" w:line="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Interest on borrowings under the revolving credit facility and Term Loan A varies based upon the Company's consolidated total leverage ratio, as defined in the Company's credit agreement, and is based on a margin over the London Inter-Bank Offered Rate (“LIBOR”)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3.14% and 3.25%, respectively, as of March 31,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Convertible Senior Notes (“Convertible Notes”) had a principal amount outstanding of $402.5 million as of March 31, 2018. The Convertible Notes mature in October 2044 unless repurchased or converted prior to such date, and are convertible into shares of Euronet Common Stock at a conversion price of approximately $72.18 per share. Holders of the Convertible Notes have the option to require the Company to purchase their notes at par on October 1, 2020, and have additional options to require the Company to purchase their notes at par on October 1, 2024, 2029, 2034, and 2039, or upon a change in control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Holders may convert all or any portion of their Convertible Notes at their option at any time prior to October 1, 2044 only under the following circumstances:</w:t>
      </w:r>
    </w:p>
    <w:p>
      <w:pPr>
        <w:spacing w:after="0" w:line="46" w:lineRule="exact"/>
        <w:rPr>
          <w:sz w:val="20"/>
          <w:szCs w:val="20"/>
          <w:color w:val="auto"/>
        </w:rPr>
      </w:pPr>
    </w:p>
    <w:p>
      <w:pPr>
        <w:ind w:right="80" w:firstLine="8"/>
        <w:spacing w:after="0" w:line="269"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any calendar quarter (and only during such calendar quarter), if the closing sale price of the common stock for at least 20 trading days (whether or not consecutive) during a period of 30 consecutive trading days ending on the last trading day of the immediately preceding calendar quarter is greater than 130% of the conversion price on each applicable trading day; (2) during the five consecutive business day period after any ten consecutive trading day period (the measurement period) in which the trading price for the Convertible Notes for each trading day of the measurement period was less than 98% of the product of the closing sale price of the Company's common stock and the conversion rate on each such trading day; or (3) upon the occurrence of specified corporate events. If the holders exercise their option to convert, the Company is required to deliver cash or shares of the Company's common stock, at the Company's option, to satisfy the principal amount and the conversion premium.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None of the above conversion conditions are currently in effect.</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Contractual interest expense for the Convertible Notes was $1.5 million for the three months ended March 31, 2018 and 2017, respectively. Accretion expense was $2.8 million and $2.7 million for the three months ended March 31, 2018 and 2017,</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respectively. The effective interest rate was 4.7% for the three months ended March 31, 2018. As of March 31, 2018, the unamortized discount was $30.4 million, and will be amortized through October 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Topic 815")</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either the relatively short duration of the contract term or the effects of fluctuations in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rates being reflected concurrently in earnings for both the derivative instrument and the transaction and having an offsetting effect.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United States, the Company's Ria operations use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March 31, 2018, the Company held in its Ria operations foreign currency forward contracts outstanding in the U.S. with a notional value of $301 million, primarily in Australian dollars, Canadian dollars, British pounds, euros and Mexican pesos.</w:t>
      </w:r>
    </w:p>
    <w:p>
      <w:pPr>
        <w:spacing w:after="0" w:line="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 foreign exchange rate fluctuations on certain foreign currency denominated other asset and liability positions. As of March 31, 2018, the Company had foreign currency forward contracts outstanding with a notional value of $132 million, primarily in British pounds, euros and Polish zloty.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may hedge some or all of the resulting net currency risks by entering into offsetting contracts with established financial institution counterparties. Foreign exchange revenues from HiFX's total portfolio of positions were $18.7 million and $15.7 million for the three months ended March 31, 2018 and 2017, respectively. All of the derivative contracts used in the Company's HiFX operations are economic hedges and are not designated as hedges under ASC Topic 815</w:t>
      </w:r>
      <w:r>
        <w:rPr>
          <w:rFonts w:ascii="Arial" w:cs="Arial" w:eastAsia="Arial" w:hAnsi="Arial"/>
          <w:sz w:val="16"/>
          <w:szCs w:val="16"/>
          <w:i w:val="1"/>
          <w:iCs w:val="1"/>
          <w:color w:val="auto"/>
        </w:rPr>
        <w:t>.</w:t>
      </w:r>
      <w:r>
        <w:rPr>
          <w:rFonts w:ascii="Arial" w:cs="Arial" w:eastAsia="Arial" w:hAnsi="Arial"/>
          <w:sz w:val="16"/>
          <w:szCs w:val="16"/>
          <w:color w:val="auto"/>
        </w:rPr>
        <w:t xml:space="preserve"> The duration of these derivative contracts is generally less than one year.</w:t>
      </w:r>
    </w:p>
    <w:p>
      <w:pPr>
        <w:spacing w:after="0" w:line="5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6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HiFX operations as of March 31, 2018 was approximately $1.3 billion. The majority of customer contracts are written in major currencies such as the U.S. dollar, euro, New Zealand dollar, British pound, and Australian dollar.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Asset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1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760" w:type="dxa"/>
            <w:vAlign w:val="bottom"/>
            <w:gridSpan w:val="3"/>
          </w:tcPr>
          <w:p>
            <w:pPr>
              <w:jc w:val="right"/>
              <w:ind w:right="1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40,105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36,574</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March 31, 2018 and December 31, 2017 (in thousands):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March 31, 2018</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40,105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16,739</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36,574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36,574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13,921</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March 31,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15,816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15,050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summarize the location and amount of gains and losses on derivatives in the Consolidated Statements of Income for the three months ended March 31, 2018 and 2017:</w:t>
      </w:r>
    </w:p>
    <w:p>
      <w:pPr>
        <w:spacing w:after="0" w:line="10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Amount of Gain (Loss) Recognized in</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Income on Derivative Contracts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199"/>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Location of Gain (Loss) Recognized in Income on Derivative</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4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shd w:val="clear" w:color="auto" w:fill="CCEEFF"/>
          </w:tcPr>
          <w:p>
            <w:pPr>
              <w:spacing w:after="0"/>
              <w:rPr>
                <w:sz w:val="21"/>
                <w:szCs w:val="21"/>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5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As of March 31, 2018</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40,105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40,105</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(23,424)</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 December 31, 2017</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36,574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36,574</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r>
      <w:tr>
        <w:trPr>
          <w:trHeight w:val="675"/>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ind w:left="19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March 31, 2018 and December 31, 2017, the fair values of the Convertible Notes were $495.1 million and $503.7 million, respectively, with carrying values of $372.1 million and $369.3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hanging="648"/>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680" w:hanging="648"/>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60" w:hanging="648"/>
        <w:spacing w:after="0" w:line="25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8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months ended March 31, 2018 and 2017:</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5"/>
              </w:rPr>
              <w:t>For the Three Months Ended March 31, 2018</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135,704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176,845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238,836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550,515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134,922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343,324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17,005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14,417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47,357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6,927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85,706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50,011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16,200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26,002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124,157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159,950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212,382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505,043</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11,547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16,895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26,454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45,472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5"/>
              </w:rPr>
              <w:t>For the Three Months Ended March 31, 2017</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105,752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164,170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203,973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473,380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126,160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296,607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12,595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38,889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71,863</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11,785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21,637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94,790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150,248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177,878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432,094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10,962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13,922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26,095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41,286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2"/>
              </w:rPr>
              <w:t>Property and Equipment, net as of</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196,451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1,224,959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1,040,135</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28,135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624,573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695,990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1,301,563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1,255,765</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148,139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280,606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268,303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3,157,375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3,140,029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The Company's effective income tax rate was 34.2% and 24.2% for the three months ended </w:t>
      </w:r>
      <w:r>
        <w:rPr>
          <w:rFonts w:ascii="Arial" w:cs="Arial" w:eastAsia="Arial" w:hAnsi="Arial"/>
          <w:sz w:val="16"/>
          <w:szCs w:val="16"/>
          <w:color w:val="252525"/>
        </w:rPr>
        <w:t>March 31, 2018</w:t>
      </w:r>
      <w:r>
        <w:rPr>
          <w:rFonts w:ascii="Arial" w:cs="Arial" w:eastAsia="Arial" w:hAnsi="Arial"/>
          <w:sz w:val="16"/>
          <w:szCs w:val="16"/>
          <w:color w:val="auto"/>
        </w:rPr>
        <w:t xml:space="preserve"> and 2017, respectively. The Company's effective income tax rate for the three months ended March 31, 2017 was less than the applicable statutory rate of 35% primarily as a result of the Company's U.S. tax position. The Company had significant U.S. federal tax net operating loss carryforwards with no recent history of significant U.S. taxable income; therefore, the Company had recorded a valuation allowance against its net U.S. deferred tax assets. Accordingly, in instances when the Company generated pre-tax U.S. GAAP income, no income tax expense was recognized to the extent there were net operating loss carryforwards to offset the pre-tax U.S. GAAP income.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effective income tax rate for the three months ended March 31, 2018 was higher than the applicable statutory income tax rate of 21% as a result of the enactment into law what is commonly known as the Tax Cuts and Jobs Act of 2017 (the "Act") and the Act's impact on the Company's U.S. income tax positions at the end of 2017. The most significant provisions of the Act are the transition tax on previously undistributed foreign earnings of foreign subsidiaries, the reduction in the U.S. corporate statutory income tax rate from 35% to 21% beginning on January 1, 2018, and new taxes on certain foreign sourced earnings. As stated above, the Company had recorded a valuation allowance against its net U.S. deferred tax assets. Upon enactment of the Act, the Company expected to utilize its historic U.S. federal tax net operating losses to partially offset the transition tax and released the associated valuation allowance in the fourth quarter of 2017. This change has created additional U.S. tax expense as the Company now recognizes income tax expense on its pre-tax U.S. GAAP income. In addition, the Act's global intangible low-taxed income ("GILTI") provision has subjected the Company's foreign earnings to additional U.S. tax expense.</w:t>
      </w:r>
    </w:p>
    <w:p>
      <w:pPr>
        <w:spacing w:after="0" w:line="8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SEC staff issued Staff Accounting Bulletin ("SAB") 118, which provides guidance on accounting for the tax effects of the Act. SAB 118 provides a measurement period of up to one year from the Act's enactment date for companies to complete their accounting. In accordance with SAB 118, we provided provisional amounts where appropriate which we believe represent a reasonable estimate based on available information and our interpretations of the Act. Further, the Company is allowed to either recognize deferred taxes for temporary differences expected to reverse as GILTI in future years or recognize such taxes as current period expenses when incurred. Due to the complexity of calculating GILTI, we have not determined which method we will apply. We will continue to evaluate the Act and adjust the provisional amounts as additional information becomes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March 31, 2018, the Company had $85.4 million of stand-by letters of credit/bank guarantees issued on its behalf, of which $56.8 million are outstanding under the Credit Facility. The remaining stand-by letters of credit/bank guarantees are collateralized by $4.0 million of cash deposits held by the respective issuing banks.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March 31, 2018, the Company had granted off balance sheet guarantees for cash in various ATM networks amounting to $17.5 million over the terms of the cash supply agreements and performance guarantees amounting to approximately $21.8 million over the terms of agreements with the customers.</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Once each of Euronet's subsidiaries reaches a certain size, it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63" w:lineRule="exact"/>
        <w:rPr>
          <w:sz w:val="20"/>
          <w:szCs w:val="20"/>
          <w:color w:val="auto"/>
        </w:rPr>
      </w:pPr>
    </w:p>
    <w:p>
      <w:pPr>
        <w:ind w:left="580" w:right="20" w:hanging="329"/>
        <w:spacing w:after="0" w:line="25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March 31, 2018, the balance of cash used in the Company's ATM networks for which the Company was responsible was approximately $422 million. The Company maintains insurance policies to mitigate this exposure;</w:t>
      </w:r>
    </w:p>
    <w:p>
      <w:pPr>
        <w:spacing w:after="0" w:line="78" w:lineRule="exact"/>
        <w:rPr>
          <w:rFonts w:ascii="Arial" w:cs="Arial" w:eastAsia="Arial" w:hAnsi="Arial"/>
          <w:sz w:val="18"/>
          <w:szCs w:val="18"/>
          <w:color w:val="auto"/>
        </w:rPr>
      </w:pPr>
    </w:p>
    <w:p>
      <w:pPr>
        <w:ind w:left="580" w:right="80" w:hanging="329"/>
        <w:spacing w:after="0" w:line="25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systems of internal controls and insurance policies to mitigate this exposure;</w:t>
      </w:r>
    </w:p>
    <w:p>
      <w:pPr>
        <w:spacing w:after="0" w:line="78" w:lineRule="exact"/>
        <w:rPr>
          <w:rFonts w:ascii="Arial" w:cs="Arial" w:eastAsia="Arial" w:hAnsi="Arial"/>
          <w:sz w:val="18"/>
          <w:szCs w:val="18"/>
          <w:color w:val="auto"/>
        </w:rPr>
      </w:pPr>
    </w:p>
    <w:p>
      <w:pPr>
        <w:ind w:left="580" w:right="14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580" w:right="10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80" w:right="60" w:hanging="329"/>
        <w:spacing w:after="0" w:line="293"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580" w:right="420" w:hanging="329"/>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March 31, 2018 or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Brexit vote and economic conditions in specific countries and regions; the effects of demonetization in India;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consumer and data protection requirements, and GDPR and PSD2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and those factors referred to above and as set forth and more fully described in Part I, Item 1A — Risk Factors of our Annual Report on Form 10-K for the year ended December 31, 2017 and in Part II, Item 1A-Risk Factors in this Form 10-Q. Our Annual Report on Form 10-K and Quarterly Reports on Form 10-Q are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46" w:lineRule="exact"/>
        <w:rPr>
          <w:sz w:val="20"/>
          <w:szCs w:val="20"/>
          <w:color w:val="auto"/>
        </w:rPr>
      </w:pPr>
    </w:p>
    <w:p>
      <w:pPr>
        <w:ind w:left="980" w:right="260" w:hanging="648"/>
        <w:spacing w:after="0" w:line="27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38,358 ATMs and approximately 263,000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689,000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hanging="648"/>
        <w:spacing w:after="0" w:line="270"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Europe and Malaysia) and Ria branded websites (riamoneytransfer.com and imeremit.com), disbursing money transfers through a worldwide correspondent network that includes approximately 350,000 locations. xe is a provider of foreign currency exchange information and offers money transfer services on its currency data websites (xe.com and x-rates.com). We offer services under the brand name HiFX through HiFX branded websites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HiFM brand, we offer cash management solutions and foreign currency risk management services to small-to-medium sized businesses.</w:t>
      </w:r>
    </w:p>
    <w:p>
      <w:pPr>
        <w:spacing w:after="0" w:line="70" w:lineRule="exact"/>
        <w:rPr>
          <w:sz w:val="20"/>
          <w:szCs w:val="20"/>
          <w:color w:val="auto"/>
        </w:rPr>
      </w:pPr>
    </w:p>
    <w:p>
      <w:pPr>
        <w:ind w:left="60" w:right="80"/>
        <w:spacing w:after="0" w:line="259"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11 in Asia Pacific, nine in North America, three in the Middle East, two in South America and one in Africa. Our executive offices are located in Leawood, Kansas, USA. With approximately 69%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25% of total consolidated revenues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2018,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Revenues in the epay Segment, which represented approximately 32% of total consolidated revenues for the first quarter of 2018, are</w:t>
      </w:r>
      <w:r>
        <w:rPr>
          <w:rFonts w:ascii="Arial" w:cs="Arial" w:eastAsia="Arial" w:hAnsi="Arial"/>
          <w:sz w:val="18"/>
          <w:szCs w:val="18"/>
          <w:i w:val="1"/>
          <w:iCs w:val="1"/>
          <w:color w:val="auto"/>
        </w:rPr>
        <w:t xml:space="preserve"> </w:t>
      </w:r>
      <w:r>
        <w:rPr>
          <w:rFonts w:ascii="Arial" w:cs="Arial" w:eastAsia="Arial" w:hAnsi="Arial"/>
          <w:sz w:val="18"/>
          <w:szCs w:val="18"/>
          <w:color w:val="auto"/>
        </w:rPr>
        <w:t>derived from commissions or processing fees received from mobile phone operators for the processing and distribution of prepaid mobile airtime and commissions earned from the distribution of other electronic payment products, vouchers, and physical gifts. The proportion of epay Segment revenues earned from the distribution of prepaid mobile phone time as compared with other electronic products has decreased over time, and non-mobile content now produces approximately 66% of epay Segment revenues. Other electronic payment products offered by this segment include digital content such as music, games and software, as well as other products, including prepaid long distance calling card plans, prepaid Internet plans, prepaid debit cards, gift cards, vouchers, transport payments, lottery payments, bill payment, and money transfer. Agreements with mobile operators and prepaid content providers are important to the success of our business and these agreements permit us to distribute prepaid mobile airtime and other electronic payment products to retailers.</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Revenues in the Money Transfer Segment, which represented approximately 43% of total consolidated revenues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2018,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xe and HiFX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had an initial term expiring in April 2017, and was renewed for an additional three years until April 2020.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7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340" w:hanging="64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efficiently to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0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use existing expertise and relationships with mobile operators, digital content providers and retailers to our advantage;</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right="34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125"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10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many of the factors that may contribute to rapid growth (growth in electronic payment products, expansion of our network of retailers and access to products of mobile operators and other content providers) remain present.</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the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w:t>
      </w:r>
    </w:p>
    <w:p>
      <w:pPr>
        <w:spacing w:after="0" w:line="3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months ended March 31, 2018 and 2017 are summarized in the tables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5"/>
              </w:rPr>
              <w:t>Revenues for the Three Months Ended March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135,704</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105,752</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29,952</w:t>
            </w: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176,845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164,170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12,675</w:t>
            </w:r>
          </w:p>
        </w:tc>
        <w:tc>
          <w:tcPr>
            <w:tcW w:w="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238,836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203,973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34,863</w:t>
            </w:r>
          </w:p>
        </w:tc>
        <w:tc>
          <w:tcPr>
            <w:tcW w:w="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551,385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473,895</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77,490</w:t>
            </w:r>
          </w:p>
        </w:tc>
        <w:tc>
          <w:tcPr>
            <w:tcW w:w="20" w:type="dxa"/>
            <w:vAlign w:val="bottom"/>
            <w:tcBorders>
              <w:top w:val="single" w:sz="8" w:color="auto"/>
            </w:tcBorders>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550,515</w:t>
            </w:r>
          </w:p>
        </w:tc>
        <w:tc>
          <w:tcPr>
            <w:tcW w:w="22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473,380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77,135</w:t>
            </w:r>
          </w:p>
        </w:tc>
        <w:tc>
          <w:tcPr>
            <w:tcW w:w="20" w:type="dxa"/>
            <w:vAlign w:val="bottom"/>
            <w:tcBorders>
              <w:top w:val="single" w:sz="8" w:color="auto"/>
              <w:bottom w:val="single" w:sz="8" w:color="auto"/>
            </w:tcBorders>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0" w:type="dxa"/>
            <w:vAlign w:val="bottom"/>
            <w:gridSpan w:val="8"/>
          </w:tcPr>
          <w:p>
            <w:pPr>
              <w:ind w:left="20"/>
              <w:spacing w:after="0"/>
              <w:rPr>
                <w:sz w:val="20"/>
                <w:szCs w:val="20"/>
                <w:color w:val="auto"/>
              </w:rPr>
            </w:pPr>
            <w:r>
              <w:rPr>
                <w:rFonts w:ascii="Arial" w:cs="Arial" w:eastAsia="Arial" w:hAnsi="Arial"/>
                <w:sz w:val="14"/>
                <w:szCs w:val="14"/>
                <w:b w:val="1"/>
                <w:bCs w:val="1"/>
                <w:color w:val="auto"/>
                <w:w w:val="94"/>
              </w:rPr>
              <w:t>Operating Income (Expense) for the Three Months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6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vMerge w:val="restart"/>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Ended March 31,</w:t>
            </w:r>
          </w:p>
        </w:tc>
        <w:tc>
          <w:tcPr>
            <w:tcW w:w="9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(Decrease) Percent</w:t>
            </w: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40" w:type="dxa"/>
            <w:vAlign w:val="bottom"/>
            <w:tcBorders>
              <w:bottom w:val="single" w:sz="8" w:color="CCEEFF"/>
            </w:tcBorders>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11,547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10,962</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585</w:t>
            </w: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16,895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13,922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2,973</w:t>
            </w:r>
          </w:p>
        </w:tc>
        <w:tc>
          <w:tcPr>
            <w:tcW w:w="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26,454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26,095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359</w:t>
            </w:r>
          </w:p>
        </w:tc>
        <w:tc>
          <w:tcPr>
            <w:tcW w:w="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54,896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50,979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3,917</w:t>
            </w:r>
          </w:p>
        </w:tc>
        <w:tc>
          <w:tcPr>
            <w:tcW w:w="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8 %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269</w:t>
            </w:r>
          </w:p>
        </w:tc>
        <w:tc>
          <w:tcPr>
            <w:tcW w:w="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62"/>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45,472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41,286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4,186</w:t>
            </w:r>
          </w:p>
        </w:tc>
        <w:tc>
          <w:tcPr>
            <w:tcW w:w="2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1013"/>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125" w:right="5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revenues and local expenses are recorded in the functional currencies of our operating entities and translated into U.S. dollars for financial reporting purposes; therefore, amounts we earn outside the U.S. are negatively impacted by a stronger U.S. dollar and positively impacted by a weaker U.S. dollar. Considering the results by country and the associated functional currency, we estimate that our reported consolidated operating income for the first quarter 2018 was 10% more due to the changes in foreign currency exchange rates when compared to the same period of 2017.</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9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71"/>
        </w:trPr>
        <w:tc>
          <w:tcPr>
            <w:tcW w:w="39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3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0.7580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British pound</w:t>
            </w:r>
          </w:p>
        </w:tc>
        <w:tc>
          <w:tcPr>
            <w:tcW w:w="3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1.3917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1.2390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Hungarian forint</w:t>
            </w:r>
          </w:p>
        </w:tc>
        <w:tc>
          <w:tcPr>
            <w:tcW w:w="3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0.0039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0.0035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0.0149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Malaysian ringgit</w:t>
            </w:r>
          </w:p>
        </w:tc>
        <w:tc>
          <w:tcPr>
            <w:tcW w:w="3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0.2550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0.2250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0.7113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Polish zloty</w:t>
            </w:r>
          </w:p>
        </w:tc>
        <w:tc>
          <w:tcPr>
            <w:tcW w:w="3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0.2941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0.2467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594"/>
        </w:trPr>
        <w:tc>
          <w:tcPr>
            <w:tcW w:w="3920" w:type="dxa"/>
            <w:vAlign w:val="bottom"/>
          </w:tcPr>
          <w:p>
            <w:pPr>
              <w:spacing w:after="0"/>
              <w:rPr>
                <w:sz w:val="24"/>
                <w:szCs w:val="24"/>
                <w:color w:val="auto"/>
              </w:rPr>
            </w:pPr>
          </w:p>
        </w:tc>
        <w:tc>
          <w:tcPr>
            <w:tcW w:w="3160" w:type="dxa"/>
            <w:vAlign w:val="bottom"/>
          </w:tcPr>
          <w:p>
            <w:pPr>
              <w:jc w:val="right"/>
              <w:ind w:right="119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MONTHS ENDED MARCH 31,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2018 and 2017 for our EFT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92"/>
        </w:trPr>
        <w:tc>
          <w:tcPr>
            <w:tcW w:w="6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9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135,704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105,752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29,952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19,764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17,005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13,746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3,259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16,200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11,785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4,415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124,157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94,790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29,367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11,547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10,962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585</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ATMs as of March 31,</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38,358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35,145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3,213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37,651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34,578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EFT Processing Segment total revenues for the three months ended March 31, 2018 were $135.7 million, an increase of $30.0 million or 28% as compared to the same period in 2017. The increase in total revenues for the three months ended March 31, 2018 was primarily due to an increase in the number of ATMs under management in Europe and the impact of the U.S. dollar weakening against key foreign currencies. Specifically, the increase in the number of ATMs contributed to increases in the number of transactions processed, including dynamic currency conversion ("DCC") transactions. The increase for the three months ended March 31, 2018 was also impacted by the recovery from a cash shortage in India due to the demonetization initiated in the fourth quarter of 2016, which carried over into the first quarter of 2017. In the second half of 2017, the India cash supply returned to near pre-demonetization levels. For the three months ended March 31, 2018, revenues were also higher than the same period in the prior year as a result of a higher volume of sales of POS devices in Greece. Foreign currency movements increased total revenues by approximately $14.4 million for the three months ended March 31, 2018 as compared to the same period in 2017. These increases were partly offset by a price reduction granted in December 2017 on a POS processing contract in exchange for a contract extension.</w:t>
      </w:r>
    </w:p>
    <w:p>
      <w:pPr>
        <w:spacing w:after="0" w:line="70"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Average monthly revenues per ATM were $1,201 for the three months ended March 31, 2018, compared to $1,019 for the three months ended March 31, 2017. Revenues per transaction were $0.22 for the first quarter of 2018, compared to $0.20 for the first quarter of 2017. The increases in average monthly revenues and revenue per transaction were primarily the result of the impact of the weakening of the U.S. dollar against key foreign currencies.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EFT Processing Segment direct operating costs were $81.8 million for the three months ended March 31, 2018, an increase of $19.8 million or 32% as compared to the same period in 2017.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increases in direct operating costs for the three months ended March 31, 2018 were primarily due to an increase in the number of ATMs under management, particularly our independent ATM network which has more seasonal revenue generation and the impact of the U.S. dollar weakening against key foreign currencies.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Gross profit, which is calculated as revenues less direct operating costs, was $53.9 million for the three months ended March 31, 2018, compared to $43.7 million for the three months ended March 31, 2017. The increase in gross profit was primarily due to the growth in revenues from the increase in ATMs under management, DCC transactions processed and the net impact of the U.S. dollar weakening against key foreign currencies. Gross profit as a percentage of revenues (“gross margin”) was 39.7% for the three months ended March 31, 2018, as compared to 41.3% for the three months ended March 31, 2017. The decrease in gross margin was primarily due to increased operating costs due to the expansion of our ATM network, which includes fixed costs for our independent ATMs, including a higher number of independent ATMs that were deactivated during the winter season, along with ATM growth in the India market where we earn lower revenue per transaction. The decrease in gross margin was also attributable to the price reduction from the POS contract extension and the higher volume of sales of POS devices in Greece from which we earn a lower margin than many other transactions.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Salaries and benefits expense increased $3.3 million or 24% for the three months ended March 31, 2018, compared to the same period in 2017. The increase in salaries and benefits was primarily attributable to additional headcount to support an increase in the number of ATMs and POS devices under management and the impact of the U.S. dollar weakening against key foreign currencies. As a percentage of revenues, these costs decreased to 12.5% for the first quarter of 2018, compared to 13.0% for the first quarter of 2017. The decrease was primarily due to the growth in revenues earned from DCC and other value added service transactions on our ATMs under management, which require minimal incremental support costs.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Selling, general and administrative expenses for the three months ended March 31, 2018 were $9.1 million, an increase of $1.9 million or 27% as compared to the same period in 2017. The increase in selling, general and administrative expenses was primarily due to an increase in costs to support the growth in the business and the impact of the U.S. dollar weakening against key foreign currencies. As a percentage of revenues, selling, general and administrative expenses were 6.7% for the three months ended March 31, 2018, compared to 6.8% for the three months ended March 31,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Depreciation and amortization expense increased $4.4 million for the three months ended March 31, 2018, compared to the same period in 2017. The increase was primarily attributable to the deployment of additional ATMs under management, including more expensive cash recycling ATMs, and software assets as well as the impact of the U.S. dollar weakening against key foreign currencies. As a percentage of revenues, depreciation and amortization expense was</w:t>
      </w:r>
    </w:p>
    <w:p>
      <w:pPr>
        <w:ind w:right="260"/>
        <w:spacing w:after="0" w:line="261" w:lineRule="auto"/>
        <w:rPr>
          <w:sz w:val="20"/>
          <w:szCs w:val="20"/>
          <w:color w:val="auto"/>
        </w:rPr>
      </w:pPr>
      <w:r>
        <w:rPr>
          <w:rFonts w:ascii="Arial" w:cs="Arial" w:eastAsia="Arial" w:hAnsi="Arial"/>
          <w:sz w:val="18"/>
          <w:szCs w:val="18"/>
          <w:color w:val="auto"/>
        </w:rPr>
        <w:t>11.9% for the first quarter of 2018 as compared to 11.1% for the same period of 2017. The increase was mainly due to the increase in the number of ATMs seasonally deactivated for the three months ended March 31, 2018 compared to the same period in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EFT Processing Segment operating income for the three months ended March 31, 2018 was $11.5 million, an increase of $0.6 million or 5% as compared to the same period in 2017. EFT Processing Segment operating income for the three months ended March 31, 2018 increased primarily due to the net impact of the U.S. dollar weakening against key foreign currencies.</w:t>
      </w:r>
    </w:p>
    <w:p>
      <w:pPr>
        <w:spacing w:after="0" w:line="7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Operating income as a percentage of revenues (“operating margin”) was 8.5% for the first quarter of 2018 compared to 10.4% for the first quarter of 2017. The decrease in operating margin was attributable to additional costs for ATMs added to the network, including fixed costs of ATMs deactivated during the winter season which increased for the first quarter of 2018 compared to the same period in 2017. Operating income per transaction remained at $0.02 for the first quarters of 2018 and 2017.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2018 and 2017 for our epay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176,845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164,170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12,675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134,922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126,160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8,762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14,417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1,822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159,950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150,248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9,702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97"/>
        </w:trPr>
        <w:tc>
          <w:tcPr>
            <w:tcW w:w="71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16,895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13,922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2,973</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epay Segment total revenues for the three months ended March 31, 2018 were $176.8 million, an increase of $12.7 million or 8% as compared to the same period in 2017. The increases in total revenues were primarily due to the impact of the U.S. dollar weakening against key foreign currencies. Foreign currency movements increased total revenues by approximately $15.0 million for the three months ended March 31, 2018 compared to the same period in 2017. Revenues also increased due to an increase in gifts fulfilled by our cadooz subsidiary and an increase in the number of non-mobile transactions processed in Germany. The increase in total revenues was partially offset by a decrease in prepaid mobile transactions processed in the U.S., the U.K. and Australia due to competitive pressures on prepaid mobile carriers.</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Revenues per transaction were $0.69 for the first quarter of 2018 compared to $0.53 for the same period in 2017. The increase in revenues per transaction was primarily due to the net impact of the U.S. dollar weakening against key foreign currencies and revenue growth from non-mobile transactions processed, for which we generally earn higher revenues per transaction than mobile transactions. The increase in revenues per transaction was also favorably impacted by the loss of a high-volume, low-margin customer in the Middle East.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epay Segment direct operating costs were $134.9 million for the three months ended March 31, 2018, an increase of $8.8 million as compared to the same period in 2017. Direct operating costs in our epay Segment include the commissions we pay to retail merchants for the distribution and sale of prepaid mobile airtime and other prepaid products, expenses incurred to operate POS terminals and the cost of vouchers sold and physical gifts fulfilled. The increase in direct operating costs was primarily due to the net impact of the U.S. dollar weakening against key foreign currencies. Direct operating costs also increased as a result of an increase in non-mobile transactions processed in Germany.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profit was $41.9 million for the three months ended March 31, 2018, as compared to $38.0 million for the three months ended March 31, 2017. The increase in gross profit was primarily due to the net impact of the U.S. dollar weakening against key foreign currencies, growth in non-mobile transactions processed in Germany and an increase in vouchers distributed by our cadooz subsidiary, partly offset by a decrease in prepaid mobile transactions processed in certain markets.</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three months ended March 31, 2018, the gross margin was 23.7% as compared to 23.2% for the same period in 2017. The increase in gross margin for the first quarter was primarily due to the increase in the percentage of non-mobile transactions on which we earn a higher gross margin than mobile transactions.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Salaries and benefits expense increased $1.8 million or 14% for the three months ended March 31, 2018 compared to the same period in 2017. The increase was mainly driven by the impact of the U.S. dollar weakening against key foreign currencies and higher headcount in an effort to grow the segment. As a percentage of revenues, salaries and benefits were 8.2% for the three months ended March 31, 2018, as compared to 7.7% for the same period in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Selling, general and administrative expenses were $8.7 million for the three months ended March 31, 2018, a decrease of 3% as compared to the same period in 2017. The decrease in selling, general and administrative expenses was mainly due to cost control efforts. As a percentage of revenues, selling, general and administrative expenses were 4.9% for the three months ended March 31, 2018 compared to 5.5% for the same period in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Depreciation and amortization expense primarily represents depreciation of POS terminals we place in retail stores and the amortization of acquired intangible assets. Depreciation and amortization expense was $1.9 million, a decrease of 26% as compared to the same period in 2017. The decrease was largely due to certain intangible assets becoming fully amortized in the third quarter of 2017, partly offset by the impact of the U.S. dollar weakening against key foreign currencies. As a percentage of revenues, depreciation and amortization expense was 1.1% for the three months ended March 31, 2018, and 1.5% for the three months ended March 31,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epay Segment operating income for the three months ended March 31, 2018 was $16.9 million, an increase of $3.0 million as compared to the same period in 2017. Operating income for the three months ended March 31, 2018 improved as a result of the net impact of the U.S. dollar weakening against key foreign currencies and increased gross profit from the distribution of more non-mobile products and vouchers in Germany, along with operating cost controls.</w:t>
      </w:r>
    </w:p>
    <w:p>
      <w:pPr>
        <w:spacing w:after="0" w:line="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margin increased to 9.6% for the three months ended March 31, 2018, from 8.5% for the same period in 2017. The increase is mainly due to an increase in the percentage of non-mobile products which earn a higher margin than mobile transactions. Operating income per transaction increased to $0.07 for the three months ended March 31, 2018 from $0.05 for the same period in 2017. The increase is primarily due to the net impact of the U.S. dollar weakening against key foreign currencies.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2018 and 2017 for the Money Transfer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238,836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203,973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108,885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18,546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47,357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38,889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8,468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29,699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6,886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604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212,382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177,878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34,504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7"/>
        </w:trPr>
        <w:tc>
          <w:tcPr>
            <w:tcW w:w="71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26,454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26,095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359</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Money Transfer Segment total revenues for the three months ended March 31, 2018 were $238.8 million, an increase of $34.9 million or 17% as compared to the same period in 2017. The increase in total revenues for the three months ended March 31, 2018 was primarily due to increases in the number of money transfers processed, driven by growth in the U.S. and foreign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agent and correspondent payout networks, and the net impact of the U.S. dollar weakening against key foreign currencies. The increase was partly offset by the reduced rates for our Walmart-2-Walmart product beginning in the second quarter of 2017.</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per transaction decreased to $9.83 for the first quarter of 2018 compared to $9.85 for the same period in 2017. The decrease was primarily due to the impact of the increase in volume from our Walmart money transfer product, which earns lower revenues per transaction than other money transfer services and reduced rates charged for the Walmart-2-Walmart product beginning in the second quarter of 2017, largely offset by the net impact of the U.S. dollar weakening against key foreign currencies.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Money Transfer Segment direct operating costs were $127.4 million for the three months ended March 31, 2018, an increase of $18.5 million or 17% as compared to the same period in 2017.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for the three months of 2018 was primarily due to growth in the number of money transfer transactions processed in both the U.S. and foreign markets.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Gross profit was $111.4 million for the three months ended March 31, 2018, as compared to $95.1 million for the three months ended March 31, 2017. The increase in gross profit was primarily due to growth in the number of money transfer transactions processed in both the U.S. and foreign markets and the impact of the U.S. dollar weakening against key foreign currencies.</w:t>
      </w:r>
    </w:p>
    <w:p>
      <w:pPr>
        <w:spacing w:after="0" w:line="73" w:lineRule="exact"/>
        <w:rPr>
          <w:sz w:val="20"/>
          <w:szCs w:val="20"/>
          <w:color w:val="auto"/>
        </w:rPr>
      </w:pPr>
    </w:p>
    <w:p>
      <w:pPr>
        <w:ind w:right="1920"/>
        <w:spacing w:after="0" w:line="375" w:lineRule="auto"/>
        <w:rPr>
          <w:sz w:val="20"/>
          <w:szCs w:val="20"/>
          <w:color w:val="auto"/>
        </w:rPr>
      </w:pPr>
      <w:r>
        <w:rPr>
          <w:rFonts w:ascii="Arial" w:cs="Arial" w:eastAsia="Arial" w:hAnsi="Arial"/>
          <w:sz w:val="18"/>
          <w:szCs w:val="18"/>
          <w:color w:val="auto"/>
        </w:rPr>
        <w:t xml:space="preserve">During the three months ended March 31, 2018, gross margin remained flat at 46.6% compared to the same period in the prior year. </w:t>
      </w:r>
      <w:r>
        <w:rPr>
          <w:rFonts w:ascii="Arial" w:cs="Arial" w:eastAsia="Arial" w:hAnsi="Arial"/>
          <w:sz w:val="18"/>
          <w:szCs w:val="18"/>
          <w:i w:val="1"/>
          <w:iCs w:val="1"/>
          <w:color w:val="auto"/>
        </w:rPr>
        <w:t>Salaries and benefits</w:t>
      </w:r>
    </w:p>
    <w:p>
      <w:pPr>
        <w:spacing w:after="0" w:line="1"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Salaries and benefits expenses increased $8.5 million or 22% for the three months ended March 31, 2018, as compared to the same period in 2017. The increase in salaries and benefits was primarily due to the expansion of our operations in foreign markets and the net impact of the U.S. dollar weakening against key foreign currencies. As a percentage of revenues, salaries and benefits were 19.8% for the three months ended March 31, 2018, as compared to</w:t>
      </w:r>
    </w:p>
    <w:p>
      <w:pPr>
        <w:ind w:right="100"/>
        <w:spacing w:after="0" w:line="261" w:lineRule="auto"/>
        <w:rPr>
          <w:sz w:val="20"/>
          <w:szCs w:val="20"/>
          <w:color w:val="auto"/>
        </w:rPr>
      </w:pPr>
      <w:r>
        <w:rPr>
          <w:rFonts w:ascii="Arial" w:cs="Arial" w:eastAsia="Arial" w:hAnsi="Arial"/>
          <w:sz w:val="18"/>
          <w:szCs w:val="18"/>
          <w:color w:val="auto"/>
        </w:rPr>
        <w:t>19.1% for the three months ended March 31, 2017. The increase was primarily due to lower first quarter 2018 revenues compared to the same period in 2017 as a result the reduced rates for our Walmart-2-Walmart product.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Selling, general and administrative expenses for the three months ended March 31, 2018 were $29.7 million, an increase of $6.9 million or 30%, as compared to the same period in 2017. The increase was primarily due to expenses incurred to support the growth of our money transfer services and the expansion of new products in both the U.S. and foreign markets along with the net impact of the U.S. dollar weakening against key foreign currencies.</w:t>
      </w:r>
    </w:p>
    <w:p>
      <w:pPr>
        <w:spacing w:after="0" w:line="3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percentage of revenues, selling, general and administrative expenses increased to 12.4% for the three months ended March 31, 2018, as compared to 11.2% for the same period in 2017. This increase was primarily due to the growth rate of support costs exceeding the growth rate of money transfer revenues as we develop and promote expanded payout locations and new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Depreciation and amortization primarily represents amortization of acquired intangible assets and depreciation of money transfer terminals, computers and software, leasehold improvements and office equipment. Depreciation and amortization expense increased $0.6 million or 8%, for the three months ended March 31, 2018 compared to the same period in 2017, largely due to the impact of the U.S. dollar weakening against key foreign currencies.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revenues, depreciation and amortization expense was 3.3% for the first quarter of 2018 as compared to 3.6% for the same period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certain intangible assets becoming fully amortized.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Money Transfer Segment operating income for the three months ended March 31, 2018 was $26.5 million, an increase of $0.4 million or 1% as compared to the same period of 2017. Operating income for the three months ended March 31, 2018 increased primarily due to the net impact of the U.S. dollar weakening against key foreign currencies. The increase was also affected by the growth in the number of money transfers processed, partly offset by the additional salaries and benefits and other costs incurred and the reduced rates for Walmart-2-Walmart transfer services.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percentage of revenues, operating margin was 11.1% for the three months ended March 31, 2018 as compared to 12.8% for the same period in 2017. Operating income per transaction decreased to $1.09 for the first quarter of 2018 from $1.26 for the same period in 2017. Operating margin and operating income per transaction decreased primarily due to the decrease in margin realized with the renewal of the Walmart-2-Walmart agreement and the additional salaries and benefits and other costs incurred to support the growth in the business. The decrease in operating income per transaction was partly offset by the net impact of the U.S. dollar weakening against key foreign currencies.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months ended March 31, 2018 and 2017 for Corporate Services: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6,927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7"/>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9,693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Overall, operating expenses for Corporate Services were $9.4 million for the three months ended March 31, 2018, a decrease of 3% as compared to the same period in 2017. The increase in salaries and benefits expenses for the first three months of 2018 was primarily due to an increase in share-based compensation. The decrease in selling, general and administrative expenses was primarily attributable to a decrease in professional services and other costs incurred in connection with the proposed acquisition of MoneyGram International, Inc. that occurred in the prior year but not in the current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20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6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Foreign currency exchange gain, net</w:t>
            </w:r>
          </w:p>
        </w:tc>
        <w:tc>
          <w:tcPr>
            <w:tcW w:w="2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220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gains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57"/>
        </w:trPr>
        <w:tc>
          <w:tcPr>
            <w:tcW w:w="6940" w:type="dxa"/>
            <w:vAlign w:val="bottom"/>
            <w:gridSpan w:val="2"/>
          </w:tcPr>
          <w:p>
            <w:pPr>
              <w:ind w:left="340"/>
              <w:spacing w:after="0"/>
              <w:rPr>
                <w:sz w:val="20"/>
                <w:szCs w:val="20"/>
                <w:color w:val="auto"/>
              </w:rPr>
            </w:pPr>
            <w:r>
              <w:rPr>
                <w:rFonts w:ascii="Arial" w:cs="Arial" w:eastAsia="Arial" w:hAnsi="Arial"/>
                <w:sz w:val="18"/>
                <w:szCs w:val="18"/>
                <w:color w:val="auto"/>
              </w:rPr>
              <w:t>Other expense,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interest income for the three months ended March 31, 2018 compared to the same period in 2017 was primarily due to the interest earned on a tax refund received in India in the first quarter of 2017 which did not occur in the current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increase in interest expense for the three months ended March 31, 2018 compared to the same period in 2017 was primarily related to higher interest rates and additional borrowings under the Credit Facility throughout the quarter to fund the operating cash for our Independent ATM Deployed (“IAD”) networks.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net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5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recorded net foreign currency exchange gains of $1.9 million and $1.7 million for the three months ended March 31, 2018 and 2017, respectively. These realized and unrealized foreign currency exchange gains reflect the fluctuation in the value of the U.S. dollar against the currencies of the countries in which we operated during the respective periods.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Company's effective income tax rate was 34.2% for the three months ended </w:t>
      </w:r>
      <w:r>
        <w:rPr>
          <w:rFonts w:ascii="Arial" w:cs="Arial" w:eastAsia="Arial" w:hAnsi="Arial"/>
          <w:sz w:val="16"/>
          <w:szCs w:val="16"/>
          <w:color w:val="252525"/>
        </w:rPr>
        <w:t>March 31, 2018</w:t>
      </w:r>
      <w:r>
        <w:rPr>
          <w:rFonts w:ascii="Arial" w:cs="Arial" w:eastAsia="Arial" w:hAnsi="Arial"/>
          <w:sz w:val="16"/>
          <w:szCs w:val="16"/>
          <w:color w:val="auto"/>
        </w:rPr>
        <w:t>, as compared to 24.2% for the same period in 2017. The Company's effective income tax rate for the three months ended March 31, 2017 was less than the applicable statutory income tax rate of 35% primarily as a result of the Company's U.S. income tax position. The Company had significant U.S. federal tax net operating loss carryforwards with no recent history of significant U.S. taxable income; therefore, the Company had recorded a valuation allowance against its net U.S. deferred tax assets. Accordingly, in instances when the Company generated pre-tax U.S. GAAP income, no income tax expense was recognized to the extent there were net operating loss carryforwards to offset the income. The Company's effective income tax rate for the three months ended March 31, 2018 was higher than the applicable statutory income tax rate of 21% as a result of the enactment of the Tax Cuts and Jobs Act of 2017 (the "Act") and its impact on the Company's U.S. income tax positions at the end of 2017. The most significant provisions of the Act are the transition tax on previously undistributed foreign earnings of foreign subsidiaries, the reduction in the U.S. corporate statutory income tax rate from 35% to 21% beginning on January 1, 2018, and new taxes on certain foreign sourced earnings. As stated above, the Company had recorded a valuation allowance against its net U.S. deferred tax assets. After enactment of the Act, the Company expected to utilize its U.S. federal net operating losses to partially offset the transition tax and released the associated valuation allowance in the prior year. This change has created additional U.S. tax expense as the Company will now recognize income tax expense on its pre-tax U.S. GAAP income. In addition, the Act's GILTI provision has created additional U.S. tax expense on foreign earnings. The increase in the effective tax rate for the first quarter of 2018 compared to the same period in 2017 is largely due to the Act's impact on the Company's U.S. income tax positions. See Note 10 to the financial statements included in Part I, Item 1 of this report for additional information related to income taxes.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900" w:type="dxa"/>
            <w:vAlign w:val="bottom"/>
            <w:tcBorders>
              <w:bottom w:val="single" w:sz="8" w:color="CCEEFF"/>
            </w:tcBorders>
            <w:shd w:val="clear" w:color="auto" w:fill="CCEEFF"/>
          </w:tcPr>
          <w:p>
            <w:pPr>
              <w:jc w:val="center"/>
              <w:ind w:right="176"/>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260" w:type="dxa"/>
            <w:vAlign w:val="bottom"/>
            <w:gridSpan w:val="3"/>
          </w:tcPr>
          <w:p>
            <w:pPr>
              <w:ind w:left="40"/>
              <w:spacing w:after="0"/>
              <w:rPr>
                <w:sz w:val="20"/>
                <w:szCs w:val="20"/>
                <w:color w:val="auto"/>
              </w:rPr>
            </w:pPr>
            <w:r>
              <w:rPr>
                <w:rFonts w:ascii="Arial" w:cs="Arial" w:eastAsia="Arial" w:hAnsi="Arial"/>
                <w:sz w:val="18"/>
                <w:szCs w:val="18"/>
                <w:color w:val="auto"/>
              </w:rPr>
              <w:t>Euronet China</w:t>
            </w:r>
          </w:p>
        </w:tc>
        <w:tc>
          <w:tcPr>
            <w:tcW w:w="900" w:type="dxa"/>
            <w:vAlign w:val="bottom"/>
          </w:tcPr>
          <w:p>
            <w:pPr>
              <w:jc w:val="center"/>
              <w:ind w:right="176"/>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900" w:type="dxa"/>
            <w:vAlign w:val="bottom"/>
            <w:tcBorders>
              <w:bottom w:val="single" w:sz="8" w:color="CCEEFF"/>
            </w:tcBorders>
            <w:shd w:val="clear" w:color="auto" w:fill="CCEEFF"/>
          </w:tcPr>
          <w:p>
            <w:pPr>
              <w:jc w:val="center"/>
              <w:ind w:right="176"/>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260" w:type="dxa"/>
            <w:vAlign w:val="bottom"/>
            <w:gridSpan w:val="3"/>
          </w:tcPr>
          <w:p>
            <w:pPr>
              <w:ind w:left="40"/>
              <w:spacing w:after="0"/>
              <w:rPr>
                <w:sz w:val="20"/>
                <w:szCs w:val="20"/>
                <w:color w:val="auto"/>
              </w:rPr>
            </w:pPr>
            <w:r>
              <w:rPr>
                <w:rFonts w:ascii="Arial" w:cs="Arial" w:eastAsia="Arial" w:hAnsi="Arial"/>
                <w:sz w:val="18"/>
                <w:szCs w:val="18"/>
                <w:color w:val="auto"/>
              </w:rPr>
              <w:t>Universal Solution Providers (1)</w:t>
            </w:r>
          </w:p>
        </w:tc>
        <w:tc>
          <w:tcPr>
            <w:tcW w:w="900" w:type="dxa"/>
            <w:vAlign w:val="bottom"/>
          </w:tcPr>
          <w:p>
            <w:pPr>
              <w:jc w:val="center"/>
              <w:ind w:right="156"/>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EFT - UAE</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3"/>
          </w:tcPr>
          <w:p>
            <w:pPr>
              <w:spacing w:after="0"/>
              <w:rPr>
                <w:sz w:val="20"/>
                <w:szCs w:val="20"/>
                <w:color w:val="auto"/>
              </w:rPr>
            </w:pPr>
            <w:r>
              <w:rPr>
                <w:rFonts w:ascii="Arial" w:cs="Arial" w:eastAsia="Arial" w:hAnsi="Arial"/>
                <w:sz w:val="18"/>
                <w:szCs w:val="18"/>
                <w:color w:val="auto"/>
                <w:w w:val="91"/>
              </w:rPr>
              <w:t>(1) The Company purchased the 49% noncontrolling interest during the three months ended September 30, 2017.</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income attributable to Euronet was $26.4 million for the three months ended March 31, 2018, a decrease of $1.7 million as compared to the same period in 2017. The decrease in net income was primarily due to a $4.7 million increase in income tax expense, a decrease in interest income of $0.9 million and an increase in interest expense of $0.5 million, partly offset by an increase in operating income of $4.2 million and a $0.2 million increase in net foreign currency exchange gains.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March 31, 2018 and December 31, 2017, we had working capital, which is calculated as the difference between total current assets and total current liabilities, of $551.6 million and $482.5 million, respectively. Our ratio of current assets to current liabilities at March 31, 2018 and December 31, 2017 was 1.42 and 1.34, respectively.</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require substantial working capital to finance operations. In the Money Transfer Segment, we fund the payout of the majority of our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and cash flows from operations. As of March 31, 2018, we had approximately $485 million of our own cash in use or designated for use in our ATM network, which is recorded in cash and cash equivalents and trade accounts receivable, for ATM withdrawals pending settlement, on the Consolidated Balance Sheet.</w:t>
      </w:r>
    </w:p>
    <w:p>
      <w:pPr>
        <w:spacing w:after="0" w:line="5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had cash and cash equivalents of $885.6 million at March 31, 2018, of which $708.9 million was held outside of the United States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three month periods ended March 31, 2018 and 2017 (in thousands):</w:t>
      </w:r>
    </w:p>
    <w:p>
      <w:pPr>
        <w:spacing w:after="0" w:line="225"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27,828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70,803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41,896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10,962</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Increase in cash and cash equivalents and restricted cash</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48,970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51,491</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Cash flows provided by operating activities were $27.8 million for the first quarter of 2018 compared to $70.8 million for the first quarter of 2017. The decrease is primarily due to fluctuations in working capital mainly associated with the timing of the settlement processes with content providers in the epay Segment and with correspondents in the Money Transfer Segment, partly offset by improved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Cash flows used in investing activities were $33.3 million for the first quarter of 2018 compared to $23.9 million for the first quarter of 2017. The increase is primarily due to an acquisition and increased capital expenditures mainly related to our ATM network expansion. During the first quarter of 2018, we used $7.3 million for a business acquisition. During the first quarter of 2018, we used $24.4 million for purchases of property and equipment compared to $22.7 million during the first quarter of 2017. Cash used for software development and other investing activities totaled $1.6 million and $1.3 million for the first quarter of 2018 and 2017, respectively.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Cash flows provided by financing activities were $41.9 million for the first quarter of 2018 compared to cash used of $6.4 million for the first quarter of 2017. Our financing activities for the first quarter of 2018 consisted of net borrowings of $168.0 million compared to net debt repayments of $5.4 million for the first quarter of 2017. The increase in net borrowings for the first three months of 2018 compared to the same period of 2017 was the result of additional borrowings under the credit facilities to fund the operating cash of our IAD networks. Additionally, we used $1.8 million and $1.2 million during the first quarter of 2018 and 2017, respectively, for capital lease repayments. We repurchased $126.6 million and $2.2 million of our stock during the first quarter of 2018 and 2017, respectively. During the first quarter of 2018, we repurchased $125.0 million of our shares and paid $1.6 million for the amount of payroll taxes represented by the common stock withheld on restricted stock vestings and stock option exercises compared to $2.2 million for the same period of 2017. We received proceeds from stock option exercises of $2.3 million and $2.1 million for the first quarter of 2018 and 2017,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As of March 31, 2018, we had a $675 million senior secured credit facility that matures on April 9, 2019 (the "Credit Facility") consisting of a $590 million revolving credit facility, a $10 million India revolving credit facility and a $75 million term loan ("Term Loan A"), which has been reduced to $48.8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18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As of March 31, 2018, fees and interest on borrowings varied based upon the Company's consolidated total leverage ratio (as defined in the Credit Facility)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2018, we had borrowings of $48.8 million outstanding under the term loan. We had $171.8 million of borrowings and $56.8 million of stand-by letters of credit outstanding under the revolving credit facility as of March 31, 2018. The remaining $371.4 million under the revolving credit facility was available for borrowing. As of March 31, 2018, the weighted average interest rates under the revolving credit facility and Term Loan A were 3.14% and 3.25%, respectively, excluding amortization of deferred financing costs.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Credit Facility expires in April 2019 and we are in the process of evaluating replacement arrangements. While we cannot provide assurances that we will be able to obtain a favorable replacement for the Credit Facility, based on consultations to date, we believe that we will be able to obtain a replacement arrangement on terms similar to the current Credit Facility.</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$402.5 million in principal amount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No conversion conditions are currently in effect.</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Convertible Notes were convertible during the fourth quarter of 2017, but no holders exercised their conversion rights. We believe this was primarily due to the fair value of the Convertible Notes exceeding their conversion value. Should any conversion condition become effective and should any holders exercise their conversion rights, we believe our capital resources are sufficient to satisfy any conversion.</w:t>
      </w:r>
    </w:p>
    <w:p>
      <w:pPr>
        <w:spacing w:after="0" w:line="7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Additionally,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also have available credit lines and overdraft facilities to generally supplement short-term working capital requirements. As of March 31, 2018, there was $33.1 million outstanding under these other obligation arrangements. Short-term debt obligations, excluding the ATM facility, as of March 31, 2018 were primarily comprised of $32.0 million due in the next twelve months under these other obligation arrangements and $15.0 million of payments due in the next twelve months under the Term Loan A.</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including capital lease expenditures, for the first quarter of 2018 were $26.7 million. These capital expenditures were made primarily for the purchase of ATMs to expand our independent ATM network in Europe, the purchase and installation of ATMs in key under-penetrated markets, the purchase of POS terminals for the epay and Money Transfer Segments, and office, data center and company store computer equipment and software. Total capital expenditures for 2018 are currently estimated to range from approximately $95 million to $115 million.</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2018, there were no material changes from the disclosure in our Annual Report on Form 10-K for the year ended December 31, 2017. To date, we are not aware of any significant claims made by the indemnified parties or parties to whom we have provided guarantees on behalf of our subsidiaries and, accordingly, no liabilities have been recorded as of March 31, 2018. See also Note 11,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2018, our future contractual obligations have not changed significantly from the amounts reported within our 2017 Form 10-K, other than those resulting from changes in the amount of outstanding debt discussed in the Liquidity and Capital Resources section.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40"/>
        <w:spacing w:after="0" w:line="254" w:lineRule="auto"/>
        <w:rPr>
          <w:sz w:val="20"/>
          <w:szCs w:val="20"/>
          <w:color w:val="auto"/>
        </w:rPr>
      </w:pPr>
      <w:r>
        <w:rPr>
          <w:rFonts w:ascii="Arial" w:cs="Arial" w:eastAsia="Arial" w:hAnsi="Arial"/>
          <w:sz w:val="18"/>
          <w:szCs w:val="18"/>
          <w:color w:val="auto"/>
        </w:rPr>
        <w:t>As of March 31, 2018, our total debt outstanding was $625.7 million. Of this amount, $372.1 million, net of debt discounts, or 59% of our total debt obligations, relates to our Convertible Notes that have a fixed coupon rate. Our $402.5 million principal amount of Convertible Notes, issued in October 2014, accrue cash interest at a rate of 1.5% of the principal amount per annum. Based on quoted market prices, as of March 31, 2018, the fair value of our fixed rate Convertible Notes was $495.1 million, compared to a carrying value of $372.1 million. Interest expense for these notes, including accretion and amortization of deferred debt issuance costs, has a weighted average interest rate of 4.7% annually. Additionally, $220.6 million, or 35% of our total debt obligations, relates to debt borrowings under our Credit Facility. If we were to maximize the potential borrowings available under the revolving credit facility and maintain these borrowings for one year, a 1% (100 basis points) increase in the applicable interest rate would result in additional annual interest expense to the Company of approximately $5.9 million.</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remaining $33.1 million, or 5%,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Additionally, as of March 31, 2018, we had approximately $14.9 million of capitalized leases with fixed payment and interest terms that expire between 2018 and 2022.</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the first quarter of 2018, approximately 69%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March 31, 2018, we estimate that a 10% fluctuation in these foreign currency exchange rates would have the combined annualized effect on reported net income and working capital of approximately $100 million to $110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$105 million to</w:t>
      </w:r>
    </w:p>
    <w:p>
      <w:pPr>
        <w:spacing w:after="0"/>
        <w:rPr>
          <w:sz w:val="20"/>
          <w:szCs w:val="20"/>
          <w:color w:val="auto"/>
        </w:rPr>
      </w:pPr>
      <w:r>
        <w:rPr>
          <w:rFonts w:ascii="Arial" w:cs="Arial" w:eastAsia="Arial" w:hAnsi="Arial"/>
          <w:sz w:val="16"/>
          <w:szCs w:val="16"/>
          <w:color w:val="auto"/>
        </w:rPr>
        <w:t>$110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is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gain, net on the Consolidated Statements of Income. As of March 31, 2018, we had foreign currency derivative contracts outstanding with a notional value of $301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derivative instruments our HiFX operations write for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March 31, 2018, we held foreign currency derivative contracts outstanding with a notional value of $1.3 billion, primarily in U.S. dollars, euros, British pounds, Australian dollars and New Zealand dollars, that were not designated as hedges and for which the majority mature within the next twelve months.</w:t>
      </w:r>
    </w:p>
    <w:p>
      <w:pPr>
        <w:spacing w:after="0" w:line="5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March 31, 2018, the Company had foreign currency forward contracts outstanding with a notional value of $132 million, primarily in British pounds, euros and Polish zloty.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 7, Derivative Instruments and Hedging Activities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March 31, 2018.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12, Litigation and Contingencies, to the unaudited consolidated financial statements in this report is incorporated herein by reference.</w:t>
      </w:r>
    </w:p>
    <w:p>
      <w:pPr>
        <w:spacing w:after="0" w:line="6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52525"/>
        </w:rPr>
        <w:t xml:space="preserve">Except as otherwise described herein, there were no material changes to the risk factors previously disclosed in our Annual Report on Form 10-K for the year ended </w:t>
      </w:r>
      <w:r>
        <w:rPr>
          <w:rFonts w:ascii="Arial" w:cs="Arial" w:eastAsia="Arial" w:hAnsi="Arial"/>
          <w:sz w:val="18"/>
          <w:szCs w:val="18"/>
          <w:color w:val="000000"/>
        </w:rPr>
        <w:t>December 31, 2017, as filed with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Tightening of regulations may adversely affect our results.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DCC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October, 2017, the E.U. conducted a consultation on various cross-border payment practices, including DCC. Following that that consultation, in March 2018, the E.U. Commission issued proposed regulations that are the beginning of a legislative process to regulate DCC. The proposed regulations themselves do not include any specific DCC regulation but they would authorize the European Banking Authority ("EBA") to formulate regulations that would include reinforced consumer disclosure (“transparency”) guidelines for DCC and a cap on DCC margins during a transition period while those guidelines are implemented. The timeline for adoption of any final DCC regulation and the amount of any cap depend on the E.U. legislative process, which is uncertain, but it involves several successive steps. First, the regulations proposed in March 2018 must be adopted by the E.U. Parliament in the final form, which could happen late in 2018 or early 2019. That adoption would start the timeline on the EBA's consideration of the transparency guidelines and the cap. Under the proposed regulations, the EBA is being given six months to formulate its guidelines and those guidelines then need to be adopted through the E.U. legislative process. We believe this would result in the adoption of the guidelines and the cap sometime in mid-to-late 2019. Final implementation of the DCC regulations is targeted for 36 months after the adoption of the proposed regulations, which would be in 2022 at the earliest. As indicated above, the timeline described above is uncertain and could be affected at any time by developments in the E.U. Commission, the E.U. Council and the E.U. Parliament. Any regulation of DCC that may be adopted, including the margin cap and transparency regulations, could materially and adversely impact our financial results, by reducing the number of DCC transactions performed over our networks and the level of profit we generate from such transactions.</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E.U. has passed a new regulation called the GDPR that establishes stringent requirements for the collection and processing of personal information of individuals within the E.U. The GDPR establishes certain rights of individuals regarding personal information processed by companies as well as requirements for information security, and imposes significant fines that may be revenue-based for violation of its requirements. The GDPR will come into effect across the E.U. on May 25, 2018. The GDPR will apply to transfers of personal information from the E.U. to U.S.-based companies. Any failure on our part to meet the requirements of the GDPR could result in the imposition of fines and penalties that could materially and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March 31, 2018.</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82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Price Paid per</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Programs (in thousands) (1)</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1 - January 31, 2018</w:t>
            </w: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714,732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93.42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714,732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183,228</w:t>
            </w:r>
          </w:p>
        </w:tc>
        <w:tc>
          <w:tcPr>
            <w:tcW w:w="0" w:type="dxa"/>
            <w:vAlign w:val="bottom"/>
          </w:tcPr>
          <w:p>
            <w:pPr>
              <w:spacing w:after="0"/>
              <w:rPr>
                <w:sz w:val="1"/>
                <w:szCs w:val="1"/>
                <w:color w:val="auto"/>
              </w:rPr>
            </w:pPr>
          </w:p>
        </w:tc>
      </w:tr>
      <w:tr>
        <w:trPr>
          <w:trHeight w:val="24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February 1 - February 28, 2018</w:t>
            </w: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704,163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82.69</w:t>
            </w:r>
          </w:p>
        </w:tc>
        <w:tc>
          <w:tcPr>
            <w:tcW w:w="120" w:type="dxa"/>
            <w:vAlign w:val="bottom"/>
          </w:tcPr>
          <w:p>
            <w:pPr>
              <w:spacing w:after="0"/>
              <w:rPr>
                <w:sz w:val="21"/>
                <w:szCs w:val="21"/>
                <w:color w:val="auto"/>
              </w:rPr>
            </w:pPr>
          </w:p>
        </w:tc>
        <w:tc>
          <w:tcPr>
            <w:tcW w:w="1680" w:type="dxa"/>
            <w:vAlign w:val="bottom"/>
          </w:tcPr>
          <w:p>
            <w:pPr>
              <w:jc w:val="right"/>
              <w:ind w:right="39"/>
              <w:spacing w:after="0"/>
              <w:rPr>
                <w:sz w:val="20"/>
                <w:szCs w:val="20"/>
                <w:color w:val="auto"/>
              </w:rPr>
            </w:pPr>
            <w:r>
              <w:rPr>
                <w:rFonts w:ascii="Arial" w:cs="Arial" w:eastAsia="Arial" w:hAnsi="Arial"/>
                <w:sz w:val="18"/>
                <w:szCs w:val="18"/>
                <w:color w:val="auto"/>
              </w:rPr>
              <w:t>704,163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1 - March 31, 2018</w:t>
            </w: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57"/>
        </w:trPr>
        <w:tc>
          <w:tcPr>
            <w:tcW w:w="41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1,418,895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88.10</w:t>
            </w:r>
          </w:p>
        </w:tc>
        <w:tc>
          <w:tcPr>
            <w:tcW w:w="12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1,418,895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8"/>
        <w:spacing w:after="0" w:line="272"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Amount remaining to be repurchased at the end of the period. In June 2016, the Board of Directors authorized a stock repurchase program ("Repurchase Program") allowing Euronet to repurchase up to $125 million in value or 3.0 million shares of its common stock through June 14, 2018. In December 2017, the Board of Directors amended the Repurchase Program, allowing Euronet to repurchase up to $250 million in value or 6.0 million shares of its common stock through December 31, 2019. On February 27, 2018, the Repurchase Program was further amended to increase the amount of common stock that may be purchase to an aggregate of $375 million in value or 10.0 million shares of stock and extending the expiration date of the Repurchase Program to March 31, 2020. Repurchases under the Repurchase Program may take place in the open market or in privately negotiated transactions, including derivative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40" w:type="dxa"/>
            <w:vAlign w:val="bottom"/>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Computation of Ratio of Earnings to Fixed Charges</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Section 302</w:t>
              </w:r>
            </w:hyperlink>
          </w:p>
        </w:tc>
        <w:tc>
          <w:tcPr>
            <w:tcW w:w="9360" w:type="dxa"/>
            <w:vAlign w:val="bottom"/>
            <w:gridSpan w:val="4"/>
          </w:tcPr>
          <w:p>
            <w:pPr>
              <w:ind w:left="20"/>
              <w:spacing w:after="0"/>
              <w:rPr>
                <w:rFonts w:ascii="Arial" w:cs="Arial" w:eastAsia="Arial" w:hAnsi="Arial"/>
                <w:sz w:val="18"/>
                <w:szCs w:val="18"/>
                <w:color w:val="0000FF"/>
              </w:rPr>
            </w:pPr>
            <w:hyperlink w:anchor="page44">
              <w:r>
                <w:rPr>
                  <w:rFonts w:ascii="Arial" w:cs="Arial" w:eastAsia="Arial" w:hAnsi="Arial"/>
                  <w:sz w:val="18"/>
                  <w:szCs w:val="18"/>
                  <w:color w:val="0000FF"/>
                </w:rPr>
                <w:t>— Certification of Chief Executive Officer</w:t>
              </w:r>
            </w:hyperlink>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Section 302</w:t>
              </w:r>
            </w:hyperlink>
          </w:p>
        </w:tc>
        <w:tc>
          <w:tcPr>
            <w:tcW w:w="308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 Certification of Chief Financial Officer</w:t>
              </w:r>
            </w:hyperlink>
          </w:p>
        </w:tc>
        <w:tc>
          <w:tcPr>
            <w:tcW w:w="40" w:type="dxa"/>
            <w:vAlign w:val="bottom"/>
            <w:tcBorders>
              <w:top w:val="single" w:sz="8" w:color="0000FF"/>
            </w:tcBorders>
          </w:tcPr>
          <w:p>
            <w:pPr>
              <w:spacing w:after="0"/>
              <w:rPr>
                <w:sz w:val="21"/>
                <w:szCs w:val="21"/>
                <w:color w:val="auto"/>
              </w:rPr>
            </w:pPr>
          </w:p>
        </w:tc>
        <w:tc>
          <w:tcPr>
            <w:tcW w:w="6240" w:type="dxa"/>
            <w:vAlign w:val="bottom"/>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Section 906</w:t>
              </w:r>
            </w:hyperlink>
          </w:p>
        </w:tc>
        <w:tc>
          <w:tcPr>
            <w:tcW w:w="9360" w:type="dxa"/>
            <w:vAlign w:val="bottom"/>
            <w:gridSpan w:val="4"/>
          </w:tcPr>
          <w:p>
            <w:pPr>
              <w:ind w:left="20"/>
              <w:spacing w:after="0"/>
              <w:rPr>
                <w:rFonts w:ascii="Arial" w:cs="Arial" w:eastAsia="Arial" w:hAnsi="Arial"/>
                <w:sz w:val="18"/>
                <w:szCs w:val="18"/>
                <w:color w:val="0000FF"/>
              </w:rPr>
            </w:pPr>
            <w:hyperlink w:anchor="page46">
              <w:r>
                <w:rPr>
                  <w:rFonts w:ascii="Arial" w:cs="Arial" w:eastAsia="Arial" w:hAnsi="Arial"/>
                  <w:sz w:val="18"/>
                  <w:szCs w:val="18"/>
                  <w:color w:val="0000FF"/>
                </w:rPr>
                <w:t>— Certification of Chief Executive Officer</w:t>
              </w:r>
            </w:hyperlink>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Section 906</w:t>
              </w:r>
            </w:hyperlink>
          </w:p>
        </w:tc>
        <w:tc>
          <w:tcPr>
            <w:tcW w:w="308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94"/>
              </w:rPr>
            </w:pPr>
            <w:hyperlink w:anchor="page47">
              <w:r>
                <w:rPr>
                  <w:rFonts w:ascii="Arial" w:cs="Arial" w:eastAsia="Arial" w:hAnsi="Arial"/>
                  <w:sz w:val="18"/>
                  <w:szCs w:val="18"/>
                  <w:color w:val="0000FF"/>
                  <w:w w:val="94"/>
                </w:rPr>
                <w:t>— Certification of Chief Financial Officer</w:t>
              </w:r>
            </w:hyperlink>
          </w:p>
        </w:tc>
        <w:tc>
          <w:tcPr>
            <w:tcW w:w="40" w:type="dxa"/>
            <w:vAlign w:val="bottom"/>
            <w:tcBorders>
              <w:top w:val="single" w:sz="8" w:color="0000FF"/>
            </w:tcBorders>
          </w:tcPr>
          <w:p>
            <w:pPr>
              <w:spacing w:after="0"/>
              <w:rPr>
                <w:sz w:val="21"/>
                <w:szCs w:val="21"/>
                <w:color w:val="auto"/>
              </w:rPr>
            </w:pPr>
          </w:p>
        </w:tc>
        <w:tc>
          <w:tcPr>
            <w:tcW w:w="6240" w:type="dxa"/>
            <w:vAlign w:val="bottom"/>
          </w:tcPr>
          <w:p>
            <w:pPr>
              <w:spacing w:after="0"/>
              <w:rPr>
                <w:sz w:val="21"/>
                <w:szCs w:val="21"/>
                <w:color w:val="auto"/>
              </w:rPr>
            </w:pPr>
          </w:p>
        </w:tc>
      </w:tr>
      <w:tr>
        <w:trPr>
          <w:trHeight w:val="27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Arial" w:cs="Arial" w:eastAsia="Arial" w:hAnsi="Arial"/>
                <w:sz w:val="18"/>
                <w:szCs w:val="18"/>
                <w:color w:val="auto"/>
                <w:w w:val="93"/>
              </w:rPr>
              <w:t>The following materials from Euronet Worldwide, Inc.’s Quarterly Report on Form 10-Q for the quarter ended March 31, 2018, formatted in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5"/>
          </w:tcPr>
          <w:p>
            <w:pPr>
              <w:spacing w:after="0"/>
              <w:rPr>
                <w:sz w:val="20"/>
                <w:szCs w:val="20"/>
                <w:color w:val="auto"/>
              </w:rPr>
            </w:pPr>
            <w:r>
              <w:rPr>
                <w:rFonts w:ascii="Arial" w:cs="Arial" w:eastAsia="Arial" w:hAnsi="Arial"/>
                <w:sz w:val="18"/>
                <w:szCs w:val="18"/>
                <w:color w:val="auto"/>
                <w:w w:val="92"/>
              </w:rPr>
              <w:t>XBRL (eXtensible Business Reporting Language): (i) Consolidated Balance Sheets at March 31, 2018 (unaudited) and December 31, 2017,</w:t>
            </w:r>
          </w:p>
        </w:tc>
      </w:tr>
    </w:tbl>
    <w:p>
      <w:pPr>
        <w:ind w:left="1180" w:right="280"/>
        <w:spacing w:after="0" w:line="287" w:lineRule="auto"/>
        <w:rPr>
          <w:sz w:val="20"/>
          <w:szCs w:val="20"/>
          <w:color w:val="auto"/>
        </w:rPr>
      </w:pPr>
      <w:r>
        <w:rPr>
          <w:rFonts w:ascii="Arial" w:cs="Arial" w:eastAsia="Arial" w:hAnsi="Arial"/>
          <w:sz w:val="16"/>
          <w:szCs w:val="16"/>
          <w:color w:val="auto"/>
        </w:rPr>
        <w:t>(ii) Consolidated Statements of Income (unaudited) for the three months ended March 31, 2018 and 2017, (iii) Consolidated Statements of Comprehensive Income (unaudited) for the three months ended March 31, 2018 and 2017, (iv) Consolidated Statements of Cash Flows (unaudited) for the three months ended March 31, 2018 and 2017, and (v) Notes to the Unaudited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6"/>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240" w:top="125" w:right="3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7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r>
      <w:tr>
        <w:trPr>
          <w:trHeight w:val="264"/>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before adjustment for income from unconsolidated subsidiaries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37,040</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Fixed charges</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r>
      <w:tr>
        <w:trPr>
          <w:trHeight w:val="297"/>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Adjusted pretax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50,522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46,127</w:t>
            </w:r>
          </w:p>
        </w:tc>
      </w:tr>
      <w:tr>
        <w:trPr>
          <w:trHeight w:val="237"/>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7,606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7,148</w:t>
            </w: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r>
      <w:tr>
        <w:trPr>
          <w:trHeight w:val="297"/>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fixed charges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9,087</w:t>
            </w:r>
          </w:p>
        </w:tc>
      </w:tr>
      <w:tr>
        <w:trPr>
          <w:trHeight w:val="23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7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2018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2018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2019-12-28T22:12:44Z</dcterms:created>
  <dcterms:modified xsi:type="dcterms:W3CDTF">2019-12-28T22:12:44Z</dcterms:modified>
</cp:coreProperties>
</file>