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487"/>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40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7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R No o</w:t>
      </w:r>
    </w:p>
    <w:p>
      <w:pPr>
        <w:spacing w:after="0" w:line="73"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9" w:lineRule="exact"/>
        <w:rPr>
          <w:sz w:val="24"/>
          <w:szCs w:val="24"/>
          <w:color w:val="auto"/>
        </w:rPr>
      </w:pPr>
    </w:p>
    <w:p>
      <w:pPr>
        <w:ind w:left="2660" w:hanging="4410"/>
        <w:spacing w:after="0" w:line="340" w:lineRule="auto"/>
        <w:tabs>
          <w:tab w:leader="none" w:pos="26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R</w:t>
      </w:r>
    </w:p>
    <w:p>
      <w:pPr>
        <w:spacing w:after="0" w:line="3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April 30, 2011 was 51,206,827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186690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100330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180" w:type="dxa"/>
            <w:vAlign w:val="bottom"/>
            <w:gridSpan w:val="13"/>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12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b w:val="1"/>
                <w:bCs w:val="1"/>
                <w:color w:val="0000FF"/>
                <w:w w:val="99"/>
              </w:rPr>
            </w:pPr>
            <w:hyperlink w:anchor="page13">
              <w:r>
                <w:rPr>
                  <w:rFonts w:ascii="Arial" w:cs="Arial" w:eastAsia="Arial" w:hAnsi="Arial"/>
                  <w:sz w:val="18"/>
                  <w:szCs w:val="18"/>
                  <w:b w:val="1"/>
                  <w:bCs w:val="1"/>
                  <w:color w:val="0000FF"/>
                  <w:w w:val="99"/>
                </w:rPr>
                <w:t>ITEM 2. 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10"/>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3. QUANTITATIVE AND QUALITATIVE DISCLOSURES ABOUT MARKET RISK</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1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4. CONTROLS AND PROCEDURES</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8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180" w:type="dxa"/>
            <w:vAlign w:val="bottom"/>
            <w:gridSpan w:val="13"/>
          </w:tcPr>
          <w:p>
            <w:pPr>
              <w:ind w:left="40"/>
              <w:spacing w:after="0"/>
              <w:rPr>
                <w:rFonts w:ascii="Arial" w:cs="Arial" w:eastAsia="Arial" w:hAnsi="Arial"/>
                <w:sz w:val="18"/>
                <w:szCs w:val="18"/>
                <w:color w:val="0000FF"/>
              </w:rPr>
            </w:pPr>
            <w:hyperlink w:anchor="page29">
              <w:r>
                <w:rPr>
                  <w:rFonts w:ascii="Arial" w:cs="Arial" w:eastAsia="Arial" w:hAnsi="Arial"/>
                  <w:sz w:val="18"/>
                  <w:szCs w:val="18"/>
                  <w:color w:val="0000FF"/>
                </w:rPr>
                <w:t>PART II—OTHER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1. LEGAL PROCEEDINGS</w:t>
              </w:r>
            </w:hyperlink>
          </w:p>
        </w:tc>
        <w:tc>
          <w:tcPr>
            <w:tcW w:w="730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w w:val="99"/>
              </w:rPr>
            </w:pPr>
            <w:hyperlink w:anchor="page29">
              <w:r>
                <w:rPr>
                  <w:rFonts w:ascii="Arial" w:cs="Arial" w:eastAsia="Arial" w:hAnsi="Arial"/>
                  <w:sz w:val="18"/>
                  <w:szCs w:val="18"/>
                  <w:b w:val="1"/>
                  <w:bCs w:val="1"/>
                  <w:color w:val="0000FF"/>
                  <w:w w:val="99"/>
                </w:rPr>
                <w:t>ITEM 1A. RISK FACTORS</w:t>
              </w:r>
            </w:hyperlink>
          </w:p>
        </w:tc>
        <w:tc>
          <w:tcPr>
            <w:tcW w:w="540" w:type="dxa"/>
            <w:vAlign w:val="bottom"/>
            <w:gridSpan w:val="2"/>
          </w:tcPr>
          <w:p>
            <w:pPr>
              <w:spacing w:after="0"/>
              <w:rPr>
                <w:sz w:val="21"/>
                <w:szCs w:val="21"/>
                <w:color w:val="auto"/>
              </w:rPr>
            </w:pPr>
          </w:p>
        </w:tc>
        <w:tc>
          <w:tcPr>
            <w:tcW w:w="730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2. UNREGISTERED SALES OF EQUITY SECURITIES AND USE OF PROCEEDS</w:t>
              </w:r>
            </w:hyperlink>
          </w:p>
        </w:tc>
        <w:tc>
          <w:tcPr>
            <w:tcW w:w="12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5. OTHER INFORMATION</w:t>
              </w:r>
            </w:hyperlink>
          </w:p>
        </w:tc>
        <w:tc>
          <w:tcPr>
            <w:tcW w:w="4360" w:type="dxa"/>
            <w:vAlign w:val="bottom"/>
            <w:gridSpan w:val="4"/>
          </w:tcPr>
          <w:p>
            <w:pPr>
              <w:spacing w:after="0"/>
              <w:rPr>
                <w:sz w:val="21"/>
                <w:szCs w:val="21"/>
                <w:color w:val="auto"/>
              </w:rPr>
            </w:pPr>
          </w:p>
        </w:tc>
        <w:tc>
          <w:tcPr>
            <w:tcW w:w="292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6. EXHIBITS</w:t>
              </w:r>
            </w:hyperlink>
          </w:p>
        </w:tc>
        <w:tc>
          <w:tcPr>
            <w:tcW w:w="728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187,235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93,517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97,225</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$15,483 at March 31, 2011 and $14,924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2010</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259,298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288,765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688,436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$181,545 at March 31, 2011 and $166,094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461,883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445,713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$119,402 at March 31, 2011 and $109,726 at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Other assets, net of accumulated amortization of $21,968 at March 31, 2011 and $20,805 at December 31, 2010</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1,385,687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256,279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324,466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218,006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506,904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571,360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286,105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827,419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890,495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51,670,783 issued at March 31, 2011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51,462,195 issued at December 31, 2010</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755,529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752,209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486,547 shares at March 31, 2011 and 482,839 shares at December 31, 2010</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(241,511)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reserve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512,611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518,877</w:t>
            </w:r>
          </w:p>
        </w:tc>
        <w:tc>
          <w:tcPr>
            <w:tcW w:w="0" w:type="dxa"/>
            <w:vAlign w:val="bottom"/>
          </w:tcPr>
          <w:p>
            <w:pPr>
              <w:spacing w:after="0"/>
              <w:rPr>
                <w:sz w:val="1"/>
                <w:szCs w:val="1"/>
                <w:color w:val="auto"/>
              </w:rPr>
            </w:pP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1,385,687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1,409,372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84"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35"/>
        </w:trPr>
        <w:tc>
          <w:tcPr>
            <w:tcW w:w="8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165,861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36,335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32,172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14,944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14,548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245,376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231,774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23,756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17,284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 — 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51,068,626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50,801,170</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 —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51,947,914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51,923,122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17,631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3,515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18,366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(21,979)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(18,464)</w:t>
            </w:r>
          </w:p>
        </w:tc>
      </w:tr>
      <w:tr>
        <w:trPr>
          <w:trHeight w:val="243"/>
        </w:trPr>
        <w:tc>
          <w:tcPr>
            <w:tcW w:w="8800" w:type="dxa"/>
            <w:vAlign w:val="bottom"/>
          </w:tcPr>
          <w:p>
            <w:pPr>
              <w:ind w:left="60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35,281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1,934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2,145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19,574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19,913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52,773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(146,439)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183,528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220,746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185,279</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7,547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33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March 31, 2011, and the results of its operations and cash flows for the three-month periods ended March 31, 2011 and 2010.</w:t>
      </w:r>
    </w:p>
    <w:p>
      <w:pPr>
        <w:spacing w:after="0" w:line="8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2010, including the notes thereto, set forth in the Company’s 2010 Annual Report on Form 10-K.</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three-month period ended March 31, 2011 are not necessarily indicative of the results to be expected for the full year ending December 31,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Management has concluded that there are no accounting standards that have been issued, but not yet adopted, that will have a material effect on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the Company to money transfer recipients. As of March 31, 2011, the Company’s money transfer settlement obligations were $35.9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800" w:type="dxa"/>
            <w:vAlign w:val="bottom"/>
          </w:tcPr>
          <w:p>
            <w:pPr>
              <w:spacing w:after="0"/>
              <w:rPr>
                <w:sz w:val="24"/>
                <w:szCs w:val="24"/>
                <w:color w:val="auto"/>
              </w:rPr>
            </w:pPr>
          </w:p>
        </w:tc>
        <w:tc>
          <w:tcPr>
            <w:tcW w:w="168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24"/>
                <w:szCs w:val="24"/>
                <w:color w:val="auto"/>
              </w:rPr>
            </w:pPr>
          </w:p>
        </w:tc>
      </w:tr>
      <w:tr>
        <w:trPr>
          <w:trHeight w:val="196"/>
        </w:trPr>
        <w:tc>
          <w:tcPr>
            <w:tcW w:w="8800" w:type="dxa"/>
            <w:vAlign w:val="bottom"/>
          </w:tcPr>
          <w:p>
            <w:pPr>
              <w:spacing w:after="0"/>
              <w:rPr>
                <w:sz w:val="17"/>
                <w:szCs w:val="17"/>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51,068,626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50,801,170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879,288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1,121,952</w:t>
            </w: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51,947,914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51,923,122</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of approximately 2,832,000 and 2,204,000 for the three-month periods ended March 31, 2011 and 2010, respectively.</w:t>
      </w:r>
    </w:p>
    <w:p>
      <w:pPr>
        <w:spacing w:after="0" w:line="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3.50% debentures are convertible into 4.3 million shares of common stock only upon the occurrence of certain conditions. Under the if-converted method, the assumed conversion of the 3.50% debentures was anti-dilutive for the three-month periods ended March 31, 2011 and 2010. The Company’s remaining 1.625% convertible debentures outstanding were repurchased in January 2010 and the assumed conversion of the then-outstanding debentures was anti-dilutive for the three-month period ended March 31, 2010.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three-month period ended March 31, 2011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95,819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541,532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91,963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461,883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553,846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2011, is expected to total $21.2 million for 2011, $18.8 million for 2012, $13.9 million for 2013, $11.1 million for 2014, $5.9 million for 2015 and $4.3 million for 2016.</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2010 resulted in the Company recording an estimated non-cash goodwill impairment charge of $70.9 million in the fourth quarter of 2010 related to its epay reporting units in the U.K., Spain and Romania.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three-month period ended March 31, 2011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2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Term Loans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Due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293,404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loss</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2011</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294,082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8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at March 31, 2011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162,875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289,598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$12.1 million and</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$14.0 million as of March 31, 2011 and December 31, 2010, respectively. The discount will be amortized through October 15, 2012. Contractual interest expense was $1.5 million and discount accretion was $1.9 million and $1.7 million for the three-months ended March 31, 2011 and 2010, respectively. The effective interest rate was 8.4% for the three months ended March 31, 2011 and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31, 2011, the Company had foreign currency forward contracts outstanding with a notional value of $54.7 million, primarily in euros and U.S. dollars, which were not designated as hedges and had a weighted average remaining maturity of 3.2 days. Although the Company enters into foreign currency forward contracts to offset foreign currency exposure related to the notional value of money transfer transactions collected in currencies other than the U.S. dollar, they are not designated as hedges under ASC Topic 815.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the fair value of the embedded derivative is recorded in the unaudited Consolidated Balance Sheets.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Instruments as of</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00" w:type="dxa"/>
            <w:vAlign w:val="bottom"/>
          </w:tcPr>
          <w:p>
            <w:pPr>
              <w:spacing w:after="0"/>
              <w:rPr>
                <w:sz w:val="13"/>
                <w:szCs w:val="13"/>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March 31, 2011</w:t>
            </w: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Sheet Location</w:t>
            </w:r>
          </w:p>
        </w:tc>
        <w:tc>
          <w:tcPr>
            <w:tcW w:w="10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Derivatives not designated as hedging instruments under ASC Topic 815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7"/>
              </w:rPr>
              <w:t>Asset Derivatives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Cash and 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0"/>
              </w:rPr>
              <w:t>equivalents</w:t>
            </w: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6"/>
              </w:rPr>
              <w:t>Cash and cash</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equivalents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5"/>
              </w:rPr>
              <w:t>(274)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(265)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Other long-term</w:t>
            </w:r>
          </w:p>
        </w:tc>
        <w:tc>
          <w:tcPr>
            <w:tcW w:w="100" w:type="dxa"/>
            <w:vAlign w:val="bottom"/>
            <w:vMerge w:val="restart"/>
            <w:shd w:val="clear" w:color="auto" w:fill="CCEEFF"/>
          </w:tcPr>
          <w:p>
            <w:pPr>
              <w:spacing w:after="0"/>
              <w:rPr>
                <w:sz w:val="18"/>
                <w:szCs w:val="18"/>
                <w:color w:val="auto"/>
              </w:rPr>
            </w:pP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(351)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tcPr>
          <w:p>
            <w:pPr>
              <w:jc w:val="right"/>
              <w:spacing w:after="0"/>
              <w:rPr>
                <w:sz w:val="20"/>
                <w:szCs w:val="20"/>
                <w:color w:val="auto"/>
              </w:rPr>
            </w:pPr>
            <w:r>
              <w:rPr>
                <w:rFonts w:ascii="Arial" w:cs="Arial" w:eastAsia="Arial" w:hAnsi="Arial"/>
                <w:sz w:val="14"/>
                <w:szCs w:val="14"/>
                <w:b w:val="1"/>
                <w:bCs w:val="1"/>
                <w:color w:val="auto"/>
              </w:rPr>
              <w:t>Amount of Gain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7"/>
          </w:tcPr>
          <w:p>
            <w:pPr>
              <w:jc w:val="center"/>
              <w:ind w:right="435"/>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521"/>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Location of Gain</w:t>
            </w:r>
          </w:p>
        </w:tc>
        <w:tc>
          <w:tcPr>
            <w:tcW w:w="460" w:type="dxa"/>
            <w:vAlign w:val="bottom"/>
          </w:tcPr>
          <w:p>
            <w:pPr>
              <w:spacing w:after="0"/>
              <w:rPr>
                <w:sz w:val="17"/>
                <w:szCs w:val="17"/>
                <w:color w:val="auto"/>
              </w:rPr>
            </w:pPr>
          </w:p>
        </w:tc>
        <w:tc>
          <w:tcPr>
            <w:tcW w:w="2600" w:type="dxa"/>
            <w:vAlign w:val="bottom"/>
            <w:gridSpan w:val="8"/>
          </w:tcPr>
          <w:p>
            <w:pPr>
              <w:jc w:val="center"/>
              <w:ind w:right="335"/>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620" w:type="dxa"/>
            <w:vAlign w:val="bottom"/>
            <w:gridSpan w:val="4"/>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Recognized in Income</w:t>
            </w: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62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2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on Derivative</w:t>
            </w:r>
          </w:p>
        </w:tc>
        <w:tc>
          <w:tcPr>
            <w:tcW w:w="4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Derivatives not designated as hedging instruments under ASC Topic 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Foreign currency exchange gain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0"/>
                <w:szCs w:val="20"/>
                <w:color w:val="auto"/>
              </w:rPr>
            </w:pPr>
          </w:p>
        </w:tc>
        <w:tc>
          <w:tcPr>
            <w:tcW w:w="26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(loss), net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Foreign currency exchange gain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8"/>
              </w:rPr>
              <w:t>(loss), net</w:t>
            </w: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7,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2014 and revolving credit agreements approximate fair values because interest is based on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4"/>
                <w:szCs w:val="14"/>
                <w:b w:val="1"/>
                <w:bCs w:val="1"/>
                <w:color w:val="auto"/>
              </w:rPr>
              <w:t>March 31, 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Carrying</w:t>
            </w:r>
          </w:p>
        </w:tc>
        <w:tc>
          <w:tcPr>
            <w:tcW w:w="12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2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(172,267)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10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80"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of prepaid mobile airtime and other electronic payment products and collection services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 Bill payment services are offered primarily in the U.S.</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three-month periods ended March 31, 2011 and 2010: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For the Three Months Ended March 31, 2011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262,593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170,884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10,419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36,335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14,944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245,376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6,133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165,861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32,172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231,774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9,719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As of March 31, 2011, the Company had $102.4 million of stand-by letters of credit/bank guarantees issued on its behalf, of which $19.1 million are collateralized by cash deposits held by the respective issuing banks and $5.8 million are collateralized by trade accounts receivable.</w:t>
      </w:r>
    </w:p>
    <w:p>
      <w:pPr>
        <w:spacing w:after="0" w:line="1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2011, the Company granted off balance sheet guarantees for cash in various ATM networks amounting to $21.0 million over the terms of the cash supply agreements and performance guarantees amounting to approximately $30.3 million over the terms of the agreements with the customers.</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2011, the balance of ATM network cash for which the Company was responsible was approximately $325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40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40" w:hanging="648"/>
        <w:spacing w:after="0" w:line="29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56" w:lineRule="exact"/>
        <w:rPr>
          <w:rFonts w:ascii="Arial" w:cs="Arial" w:eastAsia="Arial" w:hAnsi="Arial"/>
          <w:sz w:val="16"/>
          <w:szCs w:val="16"/>
          <w:color w:val="auto"/>
        </w:rPr>
      </w:pPr>
    </w:p>
    <w:p>
      <w:pPr>
        <w:ind w:left="980" w:right="4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73"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obtained surety bonds in compliance with money transfer licensing requirements of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applicable governmental authorities.</w:t>
      </w:r>
    </w:p>
    <w:p>
      <w:pPr>
        <w:spacing w:after="0" w:line="13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March 31, 2011 or December 31,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effective tax rates were 25.8% and 62.2% for the three-month periods ended March 31, 2011 and 2010, respectively. The effective tax rates were significantly influenced by the foreign currency exchange gains and losses in the respective periods. Excluding the foreign currency exchange gains and losses from pre-tax income, as well as the related tax effects for these items, the Company’s effective tax rates were 41.7% and 41.5% for the three months ended March 31, 2011 and 2010, respectively.</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the effective tax rate, as adjusted for foreign currency exchange gains and losses, for the three months ended March 31, 2011 compared to the applicable statutory rate of 35% is primarily related to the Company’s Spain and U.S. tax positions. For the three-month period ended March 31, 2011, the Company has recorded a valuation allowance against its Spain and U.S. income tax net operating losses as it is more likely than not that a tax benefit will not be realized. Accordingly, the income tax benefits associated with pre-tax book losses generated by the Company’s Spanish and U.S. entities have not been recognized in this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2007. CES foreign exchange transactions between the U.S and the D.R. generated approximately 0.3% of the Company’s 2009 consolidated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CES are fully cooperating with the DOJ in its investigation.</w:t>
      </w:r>
    </w:p>
    <w:p>
      <w:pPr>
        <w:spacing w:after="0" w:line="10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2010, CES was served with a class action lawsuit filed by a former employee for alleged wage and hour violations related to overtime and meal and rest period requirements under California law. California law regarding an employer’s obligations to provide lunch and rest periods is under review by the California Supreme Court. The proceeding is in the preliminary stages and we intend to vigorously defend the lawsuit. At the current stage of the proceedings, the Company considers that it is not possible to determine a range of loss, if any, that may arise from this lawsuit.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March 31, 2011, we operate in the following three principal operating segments:</w:t>
      </w:r>
    </w:p>
    <w:p>
      <w:pPr>
        <w:spacing w:after="0" w:line="46" w:lineRule="exact"/>
        <w:rPr>
          <w:sz w:val="20"/>
          <w:szCs w:val="20"/>
          <w:color w:val="auto"/>
        </w:rPr>
      </w:pPr>
    </w:p>
    <w:p>
      <w:pPr>
        <w:ind w:left="980" w:right="10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11,055 ATMs and approximately 53,000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(“EFT”) software solutions for electronic payment and transaction delivery systems.</w:t>
      </w:r>
    </w:p>
    <w:p>
      <w:pPr>
        <w:spacing w:after="0" w:line="80" w:lineRule="exact"/>
        <w:rPr>
          <w:rFonts w:ascii="Arial" w:cs="Arial" w:eastAsia="Arial" w:hAnsi="Arial"/>
          <w:sz w:val="18"/>
          <w:szCs w:val="18"/>
          <w:color w:val="auto"/>
        </w:rPr>
      </w:pPr>
    </w:p>
    <w:p>
      <w:pPr>
        <w:ind w:left="980" w:right="100" w:hanging="648"/>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epay Segment, which provides distribution and collection services for prepaid mobile airtime and other electronic payment products. Including terminals operated by unconsolidated subsidiaries, we operate a network of approximately 562,000 POS terminals providing electronic processing of prepaid mobile airtime top-up services and other electronic payment products in Europe, the Middle East, Asia Pacific, North America and South America.</w:t>
      </w:r>
    </w:p>
    <w:p>
      <w:pPr>
        <w:spacing w:after="0" w:line="78" w:lineRule="exact"/>
        <w:rPr>
          <w:rFonts w:ascii="Arial" w:cs="Arial" w:eastAsia="Arial" w:hAnsi="Arial"/>
          <w:sz w:val="18"/>
          <w:szCs w:val="18"/>
          <w:color w:val="auto"/>
        </w:rPr>
      </w:pPr>
    </w:p>
    <w:p>
      <w:pPr>
        <w:ind w:left="980" w:right="20" w:hanging="648"/>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107,700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five processing centers in Europe, two in Asia Pacific, two in North America and one in the Middle East. We have 27 principal offices in Europe, seven in North America, six in Asia Pacific, two in the Middle East and one in South America. Our executive offices are located in Leawood, Kansas, USA. With approximately 79% of our revenues denominated in currencies other than the U.S. dollar, any significant changes in currency exchange rates will likely have a significant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 are described below.</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17% of total consolidated revenues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2011, are derived from fees charged for transactions made by cardholders on our proprietary network of ATMs, as well as fixed management fees and transaction fees we charge to customers for operating ATMs and processing debit and credit cards under outsourcing and cross-border acquiring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Revenues in this segment are also derived from license fees, professional services and maintenance fees for proprietary application software and sales of related hardware.</w:t>
      </w:r>
    </w:p>
    <w:p>
      <w:pPr>
        <w:spacing w:after="0" w:line="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59% of total consolidated revenues for the first quarter of 2011,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telecommunications service providers for the sale and distribution of prepaid mobile airtime. We also generate revenues from commissions earned from the distribution of other electronic payment products.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24% of total consolidated revenues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develop products or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80" w:hanging="64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phone operators;</w:t>
      </w:r>
    </w:p>
    <w:p>
      <w:pPr>
        <w:spacing w:after="0" w:line="117" w:lineRule="exact"/>
        <w:rPr>
          <w:rFonts w:ascii="Arial" w:cs="Arial" w:eastAsia="Arial" w:hAnsi="Arial"/>
          <w:sz w:val="18"/>
          <w:szCs w:val="18"/>
          <w:color w:val="auto"/>
        </w:rPr>
      </w:pPr>
    </w:p>
    <w:p>
      <w:pPr>
        <w:ind w:left="980" w:right="44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successfully integrate Ria with our other operations;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category includes non-operating activity, certain inter-segment eliminations and the cost of providing corporate and other administrative services to the operating segments, including share-based compensation expense. These services are not directly identifiable with our operating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three-month periods ended March 31, 2011 and 2010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Revenues for the Three Months Ended</w:t>
            </w:r>
          </w:p>
        </w:tc>
        <w:tc>
          <w:tcPr>
            <w:tcW w:w="200" w:type="dxa"/>
            <w:vAlign w:val="bottom"/>
          </w:tcPr>
          <w:p>
            <w:pPr>
              <w:spacing w:after="0"/>
              <w:rPr>
                <w:sz w:val="14"/>
                <w:szCs w:val="14"/>
                <w:color w:val="auto"/>
              </w:rPr>
            </w:pPr>
          </w:p>
        </w:tc>
        <w:tc>
          <w:tcPr>
            <w:tcW w:w="2540" w:type="dxa"/>
            <w:vAlign w:val="bottom"/>
            <w:gridSpan w:val="3"/>
            <w:vMerge w:val="restart"/>
          </w:tcPr>
          <w:p>
            <w:pPr>
              <w:jc w:val="right"/>
              <w:ind w:right="56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44,361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155,113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145,380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9,733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7,120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262,651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250,003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12,648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262,593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250,003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12,590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Operating Income (Loss) for the Three</w:t>
            </w:r>
          </w:p>
        </w:tc>
        <w:tc>
          <w:tcPr>
            <w:tcW w:w="200" w:type="dxa"/>
            <w:vAlign w:val="bottom"/>
          </w:tcPr>
          <w:p>
            <w:pPr>
              <w:spacing w:after="0"/>
              <w:rPr>
                <w:sz w:val="24"/>
                <w:szCs w:val="24"/>
                <w:color w:val="auto"/>
              </w:rPr>
            </w:pPr>
          </w:p>
        </w:tc>
        <w:tc>
          <w:tcPr>
            <w:tcW w:w="2540" w:type="dxa"/>
            <w:vAlign w:val="bottom"/>
            <w:gridSpan w:val="3"/>
            <w:vMerge w:val="restart"/>
          </w:tcPr>
          <w:p>
            <w:pPr>
              <w:jc w:val="right"/>
              <w:ind w:right="56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Months Ended March 31,</w:t>
            </w:r>
          </w:p>
        </w:tc>
        <w:tc>
          <w:tcPr>
            <w:tcW w:w="20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7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22,033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17,217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18,229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Compared to most of the currencies of the foreign countries in which we operate, the U.S. dollar was weaker during the first quarter of 2011 than it was during the first quarter of 2010. Because our revenues and local expenses are recorded in the functional currencies of our operating entities, amounts we earned for the first quarter of 2011 reflected a slight positive impact due to the weaker U.S. dollar. Considering the results by country and the associated functional currency, we estimate that our consolidated operating income for the first quarter of 2011 was approximately 3% more when compared to the first quarter of 2010 as a result of changes in foreign currency exchange rates. If significant, in our discussion we will refer to the impact of fluctuation in foreign currency exchange rates in our comparison of operating segment results for the three-month periods ended March 31, 2011 and 2010. To provide further perspective on the impact of foreign currency exchange rates, the following table shows the changes in values relative to the U.S. dollar from the first quarter of 2010 to the first quarter of 2011 of the currencies of the countries in which we have our most significant operations: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March 31, 2011</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vMerge w:val="restart"/>
          </w:tcPr>
          <w:p>
            <w:pPr>
              <w:spacing w:after="0"/>
              <w:rPr>
                <w:sz w:val="14"/>
                <w:szCs w:val="14"/>
                <w:color w:val="auto"/>
              </w:rPr>
            </w:pPr>
          </w:p>
        </w:tc>
        <w:tc>
          <w:tcPr>
            <w:tcW w:w="1940" w:type="dxa"/>
            <w:vAlign w:val="bottom"/>
          </w:tcPr>
          <w:p>
            <w:pPr>
              <w:jc w:val="right"/>
              <w:ind w:right="63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(Decrease) Percent</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1.0059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0.9030</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1.5598</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euro</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1.3684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1.3833</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0.0052</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0.0221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0.0218</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0.3473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59"/>
        </w:trPr>
        <w:tc>
          <w:tcPr>
            <w:tcW w:w="554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17</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THREE-MONTH PERIODS ENDED MARCH 31, 2011 AND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2011 and 2010 for our EFT Processing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720" w:type="dxa"/>
            <w:vAlign w:val="bottom"/>
            <w:gridSpan w:val="3"/>
          </w:tcPr>
          <w:p>
            <w:pPr>
              <w:jc w:val="right"/>
              <w:ind w:right="664"/>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5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55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6,133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772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5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for the first quarter of 2011 decreased when compared to the first quarter of 2010 primarily due to decreases in transaction fees in Germany and interchange fee revenues in Poland. Additionally, we had significant sales of POS terminals in Slovakia during the first quarter of 2010 that did not recur in the first quarter of 2011. These decreases were partly offset by additional ATMs under management in Poland and India and the growth in transaction volumes on Cashnet – Euronet's shared ATM network in India. Additionally, we recognized $1.2 million in the first quarter of 2011 from the acceleration of previously deferred revenue related to a customer discontinuing a certain product in Greece.</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Average monthly revenue per ATM was $1,351 for the first quarter of 2011, compared to $1,586 for the first quarter of 2010. The decrease in the first quarter of 2011 from the first quarter of 2010 is primarily due to the reductions in transaction fees in Germany that took effect in the first quarter of 2011 and interchange fee revenues in Poland that took effect in the second quarter of 2010. Revenue per transaction was $0.22 for the first quarter of 2011 compared to $0.26 for the first quarter of 2010. These decreases are primarily the result of the reductions in transaction fees in Germany and interchange fee revenues in Poland, as well as the growth of Cashnet transactions, which generate lower revenues per transaction than those on owned or outsourced ATMs. We were able to increase transaction fees in Germany beginning in mid-2009 and were generally able to maintain them through 2010; however, we experienced reductions in these fees beginning in 2011 as a result of market and regulatory factors. Accordingly, we expect that the EFT Processing Segment’s revenues and operating income will be reduced for the full year 2011 as compared to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 related expenses. The decrease in direct operating costs for the first quarter of 2011, compared to the first quarter of 2010, is attributed to the cost of the POS terminal sales in Slovakia in the first quarter of 2010 that did not recur in the first quarter of 2011 along with operating cost improvements in Poland, partly offset by the increase in the number of ATMs under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which is calculated as revenues less direct operating costs, was $22.3 million for the first quarter of 2011 and $24.6 million for the first quarter of 2010. The decrease for the first quarter of 2011 is primarily due to the reduced transaction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fees in Germany and interchange fees in Poland, partly offset by increased gross profits from additional ATMs under management and the deferred revenue recognized in Greece. Gross profit as a percentage of revenues (“gross margin”) was 50% for the first quarter of 2011 compared to 51% for the first quarter of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The increase in salaries and benefits for the first quarter of 2011 was primarily due to increased bonus expense in the current year. As a percentage of revenues, these costs increased to 15.5% for the first quarter of 2011 compared to 12.9% for the first quarter of 2010 as a result of increased costs and decreased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selling, general and administrative expenses for the first quarter of 2011 compared to the first quarter of 2010 is primarily due to increased bad debt expense as a result of unusually low bad debt expense in the first quarter of 2010 due to the collection of certain amounts that had been previously written off. As a percentage of revenues, selling, general and administrative expenses increased to 9.8% for the first quarter of 2011 compared to 7.7% for the first quarter of 2010 as a result of increased costs and decreased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Depreciation and amortization expense was flat for the first quarter of 2011 compared to the first quarter of 2010. As a percentage of revenues, depreciation and amortization expense was 11.1% for the first quarter of 2011 compared to 10.1% for the first quarter of 2010 as a result of decreased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Operating income decreased for the first quarter of 2011 compared to the first quarter of 2010, operating income as a percentage of revenues (“operating margin”) for the first quarter of 2011 was 13.8% compared to 20.0% for the first quarter of 2010 and operating income per transaction was $0.03 for the first quarter of 2011 compared to $0.05 for the same period in 2010. These decreases are primarily due to the reduced transaction fees in Germany and interchange fee revenues in Poland, partly offset by more ATMs under management and the deferred revenue recognized in Greece.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three-month periods ended March 31, 2011 and 2010 for our epay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64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Year-over-Year Change</w:t>
            </w:r>
          </w:p>
        </w:tc>
      </w:tr>
      <w:tr>
        <w:trPr>
          <w:trHeight w:val="258"/>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Percent</w:t>
            </w: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155,113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4,312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2,094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367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133,310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55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12,070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1,060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revenues for the first quarter of 2011 compared to the first quarter of 2010 was primarily due to the impact of our third quarter 2010 acquisition of Telecomnet, Inc., now known as epay Brazil, and an increase in transactions processed in Germany and Italy. This increase was partly offset by declines in the number of transactions processed in the U.K., the U.S. and Spain due to economic pressures, consumer shifts from prepaid to other plans and changes in the mix of transactions to lower revenue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certain markets, our revenue growth has slowed due to mobile phone operators driving competitive reductions in commissions,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per transaction were $0.64 for the first quarter of 2011 compared to $0.73 for the first quarter of 2010. The decrease in revenues per transaction is due mainly to the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are a fraction of that recognized on average transactions, but with very low associated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prepaid products, as well as expenses required to operate POS terminals. The increase in direct operating costs is generally attributable to the impact of epay Brazil and increases in transactions processed in other markets. These increases are partly offset by a higher mix of lower cost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Gross profit, which represents revenues less direct costs, was $35.2 million for the first quarter of 2011 compared to $29.8 million for the first quarter of 2010. The primary causes of the increase in gross profit are the impact of epay Brazil and the increased transaction volumes in Germany, partly offset by transaction volume declines in the U.K., the U.S. and Spain. Gross margin increased to 23% for the first quarter of 2011 compared to 20% for the first quarter of 2010. Gross profit per transaction decreased to $0.14 for the first quarter of 2011 from $0.15 for the first quarter of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increase in salaries and benefits for the first quarter of 2011 compared to the first quarter of 2010 is primarily due to the impact of epay Brazil. As a percentage of revenues, salaries and benefits increased to 6.7% for the first quarter of 2011 from 5.7% for the first quarter of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increase in selling, general and administrative expenses for the first quarter of 2011 compared to the first quarter of 2010 is mainly due to the impact of epay Brazil and additional overhead to support development of new products and growing markets. As a percentage of revenues, these expenses increased to 4.6% for the first quarter of 2011 compared to 3.6% for the first quarter of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increased for the first quarter of 2011 compared to the first quarter of 2010 mainly due to the impact of epay Brazil, partly offset by decreased expense in mature markets where acquired intangible assets are becoming fully amortized and POS terminals are becoming fully depreciated at a faster rate than new terminals are being installed. As a percentage of revenues, these expenses remained flat at 2.9% for both the first quarter of 2011 and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Operating margin was 8.5% for the first quarter of 2011 compared to 8.3% for the first quarter of 2010. The increases in operating income and operating margin for the first quarter of 2011 compared to the first quarter of 2010 are mainly due to the impact of epay Brazil and the growth in Germany, partly offset by decreased profitability in the U.S. Operating income per transaction was $0.05 for the first quarter of 2011 compared to $0.06 for the first quarter of 2010.</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results of operations for the three-month periods ended March 31, 2011 and 2010 for the Money Transfer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64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Year-over-Year Change</w:t>
            </w:r>
          </w:p>
        </w:tc>
      </w:tr>
      <w:tr>
        <w:trPr>
          <w:trHeight w:val="258"/>
        </w:trPr>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Percent</w:t>
            </w:r>
          </w:p>
        </w:tc>
      </w:tr>
      <w:tr>
        <w:trPr>
          <w:trHeight w:val="27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63,177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5,842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55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1,278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Revenues from the Money Transfer Segment include a transaction fee for each transaction, as well as a margin earned from purchasing currency at wholesale exchange rates and selling the currency to customers at retail exchange rates. The increase in revenues for the first quarter of 2011 compared to revenues for the first quarter of 2010 is primarily due to the increase in the number of transactions processed, driven by an 18% increase in transfers from non-U.S. markets, and growth in other products such as check cashing and bill payment. The increase in transfers from non-U.S. markets is due to the expansion of our agent and correspondent payout networks.</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Revenues per transaction increased to $11.92 for the first quarter of 2011 from $11.68 for the first quarter of 2010. The growth rate of revenues exceeded the transaction growth rate for the first quarter of 2011 compared to the first quarter of 2010 largely as a result of the continued shift in transaction mix to non-U.S. locations which generally have higher-than-average revenues per transaction. For the first quarter of 2011, 58% of our money transfers were initiated in the U.S. and 42% in non-U.S. markets compared to 61% initiated in the U.S. and 39% in non-U.S. markets for the first quarter of 2010. We expect that the U.S. will continue to represent our highest volume market; however, future growth is expected to be derived from the addition of new products and the expansion of our agent and correspondent payout networks in new and existing markets, primarily outside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correspondent agents that disburse funds to the customers’ destination beneficiary, together with less significant costs, such as telecommunication costs and bank fees to collect money from sending agents. The increase in direct operating costs in the first quarter of 2011 compared to the first quarter of 2010 is primarily due to the growth in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which represents revenues less direct costs, was $34.2 million for the first quarter of 2011 compared to $29.7 million for the first quarter of 2010. The improvement is primarily due to the growth in money transfer transactions, the shift in transaction mix to transfers from non-U.S. sources and the addition of new products. Gross margin was 54% for the first quarter of 2011 compared to 53% for the first quarter of 2010. This improvement primarily reflects the shift in transaction mix to transfers from non-U.S.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salaries and benefits for the first quarter of 2011 compared to the first quarter of 2010 is due to the increased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expenditures we incurred to support expansion of our operations, primarily internationally. As a percentage of revenues, salaries and benefits remained flat at 25.3% for both the first quarter of 2011 and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Selling, general and administrative expenses increased for the first quarter of 2011 compared to the first quarter of 2010, primarily as the result of the increased expenditures we incurred to support expansion of our operations, primarily internationally. As a percentage of revenues, selling, general and administrative expenses decreased slightly to 15.9% for the first quarter of 2011 from 16.0% for the same period in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Depreciation and amortization primarily represents amortization of acquired intangible assets and also includes depreciation of money transfer terminals, computers and software, leasehold improvements and office equipment. For the first quarter of 2011, depreciation and amortization increased compared to the same period in 2010, as a result of increased expenditures on computers and software to support the money transfer platform. As a percentage of revenues, depreciation and amortization decreased to 8.6% for the first quarter of 2011 from 9.1% for the same period in 2010, reflecting a shift in achieving a greater portion of expansion through agents which requires less capital expenditures than expansion from adding company stores.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income for the first quarter of 2011 increased by $1.3 million compared to the first quarter of 2010. This increase reflects the growth in transactions processed, the shift in transactions to non-U.S. markets and the addition of new products, partly offset by increased salaries and benefits and selling, general and administrative expenses to expand internationally. Operating margin increased to 4.4% for the first quarter of 2011 from 2.7% for the same period in 2010 while operating income per transaction increased to $0.52 for the first quarter of 2011 from $0.31 for the first quarter of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2011 and 2010 for Corporate Services: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68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13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Increase (Decrease)</w:t>
            </w: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452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Overall, operating expenses for Corporate Services decreased for the first quarter of 2011 compared to the first quarter of 2010. The decrease in salaries and benefits is primarily the result of lower performance-based stock compensation, partly offset by higher salaries and bonus expense. The decrease in performance-based stock compensation is mainly the result of lower accruals made in the first quarter of 2011 than in the first quarter of 2010 due to poorer performance relative to the award criteria. The increase in selling, general and administrative expenses is due mainly to higher legal fees. The decrease in depreciation and amortization for the first quarter of 2011 compared to the first quarter of 2010 is primarily due to a three-year enterprise-wide desktop license becoming fully depreciated in May of 2010.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268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Percent</w:t>
            </w: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Legal settlement</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57"/>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15,466</w:t>
            </w:r>
          </w:p>
        </w:tc>
        <w:tc>
          <w:tcPr>
            <w:tcW w:w="120" w:type="dxa"/>
            <w:vAlign w:val="bottom"/>
          </w:tcPr>
          <w:p>
            <w:pPr>
              <w:spacing w:after="0"/>
              <w:rPr>
                <w:sz w:val="22"/>
                <w:szCs w:val="22"/>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interest income for the first quarter of 2011 from the first quarter of 2010 is primarily due to an increase in interest rates in Australia and the impact of the third quarter 2010 acquisition of epay Brazil.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expense for the first quarter of 2011 from the first quarter of 2010 is primarily related to the impact of epay Brazil.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and our 49% investment in Euronet Middle East. The decrease in income is primarily the result of lower profitability of epay Malaysia.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2011, Euronet recorded $1.0 million from the settlement of a class action lawsuit related to previous losses on MoneyGram, Inc.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recorded a net foreign currency exchange gain of $9.3 million in the first quarter of 2011 compared to a net foreign currency loss of $5.1 million in the first quarter of 2010.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9,302</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(5,787)</w:t>
            </w:r>
          </w:p>
        </w:tc>
      </w:tr>
      <w:tr>
        <w:trPr>
          <w:trHeight w:val="27"/>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17,631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3,515</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64"/>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9,302</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gain (loss), net</w:t>
            </w:r>
          </w:p>
        </w:tc>
        <w:tc>
          <w:tcPr>
            <w:tcW w:w="26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(5,082)</w:t>
            </w:r>
          </w:p>
        </w:tc>
      </w:tr>
      <w:tr>
        <w:trPr>
          <w:trHeight w:val="27"/>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14,471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14,384</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(5,787)</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Adjust: Income tax (expense) benefit attributable to foreign currency exchange gain (loss), net</w:t>
            </w:r>
          </w:p>
        </w:tc>
        <w:tc>
          <w:tcPr>
            <w:tcW w:w="2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183</w:t>
            </w:r>
          </w:p>
        </w:tc>
      </w:tr>
      <w:tr>
        <w:trPr>
          <w:trHeight w:val="27"/>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(5,970)</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effective tax rates were 25.8% and 62.2% for the three-month periods ended March 31, 2011 and 2010, respectively. The effective tax rates were significantly influenced by the foreign currency exchange gains and losses in the respective periods. Excluding these items from pre-tax income, as well as the related tax effects for these items, our effective tax rates were 41.7% and 41.5% for the three months ended March 31, 2011 and 2010, respectively.</w:t>
      </w:r>
    </w:p>
    <w:p>
      <w:pPr>
        <w:spacing w:after="0" w:line="3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increase in the effective tax rate, as adjusted, for the three months ended March 31, 2011 compared to the applicable statutory rate of 35% is primarily related to our Spain and U.S. income tax positions. For the three-month period ended March 31, 2011, we have recorded a valuation allowance against our Spain and U.S. income tax net operating losses as it is more likely than not that a tax benefit will not be realized. Accordingly, the income tax benefits associated with pre-tax book losses generated by our Spanish and U.S. entities have not been recognized in these periods.</w:t>
      </w:r>
    </w:p>
    <w:p>
      <w:pPr>
        <w:spacing w:after="0" w:line="6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Net income attributable to noncontrolling interests was $0.3 million for the first quarter of 2011 compared to $0.7 million for the first quarter of 2010. Noncontrolling interests represents the elimination of net income or loss attributable to the minority shareholders’ portion of the following consolidated subsidiaries that are not wholly owned: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e-pay SRL</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ATX</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Net income attributable to Euronet Worldwide, Inc. was $17.3 million for the first quarter of 2011 compared to $2.8 million for the first quarter of 2010. As more fully discussed above, the increase of $14.5 million for the first quarter of 2011 as compared to the same period in 2010 was primarily the result of the $14.4 million increase in foreign currency exchange gains. Additionally, we recognized a gain on a legal settlement of $1.0 million during the first quarter of 2011. Partly offsetting these increases were a decrease in operating income of $1.0 million and an increase in income tax expense of $0.3 million. Other items increased net income by $0.3 million during the first quarter of 2011 compared to the same period in 2010.</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2011, we had working capital, which is calculated as the difference between total current assets and total current liabilities, of $181.5 million, compared to working capital of $156.7 million as of December 31, 2010. Our ratio of current assets to current liabilities was 1.36 as of March 31, 2011, compared to 1.27 as of December 31, 2010. The increase in working capital was primarily due to working capital produced by operations during the first quarter of 2011.</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March 31, 2011, working capital in the Money Transfer Segment was $75.8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flows provided by operating activities were $33.9 million for the first quarter of 2011 compared to $52.8 million for the first quarter of 2010. The decrease is primarily due to fluctuations in working capital primarily associated with the timing of the settlement processes with mobile operators in the epay Segment and with correspondents in the Money Transfer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Cash flows used in investing activities were $6.7 million for the first quarter of 2011, compared to $6.1 million for the first quarter of 2010. Purchases of property and equipment used $6.7 million and $5.4 million of cash for the first quarter of 2011 and 2010, respectively. Software development and other investing activities used no significant cash for the first quarter of 2011 and used $0.7 million for the first quarter of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Cash flows provided by financing activities were $0.8 million during the first quarter of 2011 compared to cash flows used of $39.8 million during the first quarter of 2010. Our financing activities for the first quarter of 2011 consisted primarily of net repayments of debt obligations of $1.4 million compared to $40.8 million for the first quarter of 2010.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quarter of 2011 we had a total of $14.0 million in borrowings and $14.0 million in repayments under our revolving credit facility. During the first quarter of 2011, we used $0.5 million for repayments of debt obligations and $0.9 million for capital lease obligations. Additionally, we received cash of $1.7 million and $0.9 million from the issuance of shares in the first quarter of 2011 and 2010, respectively. Finally, in the first quarter of 2011, we received a $0.6 million equity contribution from the noncontrolling interest stockholder of our Pakistan subsidiary.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$290 million secured credit facility consisting of a $190 million term loan due April 2014, which was fully drawn at closing, and a $100 million revolving credit facility due April 2012 (together, the “Credit Facility”). The term loan bears interest at LIBOR plus 200 basis points or prime plus 100 basis points and requires that we repay $1.9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the balance each year, with the remaining balance payable at the end of the term. We have prepaid amounts on this loan and we estimate that we will be able to repay the remaining $126.5 million term loan prior to its maturity date in April 2014 through cash flows available from operations, provided our operating cash flows are not required for future business developments. Up front financing costs of $4.8 million were deferred and are being amortized over the terms of the respective loans.</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dates, the first being October 15, 2012, under our $175 million 3.50% Convertible Debentures Due 2025, unless we are able to demonstrate that either: (i) we could borrow unsubordinated funded debt equal to the principal amount of the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2011, we had borrowings of $126.5 million outstanding under the term loan. We had no borrowings and $45.5 million of stand-by letters of credit outstanding under the revolving credit facility. The remaining $54.5 million under the revolving credit facility was available for borrowing. Borrowings under the revolving credit facility are being used to fund short-term working capital requirements in the U.S. and India. As of March 31, 2011, our weighted average interest rate was 2.3% under the term loan, excluding amortization of deferred financing costs.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March 31, 2011 were primarily comprised of the $1.9 million annual repayment requirement under the term loan. Certain of our subsidiaries also have available credit lines and overdraft facilities to supplement short-term working capital requirements, when necessary, and there were $0.6 million outstanding under these facilities as of March 31, 2011.</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Should holders of the 3.50% convertible debentures require us to repurchase their debentures on the dates outlined above, we cannot guarantee that we will have sufficient cash on hand or have acceptable financing options available to us to fund these required repurchases. An inability to finance these potential repayments could have an adverse impact on our operations. These terms and other material terms and conditions applicable to the convertible debentures are set forth in the indenture agreement governing the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of March 31, 2011, we have recorded a liability of $5.7 million for the fair value of contingent consideration related to the acquisition of Telecomnet, Inc. and we are in discussions with the sellers to determine the final amount due. Changes in the estimate of contingent consideration due will be recorded as income or expense in the period of change.</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first quarter of 2011 were $7.1 million. These capital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expenditures were primarily for the purchase of ATMs to meet contractual requirements in Poland, India and China, the purchase and installation of ATMs in key under-penetrated markets, the purchase of POS terminals for the epay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2011 are currently estimated to be approximately $35 million to $45 million.</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epay Segment, approximately 130,000 of the approximately 562,000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2011, there were no material changes from the disclosure in our Annual Report on Form 10-K for the year ended December 31, 2010. To date, we are not aware of any significant claims made by the indemnified parties or parties to whom we have provided guarantees on behalf of our subsidiaries and, accordingly, no liabilities have been recorded as of March 31, 2011. See also Note 9, Guarantees,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2011, there have been no material changes from the disclosures relating to contractual obligations contained in our Annual Report on Form 10-K for the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of our Annual Report on Form 10-K for the year ended December 31, 2010. We do not intend, and do not undertake, any obligation to update any forward looking statements to reflect future events or circumstances after the date of such statements.</w:t>
      </w:r>
    </w:p>
    <w:p>
      <w:pPr>
        <w:spacing w:after="0" w:line="185"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740"/>
        <w:spacing w:after="0" w:line="291" w:lineRule="auto"/>
        <w:rPr>
          <w:sz w:val="20"/>
          <w:szCs w:val="20"/>
          <w:color w:val="auto"/>
        </w:rPr>
      </w:pPr>
      <w:r>
        <w:rPr>
          <w:rFonts w:ascii="Arial" w:cs="Arial" w:eastAsia="Arial" w:hAnsi="Arial"/>
          <w:sz w:val="16"/>
          <w:szCs w:val="16"/>
          <w:color w:val="auto"/>
        </w:rPr>
        <w:t>As of March 31, 2011, our total debt outstanding was $294.1 million. Of this amount, $162.9 million, or 56% of our total debt obligations, relates to contingent convertible debentures having a fixed coupon rate. Our $175 million principal amount of contingent convertible debentures, issued in</w:t>
      </w:r>
    </w:p>
    <w:p>
      <w:pPr>
        <w:ind w:right="100"/>
        <w:spacing w:after="0" w:line="253" w:lineRule="auto"/>
        <w:rPr>
          <w:sz w:val="20"/>
          <w:szCs w:val="20"/>
          <w:color w:val="auto"/>
        </w:rPr>
      </w:pPr>
      <w:r>
        <w:rPr>
          <w:rFonts w:ascii="Arial" w:cs="Arial" w:eastAsia="Arial" w:hAnsi="Arial"/>
          <w:sz w:val="18"/>
          <w:szCs w:val="18"/>
          <w:color w:val="auto"/>
        </w:rPr>
        <w:t>October 2005, accrue cash interest at a rate of 3.50% of the principal amount per annum. Based on quoted market prices, as of March 31, 2011, the fair value of our fixed rate convertible debentures was $175.2 million, compared to a carrying value of $162.9 million. Interest expense for these debentures, including accretion and amortization of deferred debt issuance costs, totals approximately $14.3 million per year, or a weighted average interest rate of 8.9% annually. Additionally, approximately $4.1 million, or 1% of our total debt obligations, relates to capitalized leases with fixed payment and interest terms that expire between 2011 and 2015.</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remaining $127.1 million, or 43%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$2.1 million. This computation excludes the potential additional $150.0 million under the term loan because of the limited circumstances under which the additional amounts would be available to us for borrowing.</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quarter of 2011, 79%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euro, British pound, Australian dollar, Polish zloty, Brazilian real and Indian rupee. As of March 31, 2011, we estimate that a 10% fluctuation in these foreign currency exchange rates would have the combined annualized effect on reported net income and working capital of approximately $30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$40 million to $50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exposed to foreign currency exchange rate risk in our Money Transfer Segment. A majority of the money transfer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March 31, 2011, we had foreign currency forward contracts outstanding with a notional value of $54.7 million, primarily in euros and U.S. dollars, that were not designated as hedges and mature in a weighted average of 3.2 days. The fair value of these forward contracts as of March 31, 2011 was an unrealized loss $0.3 million, which was partially offset by the unrealized gain on the related foreign currency receivables.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2011 that has materially affected, or is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discussion regarding litigation in Part I, Item 1 — Financial Statements and Note 11, Litigation and Contingencies, to the unaudited consolidated financial statements included elsewhere in this report is incorporated herein by reference.</w:t>
      </w:r>
    </w:p>
    <w:p>
      <w:pPr>
        <w:spacing w:after="0" w:line="6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2010, as may be updated in our subsequent filings with the SEC, before making an investment decision. The risks and uncertainties described in our Annual Report on Form 10-K, as may be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5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2010 as filed with the SEC.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three months ended March 31, 2011, the Company purchased, in accordance with the 2006 Stock Incentive Plan (Amended and Restated), 408 shares of its common stock for participant income tax withholding in conjunction with the lapse of restrictions on stock awards, as requested by the participants. The following table sets forth information with respect to those shares: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Plans or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276"/>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Purchased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24"/>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324"/>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1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408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jc w:val="right"/>
              <w:ind w:right="1336"/>
              <w:spacing w:after="0"/>
              <w:rPr>
                <w:sz w:val="20"/>
                <w:szCs w:val="20"/>
                <w:color w:val="auto"/>
              </w:rPr>
            </w:pPr>
            <w:r>
              <w:rPr>
                <w:rFonts w:ascii="Arial" w:cs="Arial" w:eastAsia="Arial" w:hAnsi="Arial"/>
                <w:sz w:val="18"/>
                <w:szCs w:val="18"/>
                <w:color w:val="auto"/>
                <w:w w:val="89"/>
              </w:rPr>
              <w:t>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We acquired all of the stock of Ria Envia, Inc., the parent of CES, in April 2007. CES foreign exchange transactions between the U.S and the D.R. generated approximately 0.3% of our 2009 consolidated revenues. The Company and CES are fully cooperating with the DOJ in its investigation.</w:t>
      </w:r>
    </w:p>
    <w:p>
      <w:pPr>
        <w:spacing w:after="0" w:line="85"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We believe that, during the period covered by the DOJ investigation, CES generally derived part of its charge for exchanging U.S. dollars into D.R. pesos from a reference rate recommended by ADEREDI, a trade association in the D.R. composed of a CES subsidiary and other D.R. money transfer firms. We further believe, however, that CES set its own service fee on the D.R. transactions and its overall transaction price to customers. Customers were also free during this time period to use CES and other firms to transmit dollars into the D.R., without conversion into D.R. pesos, and we believe such transmissions occurred with increasing frequency over the course of this time period.</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this time, we are unable to predict the outcome of the DOJ investigation, or, if charges were to be brought against CES, the possible range of loss, if any, associated with the resolution of any such charges. Nor can we predict any potential effect on our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we have incurred and may continue to incur significant fees and expenses in connection with the DOJ investigation and related matters.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98"/>
        </w:trPr>
        <w:tc>
          <w:tcPr>
            <w:tcW w:w="104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1"/>
              </w:rPr>
              <w:t>Employment Agreement dated February 24, 2011 between Euronet Card Services SA and Nikos Fountas, Senior Vice President - Managing</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and incorporated by reference herein)</w:t>
            </w:r>
          </w:p>
        </w:tc>
      </w:tr>
      <w:tr>
        <w:trPr>
          <w:trHeight w:val="58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Bonus Compensation Agreement between Euronet Worldwide, Inc. and Nikos Fountas, Senior Vice President - Managing Director, Europe</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EFT Processing Segment (filed as Exhibit 10.26 to the Company's Annual Report on Form 10-K filed on February 25, 2011 and incorporated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by reference herein)</w:t>
            </w:r>
          </w:p>
        </w:tc>
      </w:tr>
      <w:tr>
        <w:trPr>
          <w:trHeight w:val="58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5"/>
              </w:rPr>
              <w:t>Letter of Confirmation of Terms of Resignation dated January 11, 2011 between Euronet Worldwide, Inc. and Charles T. Piper (filed as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Exhibit 10.27 to the Company's Annual Report on Form 10-K filed on February 25, 2011 and incorporated by reference herein)</w:t>
            </w:r>
          </w:p>
        </w:tc>
      </w:tr>
      <w:tr>
        <w:trPr>
          <w:trHeight w:val="594"/>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1040" w:type="dxa"/>
            <w:vAlign w:val="bottom"/>
          </w:tcPr>
          <w:p>
            <w:pPr>
              <w:jc w:val="right"/>
              <w:ind w:right="592"/>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right="140" w:hanging="1125"/>
        <w:spacing w:after="0" w:line="291"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March 31, 2011, formatted in XBRL (eXtensible Business Reporting Language): (i) Consolidated Balance Sheets at March 31, 2011 and December 31, 2010,</w:t>
      </w:r>
    </w:p>
    <w:p>
      <w:pPr>
        <w:ind w:left="1160"/>
        <w:spacing w:after="0" w:line="287" w:lineRule="auto"/>
        <w:rPr>
          <w:rFonts w:ascii="Arial" w:cs="Arial" w:eastAsia="Arial" w:hAnsi="Arial"/>
          <w:sz w:val="16"/>
          <w:szCs w:val="16"/>
          <w:color w:val="auto"/>
        </w:rPr>
      </w:pPr>
      <w:r>
        <w:rPr>
          <w:rFonts w:ascii="Arial" w:cs="Arial" w:eastAsia="Arial" w:hAnsi="Arial"/>
          <w:sz w:val="16"/>
          <w:szCs w:val="16"/>
          <w:color w:val="auto"/>
        </w:rPr>
        <w:t>(ii) Consolidated Statements of Income for the three months ended March 31, 2011 and 2010, (iii) Consolidated Statements of Comprehensive Income (Loss) for the three months ended March 31, 2011 and 2010, (iv) Consolidated Statements of Cash Flows for the three months ended March 31, 2011 and 2010, and (v) Notes to the Unaudited Consolidated Financial Statements, tagged as blocks of text.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117"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125" w:right="39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276"/>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23,282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pretax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29,846</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14,817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2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43"/>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9200"/>
          </w:cols>
          <w:pgMar w:left="1360" w:top="580" w:right="1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2011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5, 2011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R"/>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2019-12-10T15:30:52Z</dcterms:created>
  <dcterms:modified xsi:type="dcterms:W3CDTF">2019-12-10T15:30:52Z</dcterms:modified>
</cp:coreProperties>
</file>