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44"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860" w:hanging="521"/>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EURONET WORLDWIDE, INC.</w:t>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840" w:type="dxa"/>
        <w:tblCellMar>
          <w:top w:w="0" w:type="dxa"/>
          <w:left w:w="0" w:type="dxa"/>
          <w:bottom w:w="0" w:type="dxa"/>
          <w:right w:w="0" w:type="dxa"/>
        </w:tblCellMar>
      </w:tblPr>
      <w:tr>
        <w:trPr>
          <w:trHeight w:val="234"/>
        </w:trPr>
        <w:tc>
          <w:tcPr>
            <w:tcW w:w="6060" w:type="dxa"/>
            <w:vAlign w:val="bottom"/>
          </w:tcPr>
          <w:p>
            <w:pPr>
              <w:jc w:val="center"/>
              <w:ind w:right="2990"/>
              <w:spacing w:after="0"/>
              <w:rPr>
                <w:sz w:val="20"/>
                <w:szCs w:val="20"/>
                <w:color w:val="auto"/>
              </w:rPr>
            </w:pPr>
            <w:r>
              <w:rPr>
                <w:rFonts w:ascii="Arial" w:cs="Arial" w:eastAsia="Arial" w:hAnsi="Arial"/>
                <w:sz w:val="18"/>
                <w:szCs w:val="18"/>
                <w:b w:val="1"/>
                <w:bCs w:val="1"/>
                <w:color w:val="auto"/>
                <w:w w:val="93"/>
              </w:rPr>
              <w:t>Delaware</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6060" w:type="dxa"/>
            <w:vAlign w:val="bottom"/>
          </w:tcPr>
          <w:p>
            <w:pPr>
              <w:jc w:val="center"/>
              <w:ind w:right="2990"/>
              <w:spacing w:after="0"/>
              <w:rPr>
                <w:sz w:val="20"/>
                <w:szCs w:val="20"/>
                <w:color w:val="auto"/>
              </w:rPr>
            </w:pPr>
            <w:r>
              <w:rPr>
                <w:rFonts w:ascii="Arial" w:cs="Arial" w:eastAsia="Arial" w:hAnsi="Arial"/>
                <w:sz w:val="18"/>
                <w:szCs w:val="18"/>
                <w:b w:val="1"/>
                <w:bCs w:val="1"/>
                <w:color w:val="auto"/>
                <w:w w:val="91"/>
              </w:rPr>
              <w:t>(State or other jurisdiction</w:t>
            </w:r>
          </w:p>
        </w:tc>
        <w:tc>
          <w:tcPr>
            <w:tcW w:w="156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6060" w:type="dxa"/>
            <w:vAlign w:val="bottom"/>
          </w:tcPr>
          <w:p>
            <w:pPr>
              <w:jc w:val="center"/>
              <w:ind w:right="2990"/>
              <w:spacing w:after="0"/>
              <w:rPr>
                <w:sz w:val="20"/>
                <w:szCs w:val="20"/>
                <w:color w:val="auto"/>
              </w:rPr>
            </w:pPr>
            <w:r>
              <w:rPr>
                <w:rFonts w:ascii="Arial" w:cs="Arial" w:eastAsia="Arial" w:hAnsi="Arial"/>
                <w:sz w:val="18"/>
                <w:szCs w:val="18"/>
                <w:b w:val="1"/>
                <w:bCs w:val="1"/>
                <w:color w:val="auto"/>
                <w:w w:val="91"/>
              </w:rPr>
              <w:t>of incorporation or organization)</w:t>
            </w:r>
          </w:p>
        </w:tc>
        <w:tc>
          <w:tcPr>
            <w:tcW w:w="156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6060" w:type="dxa"/>
            <w:vAlign w:val="bottom"/>
          </w:tcPr>
          <w:p>
            <w:pPr>
              <w:jc w:val="center"/>
              <w:ind w:right="2990"/>
              <w:spacing w:after="0"/>
              <w:rPr>
                <w:sz w:val="20"/>
                <w:szCs w:val="20"/>
                <w:color w:val="auto"/>
              </w:rPr>
            </w:pPr>
            <w:r>
              <w:rPr>
                <w:rFonts w:ascii="Arial" w:cs="Arial" w:eastAsia="Arial" w:hAnsi="Arial"/>
                <w:sz w:val="18"/>
                <w:szCs w:val="18"/>
                <w:b w:val="1"/>
                <w:bCs w:val="1"/>
                <w:color w:val="auto"/>
                <w:w w:val="89"/>
              </w:rPr>
              <w:t>3500 College Boulevard</w:t>
            </w:r>
          </w:p>
        </w:tc>
        <w:tc>
          <w:tcPr>
            <w:tcW w:w="1560" w:type="dxa"/>
            <w:vAlign w:val="bottom"/>
          </w:tcPr>
          <w:p>
            <w:pPr>
              <w:spacing w:after="0"/>
              <w:rPr>
                <w:sz w:val="24"/>
                <w:szCs w:val="24"/>
                <w:color w:val="auto"/>
              </w:rPr>
            </w:pPr>
          </w:p>
        </w:tc>
      </w:tr>
      <w:tr>
        <w:trPr>
          <w:trHeight w:val="270"/>
        </w:trPr>
        <w:tc>
          <w:tcPr>
            <w:tcW w:w="6060" w:type="dxa"/>
            <w:vAlign w:val="bottom"/>
          </w:tcPr>
          <w:p>
            <w:pPr>
              <w:jc w:val="center"/>
              <w:ind w:right="2930"/>
              <w:spacing w:after="0"/>
              <w:rPr>
                <w:sz w:val="20"/>
                <w:szCs w:val="20"/>
                <w:color w:val="auto"/>
              </w:rPr>
            </w:pPr>
            <w:r>
              <w:rPr>
                <w:rFonts w:ascii="Arial" w:cs="Arial" w:eastAsia="Arial" w:hAnsi="Arial"/>
                <w:sz w:val="18"/>
                <w:szCs w:val="18"/>
                <w:b w:val="1"/>
                <w:bCs w:val="1"/>
                <w:color w:val="auto"/>
                <w:w w:val="89"/>
              </w:rPr>
              <w:t>Leawood, Kansas</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6060" w:type="dxa"/>
            <w:vAlign w:val="bottom"/>
          </w:tcPr>
          <w:p>
            <w:pPr>
              <w:jc w:val="center"/>
              <w:ind w:right="29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6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(Zip Code)</w:t>
            </w:r>
          </w:p>
        </w:tc>
      </w:tr>
      <w:tr>
        <w:trPr>
          <w:trHeight w:val="225"/>
        </w:trPr>
        <w:tc>
          <w:tcPr>
            <w:tcW w:w="6060" w:type="dxa"/>
            <w:vAlign w:val="bottom"/>
          </w:tcPr>
          <w:p>
            <w:pPr>
              <w:jc w:val="right"/>
              <w:ind w:right="1530"/>
              <w:spacing w:after="0"/>
              <w:rPr>
                <w:sz w:val="20"/>
                <w:szCs w:val="20"/>
                <w:color w:val="auto"/>
              </w:rPr>
            </w:pPr>
            <w:r>
              <w:rPr>
                <w:rFonts w:ascii="Arial" w:cs="Arial" w:eastAsia="Arial" w:hAnsi="Arial"/>
                <w:sz w:val="18"/>
                <w:szCs w:val="18"/>
                <w:b w:val="1"/>
                <w:bCs w:val="1"/>
                <w:color w:val="auto"/>
              </w:rPr>
              <w:t>(913) 327-4200</w:t>
            </w:r>
          </w:p>
        </w:tc>
        <w:tc>
          <w:tcPr>
            <w:tcW w:w="1560" w:type="dxa"/>
            <w:vAlign w:val="bottom"/>
          </w:tcPr>
          <w:p>
            <w:pPr>
              <w:spacing w:after="0"/>
              <w:rPr>
                <w:sz w:val="19"/>
                <w:szCs w:val="19"/>
                <w:color w:val="auto"/>
              </w:rPr>
            </w:pPr>
          </w:p>
        </w:tc>
      </w:tr>
      <w:tr>
        <w:trPr>
          <w:trHeight w:val="234"/>
        </w:trPr>
        <w:tc>
          <w:tcPr>
            <w:tcW w:w="606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5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Title of each class</w:t>
            </w:r>
          </w:p>
        </w:tc>
        <w:tc>
          <w:tcPr>
            <w:tcW w:w="5180" w:type="dxa"/>
            <w:vAlign w:val="bottom"/>
            <w:gridSpan w:val="2"/>
          </w:tcPr>
          <w:p>
            <w:pPr>
              <w:ind w:left="580"/>
              <w:spacing w:after="0"/>
              <w:rPr>
                <w:sz w:val="20"/>
                <w:szCs w:val="20"/>
                <w:color w:val="auto"/>
              </w:rPr>
            </w:pPr>
            <w:r>
              <w:rPr>
                <w:rFonts w:ascii="Arial" w:cs="Arial" w:eastAsia="Arial" w:hAnsi="Arial"/>
                <w:sz w:val="18"/>
                <w:szCs w:val="18"/>
                <w:color w:val="auto"/>
                <w:w w:val="90"/>
              </w:rPr>
              <w:t>Trading Symbol(s) Name of each exchange on which registered</w:t>
            </w: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Common Stock</w:t>
            </w:r>
          </w:p>
        </w:tc>
        <w:tc>
          <w:tcPr>
            <w:tcW w:w="1500" w:type="dxa"/>
            <w:vAlign w:val="bottom"/>
          </w:tcPr>
          <w:p>
            <w:pPr>
              <w:ind w:left="580"/>
              <w:spacing w:after="0"/>
              <w:rPr>
                <w:sz w:val="20"/>
                <w:szCs w:val="20"/>
                <w:color w:val="auto"/>
              </w:rPr>
            </w:pPr>
            <w:r>
              <w:rPr>
                <w:rFonts w:ascii="Arial" w:cs="Arial" w:eastAsia="Arial" w:hAnsi="Arial"/>
                <w:sz w:val="18"/>
                <w:szCs w:val="18"/>
                <w:color w:val="auto"/>
              </w:rPr>
              <w:t>EEFT</w:t>
            </w:r>
          </w:p>
        </w:tc>
        <w:tc>
          <w:tcPr>
            <w:tcW w:w="3680" w:type="dxa"/>
            <w:vAlign w:val="bottom"/>
          </w:tcPr>
          <w:p>
            <w:pPr>
              <w:ind w:left="480"/>
              <w:spacing w:after="0"/>
              <w:rPr>
                <w:sz w:val="20"/>
                <w:szCs w:val="20"/>
                <w:color w:val="auto"/>
              </w:rPr>
            </w:pPr>
            <w:r>
              <w:rPr>
                <w:rFonts w:ascii="Arial" w:cs="Arial" w:eastAsia="Arial" w:hAnsi="Arial"/>
                <w:sz w:val="18"/>
                <w:szCs w:val="18"/>
                <w:color w:val="auto"/>
              </w:rPr>
              <w:t>Nasdaq Global Select Market</w:t>
            </w: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1.375% Senior Notes due 2026</w:t>
            </w:r>
          </w:p>
        </w:tc>
        <w:tc>
          <w:tcPr>
            <w:tcW w:w="1500" w:type="dxa"/>
            <w:vAlign w:val="bottom"/>
          </w:tcPr>
          <w:p>
            <w:pPr>
              <w:ind w:left="580"/>
              <w:spacing w:after="0"/>
              <w:rPr>
                <w:sz w:val="20"/>
                <w:szCs w:val="20"/>
                <w:color w:val="auto"/>
              </w:rPr>
            </w:pPr>
            <w:r>
              <w:rPr>
                <w:rFonts w:ascii="Arial" w:cs="Arial" w:eastAsia="Arial" w:hAnsi="Arial"/>
                <w:sz w:val="18"/>
                <w:szCs w:val="18"/>
                <w:color w:val="auto"/>
              </w:rPr>
              <w:t>EEFT</w:t>
            </w:r>
          </w:p>
        </w:tc>
        <w:tc>
          <w:tcPr>
            <w:tcW w:w="3680" w:type="dxa"/>
            <w:vAlign w:val="bottom"/>
          </w:tcPr>
          <w:p>
            <w:pPr>
              <w:ind w:left="480"/>
              <w:spacing w:after="0"/>
              <w:rPr>
                <w:sz w:val="20"/>
                <w:szCs w:val="20"/>
                <w:color w:val="auto"/>
              </w:rPr>
            </w:pPr>
            <w:r>
              <w:rPr>
                <w:rFonts w:ascii="Arial" w:cs="Arial" w:eastAsia="Arial" w:hAnsi="Arial"/>
                <w:sz w:val="18"/>
                <w:szCs w:val="18"/>
                <w:color w:val="auto"/>
              </w:rPr>
              <w:t>Nasdaq Global Select Market</w:t>
            </w:r>
          </w:p>
        </w:tc>
      </w:tr>
    </w:tbl>
    <w:p>
      <w:pPr>
        <w:spacing w:after="0" w:line="200" w:lineRule="exact"/>
        <w:rPr>
          <w:sz w:val="24"/>
          <w:szCs w:val="24"/>
          <w:color w:val="auto"/>
        </w:rPr>
      </w:pPr>
    </w:p>
    <w:p>
      <w:pPr>
        <w:spacing w:after="0" w:line="245" w:lineRule="exact"/>
        <w:rPr>
          <w:sz w:val="24"/>
          <w:szCs w:val="24"/>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4"/>
          <w:szCs w:val="24"/>
          <w:color w:val="auto"/>
        </w:rPr>
      </w:pPr>
    </w:p>
    <w:p>
      <w:pPr>
        <w:ind w:right="16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40"/>
          </w:cols>
          <w:pgMar w:left="240" w:top="535" w:right="319" w:bottom="437" w:gutter="0" w:footer="0" w:header="0"/>
        </w:sectPr>
      </w:pPr>
    </w:p>
    <w:p>
      <w:pPr>
        <w:spacing w:after="0" w:line="95"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5">
            <w:col w:w="2160" w:space="600"/>
            <w:col w:w="1320" w:space="300"/>
            <w:col w:w="1740" w:space="720"/>
            <w:col w:w="2020" w:space="720"/>
            <w:col w:w="1760"/>
          </w:cols>
          <w:pgMar w:left="240" w:top="535" w:right="319" w:bottom="437" w:gutter="0" w:footer="0" w:header="0"/>
          <w:type w:val="continuous"/>
        </w:sectPr>
      </w:pPr>
    </w:p>
    <w:p>
      <w:pPr>
        <w:spacing w:after="0" w:line="20"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2">
            <w:col w:w="3760" w:space="620"/>
            <w:col w:w="6960"/>
          </w:cols>
          <w:pgMar w:left="240" w:top="535" w:right="319" w:bottom="437" w:gutter="0" w:footer="0" w:header="0"/>
          <w:type w:val="continuous"/>
        </w:sectPr>
      </w:pPr>
    </w:p>
    <w:p>
      <w:pPr>
        <w:spacing w:after="0" w:line="156" w:lineRule="exact"/>
        <w:rPr>
          <w:sz w:val="24"/>
          <w:szCs w:val="24"/>
          <w:color w:val="auto"/>
        </w:rPr>
      </w:pPr>
    </w:p>
    <w:p>
      <w:pPr>
        <w:ind w:left="40" w:right="2060"/>
        <w:spacing w:after="0" w:line="342"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1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On August 7, 2019, Euronet Worldwide, Inc. had 54,486,877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40"/>
          </w:cols>
          <w:pgMar w:left="240" w:top="535" w:right="319" w:bottom="437"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7"/>
        </w:trPr>
        <w:tc>
          <w:tcPr>
            <w:tcW w:w="292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I—FINANCIAL INFORMATION</w:t>
              </w:r>
            </w:hyperlink>
          </w:p>
        </w:tc>
        <w:tc>
          <w:tcPr>
            <w:tcW w:w="778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Arial" w:cs="Arial" w:eastAsia="Arial" w:hAnsi="Arial"/>
                <w:sz w:val="16"/>
                <w:szCs w:val="16"/>
                <w:color w:val="auto"/>
              </w:rPr>
              <w:t>Item 1.</w:t>
            </w:r>
          </w:p>
        </w:tc>
        <w:tc>
          <w:tcPr>
            <w:tcW w:w="9620" w:type="dxa"/>
            <w:vAlign w:val="bottom"/>
            <w:gridSpan w:val="16"/>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60" w:type="dxa"/>
            <w:vAlign w:val="bottom"/>
            <w:gridSpan w:val="10"/>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Consolidated Balance Sheets as of June 30, 2019 and December 31, 2018</w:t>
              </w:r>
            </w:hyperlink>
          </w:p>
        </w:tc>
        <w:tc>
          <w:tcPr>
            <w:tcW w:w="486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00" w:type="dxa"/>
            <w:vAlign w:val="bottom"/>
            <w:gridSpan w:val="13"/>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Consolidated Statements of Income for the Three and Six Months Ended June 30, 2019 and 2018</w:t>
              </w:r>
            </w:hyperlink>
          </w:p>
        </w:tc>
        <w:tc>
          <w:tcPr>
            <w:tcW w:w="3320" w:type="dxa"/>
            <w:vAlign w:val="bottom"/>
            <w:gridSpan w:val="3"/>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Comprehensive Income (Loss) for the Three and Six Months Ended June 30, 2019 and 2018</w:t>
              </w:r>
            </w:hyperlink>
          </w:p>
        </w:tc>
        <w:tc>
          <w:tcPr>
            <w:tcW w:w="340" w:type="dxa"/>
            <w:vAlign w:val="bottom"/>
            <w:gridSpan w:val="3"/>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0" w:type="dxa"/>
            <w:vAlign w:val="bottom"/>
            <w:gridSpan w:val="15"/>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Statements of Changes in Equity for the Three and Six Months Ended June 30, 2019 and 2018</w:t>
              </w:r>
            </w:hyperlink>
          </w:p>
        </w:tc>
        <w:tc>
          <w:tcPr>
            <w:tcW w:w="182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gridSpan w:val="12"/>
          </w:tcPr>
          <w:p>
            <w:pPr>
              <w:spacing w:after="0"/>
              <w:rPr>
                <w:rFonts w:ascii="Arial" w:cs="Arial" w:eastAsia="Arial" w:hAnsi="Arial"/>
                <w:sz w:val="16"/>
                <w:szCs w:val="16"/>
                <w:color w:val="0000EE"/>
                <w:w w:val="90"/>
              </w:rPr>
            </w:pPr>
            <w:hyperlink w:anchor="page8">
              <w:r>
                <w:rPr>
                  <w:rFonts w:ascii="Arial" w:cs="Arial" w:eastAsia="Arial" w:hAnsi="Arial"/>
                  <w:sz w:val="16"/>
                  <w:szCs w:val="16"/>
                  <w:color w:val="0000EE"/>
                  <w:w w:val="90"/>
                </w:rPr>
                <w:t>Consolidated Statements of Cash Flows for the Six Months Ended June 30, 2019 and 2018</w:t>
              </w:r>
            </w:hyperlink>
          </w:p>
        </w:tc>
        <w:tc>
          <w:tcPr>
            <w:tcW w:w="1120" w:type="dxa"/>
            <w:vAlign w:val="bottom"/>
            <w:gridSpan w:val="2"/>
          </w:tcPr>
          <w:p>
            <w:pPr>
              <w:spacing w:after="0"/>
              <w:rPr>
                <w:sz w:val="21"/>
                <w:szCs w:val="21"/>
                <w:color w:val="auto"/>
              </w:rPr>
            </w:pPr>
          </w:p>
        </w:tc>
        <w:tc>
          <w:tcPr>
            <w:tcW w:w="2620" w:type="dxa"/>
            <w:vAlign w:val="bottom"/>
            <w:gridSpan w:val="2"/>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8">
              <w:r>
                <w:rPr>
                  <w:rFonts w:ascii="Arial" w:cs="Arial" w:eastAsia="Arial" w:hAnsi="Arial"/>
                  <w:sz w:val="17"/>
                  <w:szCs w:val="17"/>
                  <w:color w:val="0000EE"/>
                </w:rPr>
                <w:t>8</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gridSpan w:val="12"/>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Notes to the Unaudited Consolidated Financial Statements</w:t>
              </w:r>
            </w:hyperlink>
          </w:p>
        </w:tc>
        <w:tc>
          <w:tcPr>
            <w:tcW w:w="3740" w:type="dxa"/>
            <w:vAlign w:val="bottom"/>
            <w:gridSpan w:val="4"/>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9">
              <w:r>
                <w:rPr>
                  <w:rFonts w:ascii="Arial" w:cs="Arial" w:eastAsia="Arial" w:hAnsi="Arial"/>
                  <w:sz w:val="17"/>
                  <w:szCs w:val="17"/>
                  <w:color w:val="0000EE"/>
                </w:rPr>
                <w:t>9</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24">
              <w:r>
                <w:rPr>
                  <w:rFonts w:ascii="Arial" w:cs="Arial" w:eastAsia="Arial" w:hAnsi="Arial"/>
                  <w:sz w:val="16"/>
                  <w:szCs w:val="16"/>
                  <w:color w:val="0000EE"/>
                  <w:w w:val="91"/>
                </w:rPr>
                <w:t>Management's Discussion and Analysis of Financial Condition and Results of Operations</w:t>
              </w:r>
            </w:hyperlink>
          </w:p>
        </w:tc>
        <w:tc>
          <w:tcPr>
            <w:tcW w:w="3820" w:type="dxa"/>
            <w:vAlign w:val="bottom"/>
            <w:gridSpan w:val="5"/>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24">
              <w:r>
                <w:rPr>
                  <w:rFonts w:ascii="Arial" w:cs="Arial" w:eastAsia="Arial" w:hAnsi="Arial"/>
                  <w:sz w:val="17"/>
                  <w:szCs w:val="17"/>
                  <w:color w:val="0000EE"/>
                </w:rPr>
                <w:t>24</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320" w:type="dxa"/>
            <w:vAlign w:val="bottom"/>
            <w:tcBorders>
              <w:bottom w:val="single" w:sz="8" w:color="0000EE"/>
            </w:tcBorders>
            <w:gridSpan w:val="4"/>
            <w:shd w:val="clear" w:color="auto" w:fill="0000EE"/>
          </w:tcPr>
          <w:p>
            <w:pPr>
              <w:spacing w:after="0" w:line="20" w:lineRule="exact"/>
              <w:rPr>
                <w:sz w:val="1"/>
                <w:szCs w:val="1"/>
                <w:color w:val="auto"/>
              </w:rPr>
            </w:pPr>
          </w:p>
        </w:tc>
        <w:tc>
          <w:tcPr>
            <w:tcW w:w="1900" w:type="dxa"/>
            <w:vAlign w:val="bottom"/>
            <w:tcBorders>
              <w:left w:val="single" w:sz="8" w:color="0000EE"/>
              <w:bottom w:val="single" w:sz="8" w:color="0000EE"/>
            </w:tcBorders>
            <w:gridSpan w:val="2"/>
            <w:shd w:val="clear" w:color="auto" w:fill="0000EE"/>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1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3.</w:t>
            </w:r>
          </w:p>
        </w:tc>
        <w:tc>
          <w:tcPr>
            <w:tcW w:w="620" w:type="dxa"/>
            <w:vAlign w:val="bottom"/>
            <w:gridSpan w:val="2"/>
          </w:tcPr>
          <w:p>
            <w:pPr>
              <w:spacing w:after="0"/>
              <w:rPr>
                <w:sz w:val="18"/>
                <w:szCs w:val="18"/>
                <w:color w:val="auto"/>
              </w:rPr>
            </w:pPr>
          </w:p>
        </w:tc>
        <w:tc>
          <w:tcPr>
            <w:tcW w:w="3900" w:type="dxa"/>
            <w:vAlign w:val="bottom"/>
            <w:gridSpan w:val="9"/>
          </w:tcPr>
          <w:p>
            <w:pPr>
              <w:spacing w:after="0"/>
              <w:rPr>
                <w:rFonts w:ascii="Arial" w:cs="Arial" w:eastAsia="Arial" w:hAnsi="Arial"/>
                <w:sz w:val="16"/>
                <w:szCs w:val="16"/>
                <w:color w:val="0000EE"/>
                <w:w w:val="92"/>
              </w:rPr>
            </w:pPr>
            <w:hyperlink w:anchor="page42">
              <w:r>
                <w:rPr>
                  <w:rFonts w:ascii="Arial" w:cs="Arial" w:eastAsia="Arial" w:hAnsi="Arial"/>
                  <w:sz w:val="16"/>
                  <w:szCs w:val="16"/>
                  <w:color w:val="0000EE"/>
                  <w:w w:val="92"/>
                </w:rPr>
                <w:t>Quantitative and Qualitative Disclosures About Market Risk</w:t>
              </w:r>
            </w:hyperlink>
          </w:p>
        </w:tc>
        <w:tc>
          <w:tcPr>
            <w:tcW w:w="5720" w:type="dxa"/>
            <w:vAlign w:val="bottom"/>
            <w:gridSpan w:val="7"/>
          </w:tcPr>
          <w:p>
            <w:pPr>
              <w:spacing w:after="0"/>
              <w:rPr>
                <w:sz w:val="18"/>
                <w:szCs w:val="18"/>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2">
              <w:r>
                <w:rPr>
                  <w:rFonts w:ascii="Arial" w:cs="Arial" w:eastAsia="Arial" w:hAnsi="Arial"/>
                  <w:sz w:val="17"/>
                  <w:szCs w:val="17"/>
                  <w:color w:val="0000EE"/>
                </w:rPr>
                <w:t>42</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720" w:type="dxa"/>
            <w:vAlign w:val="bottom"/>
            <w:tcBorders>
              <w:left w:val="single" w:sz="8" w:color="0000EE"/>
            </w:tcBorders>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4.</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Controls and Procedures</w:t>
              </w:r>
            </w:hyperlink>
          </w:p>
        </w:tc>
        <w:tc>
          <w:tcPr>
            <w:tcW w:w="5720" w:type="dxa"/>
            <w:vAlign w:val="bottom"/>
            <w:gridSpan w:val="7"/>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3">
              <w:r>
                <w:rPr>
                  <w:rFonts w:ascii="Arial" w:cs="Arial" w:eastAsia="Arial" w:hAnsi="Arial"/>
                  <w:sz w:val="17"/>
                  <w:szCs w:val="17"/>
                  <w:color w:val="0000EE"/>
                </w:rPr>
                <w:t>43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43">
              <w:r>
                <w:rPr>
                  <w:rFonts w:ascii="Arial" w:cs="Arial" w:eastAsia="Arial" w:hAnsi="Arial"/>
                  <w:sz w:val="17"/>
                  <w:szCs w:val="17"/>
                  <w:b w:val="1"/>
                  <w:bCs w:val="1"/>
                  <w:color w:val="0000EE"/>
                </w:rPr>
                <w:t>PART II—OTHER INFORMATION</w:t>
              </w:r>
            </w:hyperlink>
          </w:p>
        </w:tc>
        <w:tc>
          <w:tcPr>
            <w:tcW w:w="8040" w:type="dxa"/>
            <w:vAlign w:val="bottom"/>
            <w:gridSpan w:val="11"/>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Arial" w:cs="Arial" w:eastAsia="Arial" w:hAnsi="Arial"/>
                <w:sz w:val="16"/>
                <w:szCs w:val="16"/>
                <w:color w:val="0000EE"/>
                <w:w w:val="89"/>
              </w:rPr>
            </w:pPr>
            <w:hyperlink w:anchor="page43">
              <w:r>
                <w:rPr>
                  <w:rFonts w:ascii="Arial" w:cs="Arial" w:eastAsia="Arial" w:hAnsi="Arial"/>
                  <w:sz w:val="16"/>
                  <w:szCs w:val="16"/>
                  <w:color w:val="0000EE"/>
                  <w:w w:val="89"/>
                </w:rPr>
                <w:t>Legal Proceedings</w:t>
              </w:r>
            </w:hyperlink>
          </w:p>
        </w:tc>
        <w:tc>
          <w:tcPr>
            <w:tcW w:w="8420" w:type="dxa"/>
            <w:vAlign w:val="bottom"/>
            <w:gridSpan w:val="12"/>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3">
              <w:r>
                <w:rPr>
                  <w:rFonts w:ascii="Arial" w:cs="Arial" w:eastAsia="Arial" w:hAnsi="Arial"/>
                  <w:sz w:val="17"/>
                  <w:szCs w:val="17"/>
                  <w:color w:val="0000EE"/>
                </w:rPr>
                <w:t>43</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9620" w:type="dxa"/>
            <w:vAlign w:val="bottom"/>
            <w:gridSpan w:val="16"/>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Risk Factors</w:t>
              </w:r>
            </w:hyperlink>
          </w:p>
        </w:tc>
        <w:tc>
          <w:tcPr>
            <w:tcW w:w="340" w:type="dxa"/>
            <w:vAlign w:val="bottom"/>
            <w:gridSpan w:val="3"/>
          </w:tcPr>
          <w:p>
            <w:pPr>
              <w:jc w:val="right"/>
              <w:spacing w:after="0"/>
              <w:rPr>
                <w:rFonts w:ascii="Arial" w:cs="Arial" w:eastAsia="Arial" w:hAnsi="Arial"/>
                <w:sz w:val="17"/>
                <w:szCs w:val="17"/>
                <w:color w:val="0000EE"/>
              </w:rPr>
            </w:pPr>
            <w:hyperlink w:anchor="page44">
              <w:r>
                <w:rPr>
                  <w:rFonts w:ascii="Arial" w:cs="Arial" w:eastAsia="Arial" w:hAnsi="Arial"/>
                  <w:sz w:val="17"/>
                  <w:szCs w:val="17"/>
                  <w:color w:val="0000EE"/>
                </w:rPr>
                <w:t>44</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6"/>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7"/>
                <w:szCs w:val="17"/>
                <w:color w:val="0000EE"/>
              </w:rPr>
            </w:pPr>
            <w:hyperlink w:anchor="page44">
              <w:r>
                <w:rPr>
                  <w:rFonts w:ascii="Arial" w:cs="Arial" w:eastAsia="Arial" w:hAnsi="Arial"/>
                  <w:sz w:val="17"/>
                  <w:szCs w:val="17"/>
                  <w:color w:val="0000EE"/>
                </w:rPr>
                <w:t>44</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6.</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Exhibits</w:t>
              </w:r>
            </w:hyperlink>
          </w:p>
        </w:tc>
        <w:tc>
          <w:tcPr>
            <w:tcW w:w="5720" w:type="dxa"/>
            <w:vAlign w:val="bottom"/>
            <w:gridSpan w:val="7"/>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5">
              <w:r>
                <w:rPr>
                  <w:rFonts w:ascii="Arial" w:cs="Arial" w:eastAsia="Arial" w:hAnsi="Arial"/>
                  <w:sz w:val="17"/>
                  <w:szCs w:val="17"/>
                  <w:color w:val="0000EE"/>
                </w:rPr>
                <w:t>45</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6"/>
                <w:szCs w:val="16"/>
                <w:color w:val="0000EE"/>
                <w:w w:val="86"/>
              </w:rPr>
            </w:pPr>
            <w:hyperlink w:anchor="page46">
              <w:r>
                <w:rPr>
                  <w:rFonts w:ascii="Arial" w:cs="Arial" w:eastAsia="Arial" w:hAnsi="Arial"/>
                  <w:sz w:val="16"/>
                  <w:szCs w:val="16"/>
                  <w:color w:val="0000EE"/>
                  <w:w w:val="86"/>
                </w:rPr>
                <w:t>Signatures</w:t>
              </w:r>
            </w:hyperlink>
          </w:p>
        </w:tc>
        <w:tc>
          <w:tcPr>
            <w:tcW w:w="8940" w:type="dxa"/>
            <w:vAlign w:val="bottom"/>
            <w:gridSpan w:val="14"/>
          </w:tcPr>
          <w:p>
            <w:pPr>
              <w:spacing w:after="0"/>
              <w:rPr>
                <w:sz w:val="24"/>
                <w:szCs w:val="24"/>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6">
              <w:r>
                <w:rPr>
                  <w:rFonts w:ascii="Arial" w:cs="Arial" w:eastAsia="Arial" w:hAnsi="Arial"/>
                  <w:sz w:val="17"/>
                  <w:szCs w:val="17"/>
                  <w:color w:val="0000EE"/>
                </w:rPr>
                <w:t>46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4"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1,558,461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1,054,357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76,595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Trade accounts receivable, net of allowances for doubtful accounts of $24,937 at June 30, 2019 and $24,287 at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December 31, 2018</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836,713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693,616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235,279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263,019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2,701,750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2,087,587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right of use lease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376,343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and equipment, net of accumulated depreciation of $381,771 at June 30, 2019 and $373,180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324,298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291,869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706,367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704,197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Acquired intangible assets, net of accumulated amortization of $201,566 at June 30, 2019 and $190,920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104,374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114,485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8"/>
              </w:rPr>
              <w:t>Other assets, net of accumulated amortization of $54,549 at June 30, 2019 and $50,821 at December 31, 2018</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120,204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123,017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4,333,336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3,321,155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432,140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528,913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712,012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124,131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47,490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40,159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62,455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59,293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1,481,427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1,378,394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1,096,735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589,782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241,630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57,145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62,337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62,992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2,935,113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2,088,313</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$0.02 par value. 90,000,000 shares authorized; 62,563,955 issued at June 30, 2019 and 59,897,309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issued at December 31, 2018</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1,172,834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1,104,264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8,083,716 shares at June 30, 2019 and 8,077,311 shares at December 31, 2018</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(391,551)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772,501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669,805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(151,043)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1,398,183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1,232,673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1,398,223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1,232,842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4,333,336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3,321,155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3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3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691,867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622,224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1,269,376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1,172,739</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393,811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361,512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747,644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704,836</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98,550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91,723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191,345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177,429</w:t>
            </w:r>
          </w:p>
        </w:tc>
      </w:tr>
      <w:tr>
        <w:trPr>
          <w:trHeight w:val="27"/>
        </w:trPr>
        <w:tc>
          <w:tcPr>
            <w:tcW w:w="5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102,368</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27,767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26,263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54,407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52,265</w:t>
            </w:r>
          </w:p>
        </w:tc>
      </w:tr>
      <w:tr>
        <w:trPr>
          <w:trHeight w:val="27"/>
        </w:trPr>
        <w:tc>
          <w:tcPr>
            <w:tcW w:w="54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573,970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531,855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1,095,385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1,036,898</w:t>
            </w: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117,897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90,369</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173,991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135,841</w:t>
            </w:r>
          </w:p>
        </w:tc>
      </w:tr>
      <w:tr>
        <w:trPr>
          <w:trHeight w:val="27"/>
        </w:trPr>
        <w:tc>
          <w:tcPr>
            <w:tcW w:w="54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712</w:t>
            </w:r>
          </w:p>
        </w:tc>
      </w:tr>
      <w:tr>
        <w:trPr>
          <w:trHeight w:val="27"/>
        </w:trPr>
        <w:tc>
          <w:tcPr>
            <w:tcW w:w="5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(17,667)</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unconsolidated affiliates</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Foreign currency exchange (loss) gain, net</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(20,690)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(18,755)</w:t>
            </w:r>
          </w:p>
        </w:tc>
      </w:tr>
      <w:tr>
        <w:trPr>
          <w:trHeight w:val="27"/>
        </w:trPr>
        <w:tc>
          <w:tcPr>
            <w:tcW w:w="5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(losses) gains</w:t>
            </w:r>
          </w:p>
        </w:tc>
        <w:tc>
          <w:tcPr>
            <w:tcW w:w="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r>
      <w:tr>
        <w:trPr>
          <w:trHeight w:val="237"/>
        </w:trPr>
        <w:tc>
          <w:tcPr>
            <w:tcW w:w="546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4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(30,306)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(35,767)</w:t>
            </w:r>
          </w:p>
        </w:tc>
      </w:tr>
      <w:tr>
        <w:trPr>
          <w:trHeight w:val="27"/>
        </w:trPr>
        <w:tc>
          <w:tcPr>
            <w:tcW w:w="54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99,328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60,063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100,074</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(30,094)</w:t>
            </w:r>
          </w:p>
        </w:tc>
      </w:tr>
      <w:tr>
        <w:trPr>
          <w:trHeight w:val="27"/>
        </w:trPr>
        <w:tc>
          <w:tcPr>
            <w:tcW w:w="54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43,636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69,980</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Net loss attributable to noncontrolling interests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157</w:t>
            </w:r>
          </w:p>
        </w:tc>
      </w:tr>
      <w:tr>
        <w:trPr>
          <w:trHeight w:val="27"/>
        </w:trPr>
        <w:tc>
          <w:tcPr>
            <w:tcW w:w="54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68,153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43,724</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102,696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70,137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Earnings per share attributable to Euronet Worldwide, Inc. stockholders:</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4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0.85</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1.36</w:t>
            </w:r>
          </w:p>
        </w:tc>
      </w:tr>
      <w:tr>
        <w:trPr>
          <w:trHeight w:val="251"/>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4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53,212,759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51,226,898</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52,546,647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3"/>
              </w:rPr>
              <w:t>51,563,090</w:t>
            </w:r>
          </w:p>
        </w:tc>
      </w:tr>
      <w:tr>
        <w:trPr>
          <w:trHeight w:val="251"/>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54,702,459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53,492,835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53,945,770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53,871,279</w:t>
            </w:r>
          </w:p>
        </w:tc>
      </w:tr>
      <w:tr>
        <w:trPr>
          <w:trHeight w:val="20"/>
        </w:trPr>
        <w:tc>
          <w:tcPr>
            <w:tcW w:w="594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gridSpan w:val="8"/>
          </w:tcPr>
          <w:p>
            <w:pPr>
              <w:jc w:val="center"/>
              <w:ind w:left="253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5460" w:type="dxa"/>
            <w:vAlign w:val="bottom"/>
          </w:tcPr>
          <w:p>
            <w:pPr>
              <w:spacing w:after="0"/>
              <w:rPr>
                <w:sz w:val="24"/>
                <w:szCs w:val="24"/>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INCOME (LOSS) (Unaudited,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43,636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69,980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12,161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(58,533)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(35,585)</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98,560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34,395</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Comprehensive loss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194</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(loss) attributable to Euronet Worldwide,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80,302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98,689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34,589</w:t>
            </w: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4"/>
                <w:szCs w:val="14"/>
                <w:color w:val="auto"/>
              </w:rPr>
            </w:pPr>
          </w:p>
        </w:tc>
        <w:tc>
          <w:tcPr>
            <w:tcW w:w="1100" w:type="dxa"/>
            <w:vAlign w:val="bottom"/>
            <w:vMerge w:val="restart"/>
          </w:tcPr>
          <w:p>
            <w:pPr>
              <w:jc w:val="center"/>
              <w:ind w:right="174"/>
              <w:spacing w:after="0"/>
              <w:rPr>
                <w:sz w:val="20"/>
                <w:szCs w:val="20"/>
                <w:color w:val="auto"/>
              </w:rPr>
            </w:pPr>
            <w:r>
              <w:rPr>
                <w:rFonts w:ascii="Arial" w:cs="Arial" w:eastAsia="Arial" w:hAnsi="Arial"/>
                <w:sz w:val="14"/>
                <w:szCs w:val="14"/>
                <w:b w:val="1"/>
                <w:bCs w:val="1"/>
                <w:color w:val="auto"/>
                <w:w w:val="94"/>
              </w:rPr>
              <w:t>Treasury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1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3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52,808,158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1,072,005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116,358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380" w:type="dxa"/>
            <w:vAlign w:val="bottom"/>
          </w:tcPr>
          <w:p>
            <w:pPr>
              <w:jc w:val="right"/>
              <w:spacing w:after="0"/>
              <w:rPr>
                <w:sz w:val="20"/>
                <w:szCs w:val="20"/>
                <w:color w:val="auto"/>
              </w:rPr>
            </w:pPr>
            <w:r>
              <w:rPr>
                <w:rFonts w:ascii="Arial" w:cs="Arial" w:eastAsia="Arial" w:hAnsi="Arial"/>
                <w:sz w:val="18"/>
                <w:szCs w:val="18"/>
                <w:color w:val="auto"/>
              </w:rPr>
              <w:t>(1,418,895)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51,505,621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1,078,502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(343,398)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89,954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380" w:type="dxa"/>
            <w:vAlign w:val="bottom"/>
          </w:tcPr>
          <w:p>
            <w:pPr>
              <w:jc w:val="right"/>
              <w:spacing w:after="0"/>
              <w:rPr>
                <w:sz w:val="20"/>
                <w:szCs w:val="20"/>
                <w:color w:val="auto"/>
              </w:rPr>
            </w:pPr>
            <w:r>
              <w:rPr>
                <w:rFonts w:ascii="Arial" w:cs="Arial" w:eastAsia="Arial" w:hAnsi="Arial"/>
                <w:sz w:val="18"/>
                <w:szCs w:val="18"/>
                <w:color w:val="auto"/>
              </w:rPr>
              <w:t>(613,704)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50,981,871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1,084,536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(393,138)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5620" w:type="dxa"/>
            <w:vAlign w:val="bottom"/>
          </w:tcPr>
          <w:p>
            <w:pPr>
              <w:spacing w:after="0"/>
              <w:rPr>
                <w:sz w:val="24"/>
                <w:szCs w:val="2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24"/>
                <w:szCs w:val="2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24"/>
                <w:szCs w:val="24"/>
                <w:color w:val="auto"/>
              </w:rPr>
            </w:pPr>
          </w:p>
        </w:tc>
        <w:tc>
          <w:tcPr>
            <w:tcW w:w="1100" w:type="dxa"/>
            <w:vAlign w:val="bottom"/>
            <w:vMerge w:val="restart"/>
          </w:tcPr>
          <w:p>
            <w:pPr>
              <w:jc w:val="center"/>
              <w:ind w:right="174"/>
              <w:spacing w:after="0"/>
              <w:rPr>
                <w:sz w:val="20"/>
                <w:szCs w:val="20"/>
                <w:color w:val="auto"/>
              </w:rPr>
            </w:pPr>
            <w:r>
              <w:rPr>
                <w:rFonts w:ascii="Arial" w:cs="Arial" w:eastAsia="Arial" w:hAnsi="Arial"/>
                <w:sz w:val="14"/>
                <w:szCs w:val="14"/>
                <w:b w:val="1"/>
                <w:bCs w:val="1"/>
                <w:color w:val="auto"/>
                <w:w w:val="94"/>
              </w:rPr>
              <w:t>Treasury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1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3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51,819,998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1,104,264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(391,551)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130,136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5,194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Issuance of convertible notes, net of tax</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71,660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and conversions of convertible notes, net of tax</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as of March 31, 2019</w:t>
            </w:r>
          </w:p>
        </w:tc>
        <w:tc>
          <w:tcPr>
            <w:tcW w:w="13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51,950,140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1,142,691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(393,307)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41,856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Redemptions and conversions of convertible notes, net of tax</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2,488,243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Balance as of June 30, 2019</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54,480,239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1,172,834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(393,353)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 Earnings</w:t>
            </w:r>
          </w:p>
        </w:tc>
        <w:tc>
          <w:tcPr>
            <w:tcW w:w="4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Comprehensive Loss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Interests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436,954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(94,458)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1,199,478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26,413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26,344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Repurchase of shares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463,367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(71,564)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43,724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43,636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Repurchase of shares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507,091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1,070,430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Retained Earnings</w:t>
            </w:r>
          </w:p>
        </w:tc>
        <w:tc>
          <w:tcPr>
            <w:tcW w:w="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4"/>
          </w:tcPr>
          <w:p>
            <w:pPr>
              <w:ind w:left="6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1"/>
              </w:rPr>
              <w:t>Comprehensive Loss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669,805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(151,043)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1,232,842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Issuance of convertible notes, net of tax</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71,660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Repurchases and conversions of convertible notes, net of tax</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(42,917)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Balance as of March 31, 2019</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704,348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(167,199)</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1,287,910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68,005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Redemptions and conversions of convertible notes, net of tax</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Balance as of June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772,501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(155,050)</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1,398,223</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69,980</w:t>
            </w:r>
          </w:p>
        </w:tc>
        <w:tc>
          <w:tcPr>
            <w:tcW w:w="0" w:type="dxa"/>
            <w:vAlign w:val="bottom"/>
          </w:tcPr>
          <w:p>
            <w:pPr>
              <w:spacing w:after="0"/>
              <w:rPr>
                <w:sz w:val="1"/>
                <w:szCs w:val="1"/>
                <w:color w:val="auto"/>
              </w:rPr>
            </w:pP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52,265</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10,493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foreign exchange (gain) loss,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18,755</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early retirement of debt</w:t>
            </w:r>
          </w:p>
        </w:tc>
        <w:tc>
          <w:tcPr>
            <w:tcW w:w="240" w:type="dxa"/>
            <w:vAlign w:val="bottom"/>
            <w:shd w:val="clear" w:color="auto" w:fill="CCEEFF"/>
          </w:tcPr>
          <w:p>
            <w:pPr>
              <w:spacing w:after="0"/>
              <w:rPr>
                <w:sz w:val="21"/>
                <w:szCs w:val="21"/>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9,831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Loss from unconsolidated affiliates</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Changes in working capital, net of amounts acquired:</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(146,441)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35,456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12,304</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(99,237)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85,262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(35,553)</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noncurrent assets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56,714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69,304</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(12,854)</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(53,381)</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Purchases of other long-term assets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(68,990)</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Proceeds from issuance of shares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of shares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(176,657)</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Borrowings from revolving credit agreements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2,043,598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2,573,941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revolving credit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(2,253,498)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(2,333,885)</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Proceeds from long-term debt obligations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1,194,900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long-term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(Repayments of) borrowings from short-term debt obligations,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302,841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505,945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360,922</w:t>
            </w:r>
          </w:p>
        </w:tc>
        <w:tc>
          <w:tcPr>
            <w:tcW w:w="0" w:type="dxa"/>
            <w:vAlign w:val="bottom"/>
          </w:tcPr>
          <w:p>
            <w:pPr>
              <w:spacing w:after="0"/>
              <w:rPr>
                <w:sz w:val="1"/>
                <w:szCs w:val="1"/>
                <w:color w:val="auto"/>
              </w:rPr>
            </w:pP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(25,471)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in cash and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498,806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335,765</w:t>
            </w:r>
          </w:p>
        </w:tc>
        <w:tc>
          <w:tcPr>
            <w:tcW w:w="0" w:type="dxa"/>
            <w:vAlign w:val="bottom"/>
          </w:tcPr>
          <w:p>
            <w:pPr>
              <w:spacing w:after="0"/>
              <w:rPr>
                <w:sz w:val="1"/>
                <w:szCs w:val="1"/>
                <w:color w:val="auto"/>
              </w:rPr>
            </w:pP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1,130,952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900,518</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7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1,629,758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1,236,283</w:t>
            </w:r>
          </w:p>
        </w:tc>
        <w:tc>
          <w:tcPr>
            <w:tcW w:w="0" w:type="dxa"/>
            <w:vAlign w:val="bottom"/>
          </w:tcPr>
          <w:p>
            <w:pPr>
              <w:spacing w:after="0"/>
              <w:rPr>
                <w:sz w:val="1"/>
                <w:szCs w:val="1"/>
                <w:color w:val="auto"/>
              </w:rPr>
            </w:pPr>
          </w:p>
        </w:tc>
      </w:tr>
      <w:tr>
        <w:trPr>
          <w:trHeight w:val="217"/>
        </w:trPr>
        <w:tc>
          <w:tcPr>
            <w:tcW w:w="8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paid during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9,857</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Income taxes paid during the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36,543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31,710</w:t>
            </w:r>
          </w:p>
        </w:tc>
        <w:tc>
          <w:tcPr>
            <w:tcW w:w="0" w:type="dxa"/>
            <w:vAlign w:val="bottom"/>
          </w:tcPr>
          <w:p>
            <w:pPr>
              <w:spacing w:after="0"/>
              <w:rPr>
                <w:sz w:val="1"/>
                <w:szCs w:val="1"/>
                <w:color w:val="auto"/>
              </w:rPr>
            </w:pPr>
          </w:p>
        </w:tc>
      </w:tr>
      <w:tr>
        <w:trPr>
          <w:trHeight w:val="243"/>
        </w:trPr>
        <w:tc>
          <w:tcPr>
            <w:tcW w:w="8780" w:type="dxa"/>
            <w:vAlign w:val="bottom"/>
          </w:tcPr>
          <w:p>
            <w:pPr>
              <w:ind w:left="296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125" w:right="2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software solutions, electronic distribution of prepaid mobile airtime and other digital media products, foreign currency exchange services and global money transfer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and cash flows for the interim periods. The unaudited consolidated financial statements should be read in conjunction with the audited consolidated financial statements of the Company for the year ended December 31, 2018, including the notes thereto, set forth in the Company’s 2018 Annual Report on Form 10-K. Certain amounts in prior years have been reclassified to conform to the current year's presentation.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Euronet’s EFT Processing Segment experiences its heaviest demand for ATM cash withdrawal transactions and dynamic currency conversion ("DCC") services during the third quarter of the fiscal year, coinciding with the tourism season followed by lower transaction levels during the fourth quarter. Additionally, the epay Segment is impacted by seasonality during the fourth quarter and the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 xml:space="preserve">The Company adopted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 amended, as of January 1, 2019, using the modified retrospective approach and comparative periods were not restated. The new standards provide a number of optional practical expedients in transition.</w:t>
      </w:r>
    </w:p>
    <w:p>
      <w:pPr>
        <w:spacing w:after="0" w:line="4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elected the “package of practical expedients” which permits the Company not to reassess under the new standard the Company’s prior conclusions about lease identification, lease classification and initial direct costs. The Company also elected to combine lease and non-lease components and to include short-term leases with an initial term of 12 months or less on the balance sheet.</w:t>
      </w:r>
    </w:p>
    <w:p>
      <w:pPr>
        <w:spacing w:after="0" w:line="10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addition, the Company elected the hindsight practical expedient to determine the lease term for existing leases. The election of the hindsight practical expedient resulted in, for substantially all leases in effect on January 1, 2019, the lease term for implementation of this pronouncement, as the lease’s life being January 1, 2019 through the lease’s contractual termination date, rather than the actual lease life as set out in the lease agreement. Lease lives for lease agreements committed to on January 1, 2019 and, thereafter, are included based on the lease’s commencement date and termination date. In the application of hindsight, the Company evaluated the performance of all the leases and the associated markets in relation to the Company’s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operations, which resulted in the determination that the exercise of renewal options would not be reasonably certain in determining the expected lease term.</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Adoption of the new standard resulted in the recognition of additional operating right of use lease assets and lease liabilities of approximately $296.9 million, as of January 1, 2019.</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June 2016, the Financial Accounting Standards Board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is permitted for all entities for fiscal years, and interim periods within those fiscal years, beginning after December 15, 2018. The Company does not expect that the adoption of this guidance to have a significant impact on its consolidated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periods. Diluted earnings per share has been computed by dividing earnings available to common stockholders by the weighted average shares outstanding during the respective period, after adjusting for any potential dilution from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96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938"/>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938"/>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53,212,759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w w:val="93"/>
              </w:rPr>
              <w:t>51,226,898</w:t>
            </w:r>
          </w:p>
        </w:tc>
        <w:tc>
          <w:tcPr>
            <w:tcW w:w="20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52,546,647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w w:val="95"/>
              </w:rPr>
              <w:t>51,563,090</w:t>
            </w: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Incremental shares from assumed exercise of stock options and vesting of</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1,489,700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1,494,766</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1,399,123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1,537,018</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notes</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771,171</w:t>
            </w:r>
          </w:p>
        </w:tc>
        <w:tc>
          <w:tcPr>
            <w:tcW w:w="200" w:type="dxa"/>
            <w:vAlign w:val="bottom"/>
          </w:tcPr>
          <w:p>
            <w:pPr>
              <w:spacing w:after="0"/>
              <w:rPr>
                <w:sz w:val="21"/>
                <w:szCs w:val="21"/>
                <w:color w:val="auto"/>
              </w:rPr>
            </w:pPr>
          </w:p>
        </w:tc>
        <w:tc>
          <w:tcPr>
            <w:tcW w:w="16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771,171</w:t>
            </w: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54,702,459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3"/>
              </w:rPr>
              <w:t>53,492,835</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53,945,770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53,871,279</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table includes the impact of all stock options and restricted stock that are dilutive to the Company’s weighted average common shares outstanding during the three and six months ended June 30, 2019 and 2018. The calculation of diluted earnings per share excludes stock options or shares of restricted stock that are anti-dilutive to the Company’s weighted average common shares outstanding of approximately 782,000 and 805,000 for the three and six months ended June 30, 2019, respectively, and approximately 1,209,000 and 1,124,000 for the three and six months ended June 30, 2018, respectively.</w:t>
      </w:r>
    </w:p>
    <w:p>
      <w:pPr>
        <w:spacing w:after="0" w:line="4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issued new Convertible Senior Notes ("Convertible Notes") due March 2049 on March 18, 2019 and retired the existing convertible notes ("Retired Convertible Notes") that would have matured in 2044 on May 28, 2019. The Company's Convertible Notes currently have and the Retired Convertible Notes had a settlement features requiring the Company upon conversion to settle the principal amount of the debt and any conversion value in excess of the principal value ("conversion premium"), for cash or shares of the Company's common stock or a combination thereof, at the Company's option. The Company has stated its intent to settle any conversion of these notes by paying cash for the principal value and issuing common stock for any conversion premium. Accordingly, the Convertible Notes and the Retired Convertible Notes were included in the calculation of diluted earnings per share if their inclusion was dilutive. The dilutive effect increases the more the market price exceeds the conversion price. The Retired Convertible Notes had a dilutive effect in the three and six months ended June 30, 2018 as the $83.77 market price per share of Common Stock as of June 30, 2018 exceeded the $72.18 conversion price per share. The Convertible Notes would only have a dilutive effect if the market price per share of common stock exceeds the conversion price of $188.73 per share. As of June 30, 2019, the Convertible Notes did not have a dilutive effect on the earnings per share. See Note 7, Debt Obligations, for more information about the convertible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Board of Directors has authorized a stock repurchase program ("Repurchase Program") allowing Euronet to repurchase up to $375 million in value or 10.0 million shares of stock through March 31, 2020. During the three and six months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ended June 30, 2019, there were no repurchase of stock, the remaining maximum dollar value of shares that may yet be purchased under the Repurchase program was $200.0 million. Repurchases under the Repurchase Program may take place in the open market or in privately negotiated transactions, including derivative transactions, and may be made under a Rule 10b5-1 plan. For the first half of 2019, the Company did not make any repurchases under the Repurchase Program. In connection with the issuance of the Convertible Notes, the Board of Directors of the Company authorized the Company to repurchase up to $120 million of the Company’s common stock concurrently with or following the issuance of the Convertible Notes. This authorization will expire on March 11, 2021. For the three and six months ended June 30, 2019, the Company did not make any repurchases under this special authorization.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Accumulated other comprehensive loss consists entirely of foreign currency translation adjustments. The Company recorded foreign currency translation gains of $12.2 million for the second quarter of 2019, and losses of $4.0 million, $58.5 million, and $35.6 million for the first half of 2019,the three and six months ended June 30, 2018, respectively. There were no reclassifications of foreign currency translation into the consolidated statements of income for the three and six months ended June 30, 2019 and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 months ended June 30, 2019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114,485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704,197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818,682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(10,303)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June 30,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104,374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706,367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810,741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June 30, 2019, is expected to total $10.2 million for the remainder of 2019, $19.7 million for 2020, $18.9 million for 2021, $17.8 million for 2022, $13.1 million for 2023 and $6.7 million for 2024.</w:t>
      </w:r>
    </w:p>
    <w:p>
      <w:pPr>
        <w:spacing w:after="0" w:line="38"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January 2019, the Company completed the acquisition of the majority interests of a small Indonesian business in which the Company previously held the minority interest for an immaterial amount of cash consideration. The acquisition has been accounted for as business combinations in accordance with U.S. GAAP and the results of operations have been included from the date of acquisition in the EFT Processing Segment.</w:t>
      </w:r>
    </w:p>
    <w:p>
      <w:pPr>
        <w:spacing w:after="0" w:line="5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annual goodwill impairment test is performed during the fourth quarter of its fiscal year. The annual impairment test for the year ended December 31, 2018 resulted in no impairment charge.</w:t>
      </w:r>
    </w:p>
    <w:p>
      <w:pPr>
        <w:spacing w:after="0" w:line="6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2018 annual impairment test could change, which may result in the Company recording material non-cash impairment charges during the year in which these changes take place.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w w:val="85"/>
              </w:rPr>
              <w:t>As of</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4"/>
              </w:rPr>
              <w:t>June 30, 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transfer settlement obligations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405,228</w:t>
            </w:r>
          </w:p>
        </w:tc>
        <w:tc>
          <w:tcPr>
            <w:tcW w:w="540" w:type="dxa"/>
            <w:vAlign w:val="bottom"/>
            <w:gridSpan w:val="3"/>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310,710</w:t>
            </w: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540" w:type="dxa"/>
            <w:vAlign w:val="bottom"/>
            <w:tcBorders>
              <w:bottom w:val="single" w:sz="8" w:color="CCEEFF"/>
            </w:tcBorders>
            <w:gridSpan w:val="3"/>
            <w:vMerge w:val="continue"/>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274,033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293,864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amounts due to mobile operators and other content providers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65,878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36,102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791,213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712,012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UNEARNED REVENUES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requires the deferral of incremental costs to obtain customer contracts, known as contract assets, which are then amortized to expense as part of selling, general and administrative expense over the respective periods of expected benefit. Such costs are not material; however, the Company has implemented processes and controls to record such costs on an ongoing basis and will disclose them if they become material.</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records deferred revenues when cash payments are received or due in advance of its performance. The increase in the deferred revenue balance for the first half of 2019 is primarily driven by $26.3 million of cash payments received in the current year for which the Company has not yet satisfied the performance obligations, largely offset by $23.2 million of revenues recognized that were included in the deferred revenue balance as of December 31,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Revolving credit agreements, due 2023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215,725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Convertible Debt: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0.75% convertible notes, unsecured, due 2049</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429,563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379,859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1.375% Senior Notes, due 2026</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682,080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obligations</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24,279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38,513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debt obligations</w:t>
            </w: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1,142,051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634,097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Carrying value of debt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1,120,733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627,799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(38,017)</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1,096,735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589,782</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October 17, 2018, the Company entered into a new unsecured revolving credit agreement (the "Credit Facility") for $1.0 billion that expires on</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October 17, 2023. Fees and interest on borrowings are based upon the Company's corporate credit rating and are based, in the case of letter of credit fees, on a margin , and in the case of interest, on a margin over London Inter-Bank Offered Rate (“LIBOR”) or a margin over the base rate, as selected by the Company, with the applicable margin ranging from 1.125% to 2.0% or 0.175% to 1.0% for base rate loans. The Credit Facility allows for borrowings in Australian Dollars, British Pounds Sterling, Canadian Dollars, Czech Koruna, Danish Krone, Euros, Hungarian Forints, Japanese Yen, New Zealand Dollars, Norwegian Krone, Polish Zlotys, Swedish Krona, Swiss Francs, and U.S. Dollars. The weighted average interest rate of the Company's borrowing under the Credit Facility was 2.23% as of June 30, 2019.</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5"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color w:val="auto"/>
        </w:rPr>
        <w:t>O</w:t>
      </w:r>
      <w:r>
        <w:rPr>
          <w:rFonts w:ascii="Arial" w:cs="Arial" w:eastAsia="Arial" w:hAnsi="Arial"/>
          <w:sz w:val="17"/>
          <w:szCs w:val="17"/>
          <w:color w:val="auto"/>
        </w:rPr>
        <w:t>n March 18, 2019, the Company completed the sale of $525 million of Convertible Senior Notes ("Convertible Notes"). The Convertible Notes mature in</w:t>
      </w:r>
      <w:r>
        <w:rPr>
          <w:rFonts w:ascii="Arial" w:cs="Arial" w:eastAsia="Arial" w:hAnsi="Arial"/>
          <w:sz w:val="19"/>
          <w:szCs w:val="19"/>
          <w:color w:val="auto"/>
        </w:rPr>
        <w:t xml:space="preserve"> </w:t>
      </w:r>
      <w:r>
        <w:rPr>
          <w:rFonts w:ascii="Arial" w:cs="Arial" w:eastAsia="Arial" w:hAnsi="Arial"/>
          <w:sz w:val="17"/>
          <w:szCs w:val="17"/>
          <w:color w:val="auto"/>
        </w:rPr>
        <w:t>March 2049 unless redeemed or converted prior to such date, and are convertible into shares of Euronet Common Stock at a conversion price of approximately $188.73 per share. The Company used $94.2 million of the net proceeds from the issuance of the new debt to repurchase $49 million aggregate principal amount of the Company's 1.5% Convertible Senior Notes outstanding due 2044 (the "Retired Convertible Notes") from a limited number of holders in privately negotiated transactions. The Company expects to use the remainder of the net proceeds for general corporate purposes, which may include repaying borrowings outstanding under the Credit Facility, share repurchases or acquisitions.</w:t>
      </w:r>
    </w:p>
    <w:p>
      <w:pPr>
        <w:spacing w:after="0" w:line="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March 18, 2019, the Company provided a notice of redemption to the trustee of the indenture governing the Retired Convertible Notes (the "Existing Indenture"), pursuant to which the Company would redeem all of the remaining principal amount outstanding of the Retired Convertible Notes on May 28, 2019 (the "Redemption Date") for cash at a redemption price equal to 100% of the principal amount of the Retired Convertible Notes redeemed plus accrued and unpaid interest, if any, to, but excluding, the Redemption Date. The issuance of the Convertible Notes and the conversion of the Retired Convertible Notes, resulted in a $25.6 million recognition and a $34.2 million reversal of deferred tax liabilities within the additional paid-in capital as of June 30, 2019, respectively.</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the Redemption Date, approximately $352.4 million principal amount of the Retired Convertible Notes were submitted for conversion. The Company elected to settle the conversion of such Retired Convertible Notes through a combination of cash and stock. The Company paid cash equal to $1,000 for each $1,000 principal amount of Retired Convertible Notes submitted for conversion and satisfied the remainder of the conversion obligation by issuing shares of the Company's Common Stock</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valued bonds valued at $147.24 per share. As a result, the Company paid cash of $352.4 million and issued approximately 2.5 million shares of its Common Stock. In accordance with ASC 470, the Company recognized a loss of $9.8 million on the conversion and redemption of the debt for the first half of 2019, representing the difference between the fair value of the Retired Convertible Notes converted and the carrying value of the bonds at the time of conversion.</w:t>
      </w:r>
    </w:p>
    <w:p>
      <w:pPr>
        <w:spacing w:after="0" w:line="1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paid-in capital of $99.7 million for the Convertible Notes.</w:t>
      </w:r>
    </w:p>
    <w:p>
      <w:pPr>
        <w:spacing w:after="0" w:line="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Contractual interest expense for the Retired Convertible Notes was $1.5 million for the first half of 2019. Accretion expense was $1.8 million and $4.6 million for the three and six months ended June 30, 2019, respectively.</w:t>
      </w:r>
    </w:p>
    <w:p>
      <w:pPr>
        <w:spacing w:after="0" w:line="8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Contractual interest expense for the Convertible Notes was $1.0 million and $1.1 million for the three and six months ended June 30, 2019, respectively. Accretion expense was $3.6 million and $4.2 million for the three and six months ended June 30, 2019, respectively. The effective interest rate was 4.4% for the three and six months ended June 30, 2019. As of June 30, 2019, the unamortized discount was $95.4 million and will be amortized through March 2025.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1.375% Senior Notes due 2026</w:t>
      </w:r>
    </w:p>
    <w:p>
      <w:pPr>
        <w:spacing w:after="0" w:line="14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expire on May 2026 (the “Senior Notes”). The Senior Notes accrue interest at a rate of 1.375% per year, payable annually in arrears commencing May 22, 2020, until maturity or earlier redemption. As of June 30, 2019, the Company has outstanding €600 million ($682.1 million) principal amount of the Senior Notes. In addition, the Company may redeem some or all of these notes on or after February 22, 2026 at their principal amount plus any accrued and unpaid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Topic 815")</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either the relatively short duration of the contract term or the effects of fluctuations in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rates being reflected concurrently in earnings for both the derivative instrument and the hedged transaction and having an offsetting effect.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United States, the Company's Ria operations use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June 30, 2019, the Company held in its Ria operations foreign currency forward contracts outstanding in the U.S. with a notional value of $278 million, primarily in Australian dollars, Canadian dollars, British pounds, euros and Mexican pesos.</w:t>
      </w:r>
    </w:p>
    <w:p>
      <w:pPr>
        <w:spacing w:after="0" w:line="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 foreign exchange rate fluctuations on certain foreign currency denominated other asset and liability positions. As of June 30, 2019, the Company had foreign currency forward contracts outstanding with a notional value of $86 million, primarily in euros and Polish zloty.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may hedge some or all of the resulting net currency risks by entering into offsetting contracts with established financial institution counterparties. Foreign exchange revenues from xe's total portfolio of positions were $16.1 million and $34.7 million for the three and six months ended June 30, 2019, respectively, and $16.8 million and $35.5 million for the three and six months ended June 30,</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2018, respectively. All of the derivative contracts used in the Company's xe operations are economic hedges and are not designated as hedges under ASC Topic 815</w:t>
      </w:r>
      <w:r>
        <w:rPr>
          <w:rFonts w:ascii="Arial" w:cs="Arial" w:eastAsia="Arial" w:hAnsi="Arial"/>
          <w:sz w:val="18"/>
          <w:szCs w:val="18"/>
          <w:i w:val="1"/>
          <w:iCs w:val="1"/>
          <w:color w:val="auto"/>
        </w:rPr>
        <w:t>.</w:t>
      </w:r>
      <w:r>
        <w:rPr>
          <w:rFonts w:ascii="Arial" w:cs="Arial" w:eastAsia="Arial" w:hAnsi="Arial"/>
          <w:sz w:val="18"/>
          <w:szCs w:val="18"/>
          <w:color w:val="auto"/>
        </w:rPr>
        <w:t xml:space="preserve"> The duration of these derivative contracts is generally less than one year.</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6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xe operations as of June 30, 2019 was approximately $1.4 billion. The majority of customer contracts are written in major currencies such as the U.S. dollar, euro, New Zealand dollar, British pound, and Australian dollar.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bottom w:val="single" w:sz="8" w:color="auto"/>
            </w:tcBorders>
            <w:gridSpan w:val="5"/>
          </w:tcPr>
          <w:p>
            <w:pPr>
              <w:ind w:left="1580"/>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Borders>
              <w:bottom w:val="single" w:sz="8" w:color="auto"/>
            </w:tcBorders>
            <w:gridSpan w:val="4"/>
          </w:tcPr>
          <w:p>
            <w:pPr>
              <w:jc w:val="center"/>
              <w:ind w:left="1057"/>
              <w:spacing w:after="0"/>
              <w:rPr>
                <w:sz w:val="20"/>
                <w:szCs w:val="20"/>
                <w:color w:val="auto"/>
              </w:rPr>
            </w:pPr>
            <w:r>
              <w:rPr>
                <w:rFonts w:ascii="Arial" w:cs="Arial" w:eastAsia="Arial" w:hAnsi="Arial"/>
                <w:sz w:val="14"/>
                <w:szCs w:val="14"/>
                <w:b w:val="1"/>
                <w:bCs w:val="1"/>
                <w:color w:val="auto"/>
                <w:w w:val="95"/>
              </w:rPr>
              <w:t>Liability Derivatives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0"/>
              </w:rPr>
              <w:t>June 30, 2019</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3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Balance Sheet Location</w:t>
            </w:r>
          </w:p>
        </w:tc>
        <w:tc>
          <w:tcPr>
            <w:tcW w:w="100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gridSpan w:val="2"/>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5"/>
              </w:rPr>
              <w:t>Derivatives not designated</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 hedging instruments</w:t>
            </w: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2"/>
          </w:tcPr>
          <w:p>
            <w:pPr>
              <w:jc w:val="right"/>
              <w:ind w:right="560"/>
              <w:spacing w:after="0"/>
              <w:rPr>
                <w:sz w:val="20"/>
                <w:szCs w:val="20"/>
                <w:color w:val="auto"/>
              </w:rPr>
            </w:pPr>
            <w:r>
              <w:rPr>
                <w:rFonts w:ascii="Arial" w:cs="Arial" w:eastAsia="Arial" w:hAnsi="Arial"/>
                <w:sz w:val="18"/>
                <w:szCs w:val="18"/>
                <w:color w:val="auto"/>
                <w:w w:val="96"/>
              </w:rPr>
              <w:t>Accrued expenses and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Prepaid expenses and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ind w:left="320"/>
              <w:spacing w:after="0"/>
              <w:rPr>
                <w:sz w:val="20"/>
                <w:szCs w:val="20"/>
                <w:color w:val="auto"/>
              </w:rPr>
            </w:pPr>
            <w:r>
              <w:rPr>
                <w:rFonts w:ascii="Arial" w:cs="Arial" w:eastAsia="Arial" w:hAnsi="Arial"/>
                <w:sz w:val="18"/>
                <w:szCs w:val="18"/>
                <w:color w:val="auto"/>
              </w:rPr>
              <w:t>other current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2"/>
              <w:spacing w:after="0"/>
              <w:rPr>
                <w:sz w:val="20"/>
                <w:szCs w:val="20"/>
                <w:color w:val="auto"/>
              </w:rPr>
            </w:pPr>
            <w:r>
              <w:rPr>
                <w:rFonts w:ascii="Arial" w:cs="Arial" w:eastAsia="Arial" w:hAnsi="Arial"/>
                <w:sz w:val="18"/>
                <w:szCs w:val="18"/>
                <w:color w:val="auto"/>
              </w:rPr>
              <w:t>38,182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44,637</w:t>
            </w:r>
          </w:p>
        </w:tc>
        <w:tc>
          <w:tcPr>
            <w:tcW w:w="100" w:type="dxa"/>
            <w:vAlign w:val="bottom"/>
          </w:tcPr>
          <w:p>
            <w:pPr>
              <w:spacing w:after="0"/>
              <w:rPr>
                <w:sz w:val="20"/>
                <w:szCs w:val="20"/>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(25,577)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(36,102)</w:t>
            </w:r>
          </w:p>
        </w:tc>
        <w:tc>
          <w:tcPr>
            <w:tcW w:w="0" w:type="dxa"/>
            <w:vAlign w:val="bottom"/>
          </w:tcPr>
          <w:p>
            <w:pPr>
              <w:spacing w:after="0"/>
              <w:rPr>
                <w:sz w:val="1"/>
                <w:szCs w:val="1"/>
                <w:color w:val="auto"/>
              </w:rPr>
            </w:pPr>
          </w:p>
        </w:tc>
      </w:tr>
      <w:tr>
        <w:trPr>
          <w:trHeight w:val="810"/>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59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5"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June 30, 2019 and December 31, 2018 (in thousands):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Gross Amounts Not Offset in the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Consolidated Balance Sheet</w:t>
            </w: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Gross Amounts</w:t>
            </w: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Net Amounts</w:t>
            </w: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 Amounts of</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4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Cash Collateral</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June 30, 2019</w:t>
            </w: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20" w:type="dxa"/>
            <w:vAlign w:val="bottom"/>
            <w:gridSpan w:val="2"/>
            <w:vMerge w:val="continue"/>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Recognized Assets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Instruments</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Received</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38,182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38,182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Derivatives subject to a master netting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44,637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44,637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320" w:type="dxa"/>
            <w:vAlign w:val="bottom"/>
            <w:gridSpan w:val="4"/>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2"/>
              </w:rPr>
              <w:t>Gross Amounts Not Offset in the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w w:val="90"/>
              </w:rPr>
              <w:t>Consolidated Balance Sheet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0"/>
              </w:rPr>
              <w:t>Gross Amounts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Financial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Cash Collateral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June 30, 2019</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Recognized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Net Amounts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5"/>
              </w:rPr>
              <w:t>Liabilities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 Sheet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Instruments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Paid</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Note 9, Fair Value Measurements, for the determination of the fair values of derivatives.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the location and amount of gains and losses on derivatives in the Consolidated Statements of Income for the three and six months ended June 30, 2019 and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3"/>
              </w:rPr>
              <w:t>Amount of Gain (Loss) Recognized in Income on Derivative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w w:val="92"/>
              </w:rPr>
              <w:t>Contracts (a)</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5"/>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3"/>
                <w:szCs w:val="13"/>
                <w:color w:val="auto"/>
              </w:rPr>
            </w:pPr>
          </w:p>
        </w:tc>
        <w:tc>
          <w:tcPr>
            <w:tcW w:w="1740" w:type="dxa"/>
            <w:vAlign w:val="bottom"/>
            <w:gridSpan w:val="4"/>
          </w:tcPr>
          <w:p>
            <w:pPr>
              <w:jc w:val="center"/>
              <w:ind w:right="199"/>
              <w:spacing w:after="0" w:line="153"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Location of Gain (Loss) Recognized in Income on</w:t>
            </w:r>
          </w:p>
        </w:tc>
        <w:tc>
          <w:tcPr>
            <w:tcW w:w="1340" w:type="dxa"/>
            <w:vAlign w:val="bottom"/>
            <w:tcBorders>
              <w:bottom w:val="single" w:sz="8" w:color="auto"/>
            </w:tcBorders>
            <w:gridSpan w:val="3"/>
          </w:tcPr>
          <w:p>
            <w:pPr>
              <w:jc w:val="center"/>
              <w:ind w:left="644"/>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44"/>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9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 Contracts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shd w:val="clear" w:color="auto" w:fill="CCEEFF"/>
          </w:tcPr>
          <w:p>
            <w:pPr>
              <w:spacing w:after="0"/>
              <w:rPr>
                <w:sz w:val="21"/>
                <w:szCs w:val="21"/>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gain (loss), net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7,085</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8"/>
        <w:spacing w:after="0" w:line="264"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5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As of June 30, 2019</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38,182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38,182</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(25,577)</w:t>
            </w:r>
          </w:p>
        </w:tc>
      </w:tr>
      <w:tr>
        <w:trPr>
          <w:trHeight w:val="399"/>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 December 31, 2018</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44,637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44,637</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(36,102)</w:t>
            </w:r>
          </w:p>
        </w:tc>
      </w:tr>
      <w:tr>
        <w:trPr>
          <w:trHeight w:val="27"/>
        </w:trPr>
        <w:tc>
          <w:tcPr>
            <w:tcW w:w="3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 of the Company’s Credit Facility approximates fair value because interest is primarily based on LIBOR, which resets at various intervals of less than one year. The Company estimates the fair values of the Convertible Notes and Senior Notes using quoted prices in inactive markets for identical liabilities (Level 2). As of June 30, 2019, the fair values of the Convertible Notes and the Senior Notes were $519.2 million and $678.0 million, respectively, with carrying values of $429.6 million and $682.1 million, respectively.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140" w:hanging="648"/>
        <w:spacing w:after="0" w:line="297"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Through the EFT Processing Segment, the Company processes transactions for a network of ATMs and POS terminals across Europe, the Middle East, Asia Pacific and the United States. The Company provides comprehensive electronic payment solutions consisting of ATM cash withdrawal services, ATM network participation, outsourced ATM and POS management solutions, credit and debit card outsourcing, dynamic currency conversion, domestic and international surcharge and other value added services. Through this segment, the Company also offers a suite of integrated electronic financial transaction software solutions for electronic payment and transaction delivery systems.</w:t>
      </w:r>
    </w:p>
    <w:p>
      <w:pPr>
        <w:spacing w:after="0" w:line="50" w:lineRule="exact"/>
        <w:rPr>
          <w:rFonts w:ascii="Arial" w:cs="Arial" w:eastAsia="Arial" w:hAnsi="Arial"/>
          <w:sz w:val="16"/>
          <w:szCs w:val="16"/>
          <w:color w:val="auto"/>
        </w:rPr>
      </w:pPr>
    </w:p>
    <w:p>
      <w:pPr>
        <w:ind w:left="980" w:right="120" w:hanging="648"/>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digital media products in Europe, the Middle East, Asia Pacific, the United States and South America.</w:t>
      </w:r>
    </w:p>
    <w:p>
      <w:pPr>
        <w:spacing w:after="0" w:line="62" w:lineRule="exact"/>
        <w:rPr>
          <w:rFonts w:ascii="Arial" w:cs="Arial" w:eastAsia="Arial" w:hAnsi="Arial"/>
          <w:sz w:val="18"/>
          <w:szCs w:val="18"/>
          <w:color w:val="auto"/>
        </w:rPr>
      </w:pPr>
    </w:p>
    <w:p>
      <w:pPr>
        <w:ind w:left="980" w:right="140" w:hanging="648"/>
        <w:spacing w:after="0" w:line="271"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IME and xe. Ria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and offers money transfers on its currency data websites.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six months ended June 30,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For the Three Months Ended June 30, 2019</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240" w:type="dxa"/>
            <w:vAlign w:val="bottom"/>
          </w:tcPr>
          <w:p>
            <w:pPr>
              <w:spacing w:after="0"/>
              <w:rPr>
                <w:sz w:val="12"/>
                <w:szCs w:val="12"/>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231,946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184,160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276,783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691,867</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393,811</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21,339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14,998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52,713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98,550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53,842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17,778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27,767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155,430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166,605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241,437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573,970</w:t>
            </w:r>
          </w:p>
        </w:tc>
        <w:tc>
          <w:tcPr>
            <w:tcW w:w="0" w:type="dxa"/>
            <w:vAlign w:val="bottom"/>
          </w:tcPr>
          <w:p>
            <w:pPr>
              <w:spacing w:after="0"/>
              <w:rPr>
                <w:sz w:val="1"/>
                <w:szCs w:val="1"/>
                <w:color w:val="auto"/>
              </w:rPr>
            </w:pPr>
          </w:p>
        </w:tc>
      </w:tr>
      <w:tr>
        <w:trPr>
          <w:trHeight w:val="257"/>
        </w:trPr>
        <w:tc>
          <w:tcPr>
            <w:tcW w:w="448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76,516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17,555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35,346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117,897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5"/>
          </w:tcPr>
          <w:p>
            <w:pPr>
              <w:jc w:val="right"/>
              <w:ind w:right="660"/>
              <w:spacing w:after="0"/>
              <w:rPr>
                <w:sz w:val="20"/>
                <w:szCs w:val="20"/>
                <w:color w:val="auto"/>
              </w:rPr>
            </w:pPr>
            <w:r>
              <w:rPr>
                <w:rFonts w:ascii="Arial" w:cs="Arial" w:eastAsia="Arial" w:hAnsi="Arial"/>
                <w:sz w:val="14"/>
                <w:szCs w:val="14"/>
                <w:b w:val="1"/>
                <w:bCs w:val="1"/>
                <w:color w:val="auto"/>
              </w:rPr>
              <w:t>For the Three Months Ended June 30, 2018</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4"/>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33"/>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34"/>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194,893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166,463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261,816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622,224</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96,326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125,423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140,707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361,512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19,046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14,327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49,118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9,232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91,723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31,426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52,357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16,383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7,953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26,263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141,971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150,134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229,204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531,855</w:t>
            </w:r>
          </w:p>
        </w:tc>
        <w:tc>
          <w:tcPr>
            <w:tcW w:w="0" w:type="dxa"/>
            <w:vAlign w:val="bottom"/>
          </w:tcPr>
          <w:p>
            <w:pPr>
              <w:spacing w:after="0"/>
              <w:rPr>
                <w:sz w:val="1"/>
                <w:szCs w:val="1"/>
                <w:color w:val="auto"/>
              </w:rPr>
            </w:pPr>
          </w:p>
        </w:tc>
      </w:tr>
      <w:tr>
        <w:trPr>
          <w:trHeight w:val="257"/>
        </w:trPr>
        <w:tc>
          <w:tcPr>
            <w:tcW w:w="448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52,922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16,329</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32,612</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90,369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5"/>
          </w:tcPr>
          <w:p>
            <w:pPr>
              <w:jc w:val="right"/>
              <w:ind w:right="740"/>
              <w:spacing w:after="0"/>
              <w:rPr>
                <w:sz w:val="20"/>
                <w:szCs w:val="20"/>
                <w:color w:val="auto"/>
              </w:rPr>
            </w:pPr>
            <w:r>
              <w:rPr>
                <w:rFonts w:ascii="Arial" w:cs="Arial" w:eastAsia="Arial" w:hAnsi="Arial"/>
                <w:sz w:val="14"/>
                <w:szCs w:val="14"/>
                <w:b w:val="1"/>
                <w:bCs w:val="1"/>
                <w:color w:val="auto"/>
              </w:rPr>
              <w:t>For the Six Months Ended June 30, 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4"/>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33"/>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34"/>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377,649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360,274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533,364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1,269,376</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189,344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273,952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286,238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747,644</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40,770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29,751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103,869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16,955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191,345</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60,840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101,989</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34,420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16,297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54,407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284,365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324,720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467,244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19,056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1,095,385</w:t>
            </w:r>
          </w:p>
        </w:tc>
        <w:tc>
          <w:tcPr>
            <w:tcW w:w="0" w:type="dxa"/>
            <w:vAlign w:val="bottom"/>
          </w:tcPr>
          <w:p>
            <w:pPr>
              <w:spacing w:after="0"/>
              <w:rPr>
                <w:sz w:val="1"/>
                <w:szCs w:val="1"/>
                <w:color w:val="auto"/>
              </w:rPr>
            </w:pPr>
          </w:p>
        </w:tc>
      </w:tr>
      <w:tr>
        <w:trPr>
          <w:trHeight w:val="257"/>
        </w:trPr>
        <w:tc>
          <w:tcPr>
            <w:tcW w:w="448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93,284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35,554</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66,120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173,991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5"/>
          </w:tcPr>
          <w:p>
            <w:pPr>
              <w:jc w:val="center"/>
              <w:ind w:right="60"/>
              <w:spacing w:after="0"/>
              <w:rPr>
                <w:sz w:val="20"/>
                <w:szCs w:val="20"/>
                <w:color w:val="auto"/>
              </w:rPr>
            </w:pPr>
            <w:r>
              <w:rPr>
                <w:rFonts w:ascii="Arial" w:cs="Arial" w:eastAsia="Arial" w:hAnsi="Arial"/>
                <w:sz w:val="14"/>
                <w:szCs w:val="14"/>
                <w:b w:val="1"/>
                <w:bCs w:val="1"/>
                <w:color w:val="auto"/>
                <w:w w:val="92"/>
              </w:rPr>
              <w:t>For the Six Months Ended June 30,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epay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7"/>
              </w:rPr>
              <w:t>Processing</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330,597</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343,308</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500,652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1,172,739</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178,163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260,345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268,138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704,836</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36,051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28,744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96,475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16,159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177,429</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61,125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102,368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32,583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15,848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52,265</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266,128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310,084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441,586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19,100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1,036,898</w:t>
            </w:r>
          </w:p>
        </w:tc>
        <w:tc>
          <w:tcPr>
            <w:tcW w:w="0" w:type="dxa"/>
            <w:vAlign w:val="bottom"/>
          </w:tcPr>
          <w:p>
            <w:pPr>
              <w:spacing w:after="0"/>
              <w:rPr>
                <w:sz w:val="1"/>
                <w:szCs w:val="1"/>
                <w:color w:val="auto"/>
              </w:rPr>
            </w:pPr>
          </w:p>
        </w:tc>
      </w:tr>
      <w:tr>
        <w:trPr>
          <w:trHeight w:val="257"/>
        </w:trPr>
        <w:tc>
          <w:tcPr>
            <w:tcW w:w="448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64,469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33,224</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59,066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(20,918)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135,841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2"/>
              </w:rPr>
              <w:t>Property and Equipment, net as of</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0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June 30, 2019</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237,468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215,106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2,052,915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1,220,141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37,381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31,172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718,894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780,220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45,517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1,508,408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1,310,775</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53,119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10,019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324,298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291,869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4,333,336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3,321,155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14"/>
          </w:tcPr>
          <w:p>
            <w:pPr>
              <w:ind w:left="660"/>
              <w:spacing w:after="0"/>
              <w:rPr>
                <w:sz w:val="20"/>
                <w:szCs w:val="20"/>
                <w:color w:val="auto"/>
              </w:rPr>
            </w:pPr>
            <w:r>
              <w:rPr>
                <w:rFonts w:ascii="Arial" w:cs="Arial" w:eastAsia="Arial" w:hAnsi="Arial"/>
                <w:sz w:val="14"/>
                <w:szCs w:val="14"/>
                <w:b w:val="1"/>
                <w:bCs w:val="1"/>
                <w:color w:val="auto"/>
                <w:w w:val="93"/>
              </w:rPr>
              <w:t>For the Three Months Ended June 30, 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13"/>
          </w:tcPr>
          <w:p>
            <w:pPr>
              <w:jc w:val="right"/>
              <w:ind w:right="90"/>
              <w:spacing w:after="0"/>
              <w:rPr>
                <w:sz w:val="20"/>
                <w:szCs w:val="20"/>
                <w:color w:val="auto"/>
              </w:rPr>
            </w:pPr>
            <w:r>
              <w:rPr>
                <w:rFonts w:ascii="Arial" w:cs="Arial" w:eastAsia="Arial" w:hAnsi="Arial"/>
                <w:sz w:val="14"/>
                <w:szCs w:val="14"/>
                <w:b w:val="1"/>
                <w:bCs w:val="1"/>
                <w:color w:val="auto"/>
                <w:w w:val="92"/>
              </w:rPr>
              <w:t>For the Six Months Ended June 30, 2019</w:t>
            </w: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520"/>
              <w:spacing w:after="0" w:line="153" w:lineRule="exact"/>
              <w:rPr>
                <w:sz w:val="20"/>
                <w:szCs w:val="20"/>
                <w:color w:val="auto"/>
              </w:rPr>
            </w:pPr>
            <w:r>
              <w:rPr>
                <w:rFonts w:ascii="Arial" w:cs="Arial" w:eastAsia="Arial" w:hAnsi="Arial"/>
                <w:sz w:val="14"/>
                <w:szCs w:val="14"/>
                <w:b w:val="1"/>
                <w:bCs w:val="1"/>
                <w:color w:val="auto"/>
              </w:rPr>
              <w:t>EFT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Money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w w:val="90"/>
              </w:rPr>
              <w:t>Processing</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34"/>
              <w:spacing w:after="0"/>
              <w:rPr>
                <w:sz w:val="20"/>
                <w:szCs w:val="20"/>
                <w:color w:val="auto"/>
              </w:rPr>
            </w:pPr>
            <w:r>
              <w:rPr>
                <w:rFonts w:ascii="Arial" w:cs="Arial" w:eastAsia="Arial" w:hAnsi="Arial"/>
                <w:sz w:val="14"/>
                <w:szCs w:val="14"/>
                <w:b w:val="1"/>
                <w:bCs w:val="1"/>
                <w:color w:val="auto"/>
                <w:w w:val="92"/>
              </w:rPr>
              <w:t>Transfer</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Processing</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6"/>
              </w:rPr>
              <w:t>Transfer</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192,696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123,322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409,594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300,307</w:t>
            </w: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238,228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179,135</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717,670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7,958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37,732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145,528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ind w:right="13"/>
              <w:spacing w:after="0"/>
              <w:rPr>
                <w:sz w:val="20"/>
                <w:szCs w:val="20"/>
                <w:color w:val="auto"/>
              </w:rPr>
            </w:pPr>
            <w:r>
              <w:rPr>
                <w:rFonts w:ascii="Arial" w:cs="Arial" w:eastAsia="Arial" w:hAnsi="Arial"/>
                <w:sz w:val="18"/>
                <w:szCs w:val="18"/>
                <w:color w:val="auto"/>
              </w:rPr>
              <w:t>191,218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16,163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77,396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280,360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373,919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31,287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31,577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81,784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159,748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10,293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8,356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11,579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3"/>
          </w:tcPr>
          <w:p>
            <w:pPr>
              <w:jc w:val="right"/>
              <w:ind w:right="35"/>
              <w:spacing w:after="0"/>
              <w:rPr>
                <w:sz w:val="20"/>
                <w:szCs w:val="20"/>
                <w:color w:val="auto"/>
              </w:rPr>
            </w:pPr>
            <w:r>
              <w:rPr>
                <w:rFonts w:ascii="Arial" w:cs="Arial" w:eastAsia="Arial" w:hAnsi="Arial"/>
                <w:sz w:val="18"/>
                <w:szCs w:val="18"/>
                <w:color w:val="auto"/>
              </w:rPr>
              <w:t>231,946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8"/>
              </w:rPr>
              <w:t>184,160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276,783</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691,867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377,649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5"/>
              </w:rPr>
              <w:t>360,274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533,364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1,269,376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5"/>
          </w:tcPr>
          <w:p>
            <w:pPr>
              <w:ind w:left="80"/>
              <w:spacing w:after="0"/>
              <w:rPr>
                <w:sz w:val="20"/>
                <w:szCs w:val="20"/>
                <w:color w:val="auto"/>
              </w:rPr>
            </w:pPr>
            <w:r>
              <w:rPr>
                <w:rFonts w:ascii="Arial" w:cs="Arial" w:eastAsia="Arial" w:hAnsi="Arial"/>
                <w:sz w:val="14"/>
                <w:szCs w:val="14"/>
                <w:b w:val="1"/>
                <w:bCs w:val="1"/>
                <w:color w:val="auto"/>
                <w:w w:val="92"/>
              </w:rPr>
              <w:t>For the Three Months Ended June 30, 2018</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w w:val="92"/>
              </w:rPr>
              <w:t>For the Six Months Ended June 30, 2018</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rPr>
              <w:t>EFT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epay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center"/>
              <w:ind w:right="40"/>
              <w:spacing w:after="0" w:line="153" w:lineRule="exact"/>
              <w:rPr>
                <w:sz w:val="20"/>
                <w:szCs w:val="20"/>
                <w:color w:val="auto"/>
              </w:rPr>
            </w:pPr>
            <w:r>
              <w:rPr>
                <w:rFonts w:ascii="Arial" w:cs="Arial" w:eastAsia="Arial" w:hAnsi="Arial"/>
                <w:sz w:val="14"/>
                <w:szCs w:val="14"/>
                <w:b w:val="1"/>
                <w:bCs w:val="1"/>
                <w:color w:val="auto"/>
                <w:w w:val="99"/>
              </w:rPr>
              <w:t>Money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epay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Money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2"/>
              </w:rPr>
              <w:t>Processing</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Transfer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Transfer</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158,413</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103,344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81,816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343,573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258,499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216,794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155,774</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631,067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8,327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42,270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143,755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194,352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83,321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w w:val="98"/>
              </w:rPr>
              <w:t>272,739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372,403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17,158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31,713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77,017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63,854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154,205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8,285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16,882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1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194,893</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166,463</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261,816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622,224</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330,597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343,308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8"/>
              </w:rPr>
              <w:t>500,652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7"/>
              </w:rPr>
              <w:t>1,172,739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The Company's effective income tax rate was 31.5% and 31.6% for both the three and six months ended </w:t>
      </w:r>
      <w:r>
        <w:rPr>
          <w:rFonts w:ascii="Arial" w:cs="Arial" w:eastAsia="Arial" w:hAnsi="Arial"/>
          <w:sz w:val="16"/>
          <w:szCs w:val="16"/>
          <w:color w:val="252525"/>
        </w:rPr>
        <w:t>June 30, 2019</w:t>
      </w:r>
      <w:r>
        <w:rPr>
          <w:rFonts w:ascii="Arial" w:cs="Arial" w:eastAsia="Arial" w:hAnsi="Arial"/>
          <w:sz w:val="16"/>
          <w:szCs w:val="16"/>
          <w:color w:val="auto"/>
        </w:rPr>
        <w:t xml:space="preserve">, respectively, compared to 27.3% and 30.1% for the three and six months ended </w:t>
      </w:r>
      <w:r>
        <w:rPr>
          <w:rFonts w:ascii="Arial" w:cs="Arial" w:eastAsia="Arial" w:hAnsi="Arial"/>
          <w:sz w:val="16"/>
          <w:szCs w:val="16"/>
          <w:color w:val="252525"/>
        </w:rPr>
        <w:t>June 30, 2018</w:t>
      </w:r>
      <w:r>
        <w:rPr>
          <w:rFonts w:ascii="Arial" w:cs="Arial" w:eastAsia="Arial" w:hAnsi="Arial"/>
          <w:sz w:val="16"/>
          <w:szCs w:val="16"/>
          <w:color w:val="auto"/>
        </w:rPr>
        <w:t xml:space="preserve">, respectively. The Company's effective income tax rates for the three and six months ended </w:t>
      </w:r>
      <w:r>
        <w:rPr>
          <w:rFonts w:ascii="Arial" w:cs="Arial" w:eastAsia="Arial" w:hAnsi="Arial"/>
          <w:sz w:val="16"/>
          <w:szCs w:val="16"/>
          <w:color w:val="252525"/>
        </w:rPr>
        <w:t>June 30,</w:t>
      </w:r>
      <w:r>
        <w:rPr>
          <w:rFonts w:ascii="Arial" w:cs="Arial" w:eastAsia="Arial" w:hAnsi="Arial"/>
          <w:sz w:val="16"/>
          <w:szCs w:val="16"/>
          <w:color w:val="auto"/>
        </w:rPr>
        <w:t xml:space="preserve"> </w:t>
      </w:r>
      <w:r>
        <w:rPr>
          <w:rFonts w:ascii="Arial" w:cs="Arial" w:eastAsia="Arial" w:hAnsi="Arial"/>
          <w:sz w:val="16"/>
          <w:szCs w:val="16"/>
          <w:color w:val="252525"/>
        </w:rPr>
        <w:t xml:space="preserve">2019 </w:t>
      </w:r>
      <w:r>
        <w:rPr>
          <w:rFonts w:ascii="Arial" w:cs="Arial" w:eastAsia="Arial" w:hAnsi="Arial"/>
          <w:sz w:val="16"/>
          <w:szCs w:val="16"/>
          <w:color w:val="000000"/>
        </w:rPr>
        <w:t>and 2018 were higher than the applicable statutory income tax rate of 21% as a result of certain foreign earnings of the Company being subject to higher</w:t>
      </w:r>
      <w:r>
        <w:rPr>
          <w:rFonts w:ascii="Arial" w:cs="Arial" w:eastAsia="Arial" w:hAnsi="Arial"/>
          <w:sz w:val="16"/>
          <w:szCs w:val="16"/>
          <w:color w:val="252525"/>
        </w:rPr>
        <w:t xml:space="preserve"> </w:t>
      </w:r>
      <w:r>
        <w:rPr>
          <w:rFonts w:ascii="Arial" w:cs="Arial" w:eastAsia="Arial" w:hAnsi="Arial"/>
          <w:sz w:val="16"/>
          <w:szCs w:val="16"/>
          <w:color w:val="000000"/>
        </w:rPr>
        <w:t>local statutory income tax rates and the application of the U.S. global intangible low-taxed income ("GILTI") tax provision to the Company. The GILTI provision subjects the Company's current foreign earnings to U.S. taxation which creates additional U.S. tax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June 30, 2019, the Company had $76.0 million of stand-by letters of credit/bank guarantees issued on its behalf, of which $46.3 million are outstanding under the Credit Facility. The remaining stand-by letters of credit/bank guarantees are collateralized by $3.7 million of cash deposits held by the respective issuing banks.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Under certain circumstances, Euronet grants guarantees in support of obligations of subsidiaries. As of June 30, 2019, the</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Company had granted off balance sheet guarantees for cash in various ATM networks amounting to $12.6 million over the terms of the cash supply agreements and performance guarantees amounting to approximately $41.6 million over the terms of agreements with the customers.</w:t>
      </w:r>
    </w:p>
    <w:p>
      <w:pPr>
        <w:spacing w:after="0" w:line="3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63" w:lineRule="exact"/>
        <w:rPr>
          <w:sz w:val="20"/>
          <w:szCs w:val="20"/>
          <w:color w:val="auto"/>
        </w:rPr>
      </w:pPr>
    </w:p>
    <w:p>
      <w:pPr>
        <w:ind w:left="580" w:right="100" w:hanging="329"/>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is not recorded on the Company’s Consolidated Balance Sheets. As of June 30, 2019, the balance of such cash used in the Company's ATM networks for which the Company was responsible was approximately $718 million. The Company maintains insurance policies to mitigate this exposure;</w:t>
      </w:r>
    </w:p>
    <w:p>
      <w:pPr>
        <w:spacing w:after="0" w:line="78" w:lineRule="exact"/>
        <w:rPr>
          <w:rFonts w:ascii="Arial" w:cs="Arial" w:eastAsia="Arial" w:hAnsi="Arial"/>
          <w:sz w:val="18"/>
          <w:szCs w:val="18"/>
          <w:color w:val="auto"/>
        </w:rPr>
      </w:pPr>
    </w:p>
    <w:p>
      <w:pPr>
        <w:ind w:left="580" w:right="80" w:hanging="329"/>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losses suffered by its customers and other parties as a result of any breach of its computer systems, including in particular, losses arising from fraudulent transactions made using information stolen through its processing systems. The Company maintains systems of internal controls and insurance policies to mitigate this exposure;</w:t>
      </w:r>
    </w:p>
    <w:p>
      <w:pPr>
        <w:spacing w:after="0" w:line="78" w:lineRule="exact"/>
        <w:rPr>
          <w:rFonts w:ascii="Arial" w:cs="Arial" w:eastAsia="Arial" w:hAnsi="Arial"/>
          <w:sz w:val="18"/>
          <w:szCs w:val="18"/>
          <w:color w:val="auto"/>
        </w:rPr>
      </w:pPr>
    </w:p>
    <w:p>
      <w:pPr>
        <w:ind w:left="580" w:right="18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580" w:right="14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580" w:right="60" w:hanging="329"/>
        <w:spacing w:after="0" w:line="293"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56" w:lineRule="exact"/>
        <w:rPr>
          <w:rFonts w:ascii="Arial" w:cs="Arial" w:eastAsia="Arial" w:hAnsi="Arial"/>
          <w:sz w:val="16"/>
          <w:szCs w:val="16"/>
          <w:color w:val="auto"/>
        </w:rPr>
      </w:pPr>
    </w:p>
    <w:p>
      <w:pPr>
        <w:ind w:left="580" w:right="42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June 30, 2019 or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LITIGATION AND CONTINGENCIES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enters into operating leases for ATM sites, office space, retail stores and equipment. The Company's finance leases are immaterial. Right of use assets and lease liabilities are recognized at the lease commencement date based on the present value of the lease payments over the lease terms.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present value of lease payments is determined using the incremental borrowing rate based on information available at the lease commencement date. All leases with fixed payments, including leases with an initial term of 12 months or less are recorded on the balance sheet. The Company recognizes lease expense for these leases on a straight-line basis over the lease term.</w:t>
      </w:r>
    </w:p>
    <w:p>
      <w:pPr>
        <w:spacing w:after="0" w:line="10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a majority of the ATM site leases. Since the Company is not reasonably certain to exercise the renewal or terminal options, the options are not considered in determining the lease terms, and associated payment impacts are excluded from lease payments.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operating leases as of June 30, 2019 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As of June 30, 2019</w:t>
            </w:r>
          </w:p>
        </w:tc>
      </w:tr>
      <w:tr>
        <w:trPr>
          <w:trHeight w:val="251"/>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Maturity of Lease Liabilities </w:t>
            </w:r>
            <w:r>
              <w:rPr>
                <w:rFonts w:ascii="Arial" w:cs="Arial" w:eastAsia="Arial" w:hAnsi="Arial"/>
                <w:sz w:val="14"/>
                <w:szCs w:val="14"/>
                <w:i w:val="1"/>
                <w:iCs w:val="1"/>
                <w:color w:val="auto"/>
              </w:rPr>
              <w:t>(in thousands)</w:t>
            </w:r>
          </w:p>
        </w:tc>
        <w:tc>
          <w:tcPr>
            <w:tcW w:w="5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1"/>
                <w:szCs w:val="21"/>
                <w:color w:val="auto"/>
              </w:rPr>
            </w:pP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107,916</w:t>
            </w:r>
          </w:p>
        </w:tc>
      </w:tr>
      <w:tr>
        <w:trPr>
          <w:trHeight w:val="27"/>
        </w:trPr>
        <w:tc>
          <w:tcPr>
            <w:tcW w:w="8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1"/>
                <w:szCs w:val="21"/>
                <w:color w:val="auto"/>
              </w:rPr>
            </w:pP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53,295</w:t>
            </w:r>
          </w:p>
        </w:tc>
      </w:tr>
      <w:tr>
        <w:trPr>
          <w:trHeight w:val="27"/>
        </w:trPr>
        <w:tc>
          <w:tcPr>
            <w:tcW w:w="8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53,388</w:t>
            </w:r>
          </w:p>
        </w:tc>
      </w:tr>
      <w:tr>
        <w:trPr>
          <w:trHeight w:val="27"/>
        </w:trPr>
        <w:tc>
          <w:tcPr>
            <w:tcW w:w="8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391,357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54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(25,596)</w:t>
            </w:r>
          </w:p>
        </w:tc>
      </w:tr>
      <w:tr>
        <w:trPr>
          <w:trHeight w:val="27"/>
        </w:trPr>
        <w:tc>
          <w:tcPr>
            <w:tcW w:w="8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365,761</w:t>
            </w:r>
          </w:p>
        </w:tc>
      </w:tr>
      <w:tr>
        <w:trPr>
          <w:trHeight w:val="20"/>
        </w:trPr>
        <w:tc>
          <w:tcPr>
            <w:tcW w:w="8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bl>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Future minimum lease payments under the non-cancelable operating leases (with initial lease terms in excess of one year) as of December 31, 2018 are as follows: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Operating</w:t>
            </w:r>
          </w:p>
        </w:tc>
      </w:tr>
      <w:tr>
        <w:trPr>
          <w:trHeight w:val="192"/>
        </w:trPr>
        <w:tc>
          <w:tcPr>
            <w:tcW w:w="98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Leases</w:t>
            </w: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9880" w:type="dxa"/>
            <w:vAlign w:val="bottom"/>
          </w:tcPr>
          <w:p>
            <w:pPr>
              <w:ind w:left="160"/>
              <w:spacing w:after="0"/>
              <w:rPr>
                <w:sz w:val="20"/>
                <w:szCs w:val="20"/>
                <w:color w:val="auto"/>
              </w:rPr>
            </w:pPr>
            <w:r>
              <w:rPr>
                <w:rFonts w:ascii="Arial" w:cs="Arial" w:eastAsia="Arial" w:hAnsi="Arial"/>
                <w:sz w:val="18"/>
                <w:szCs w:val="18"/>
                <w:color w:val="auto"/>
              </w:rPr>
              <w:t>2019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80,803</w:t>
            </w:r>
          </w:p>
        </w:tc>
      </w:tr>
      <w:tr>
        <w:trPr>
          <w:trHeight w:val="27"/>
        </w:trPr>
        <w:tc>
          <w:tcPr>
            <w:tcW w:w="9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65,590</w:t>
            </w:r>
          </w:p>
        </w:tc>
      </w:tr>
      <w:tr>
        <w:trPr>
          <w:trHeight w:val="243"/>
        </w:trPr>
        <w:tc>
          <w:tcPr>
            <w:tcW w:w="9880" w:type="dxa"/>
            <w:vAlign w:val="bottom"/>
          </w:tcPr>
          <w:p>
            <w:pPr>
              <w:ind w:left="16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49,052</w:t>
            </w:r>
          </w:p>
        </w:tc>
      </w:tr>
      <w:tr>
        <w:trPr>
          <w:trHeight w:val="27"/>
        </w:trPr>
        <w:tc>
          <w:tcPr>
            <w:tcW w:w="9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37,823</w:t>
            </w:r>
          </w:p>
        </w:tc>
      </w:tr>
      <w:tr>
        <w:trPr>
          <w:trHeight w:val="243"/>
        </w:trPr>
        <w:tc>
          <w:tcPr>
            <w:tcW w:w="9880" w:type="dxa"/>
            <w:vAlign w:val="bottom"/>
          </w:tcPr>
          <w:p>
            <w:pPr>
              <w:ind w:left="16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30,192</w:t>
            </w:r>
          </w:p>
        </w:tc>
      </w:tr>
      <w:tr>
        <w:trPr>
          <w:trHeight w:val="27"/>
        </w:trPr>
        <w:tc>
          <w:tcPr>
            <w:tcW w:w="9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48,191</w:t>
            </w:r>
          </w:p>
        </w:tc>
      </w:tr>
      <w:tr>
        <w:trPr>
          <w:trHeight w:val="237"/>
        </w:trPr>
        <w:tc>
          <w:tcPr>
            <w:tcW w:w="9880" w:type="dxa"/>
            <w:vAlign w:val="bottom"/>
          </w:tcPr>
          <w:p>
            <w:pPr>
              <w:ind w:left="28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311,651</w:t>
            </w:r>
          </w:p>
        </w:tc>
      </w:tr>
      <w:tr>
        <w:trPr>
          <w:trHeight w:val="27"/>
        </w:trPr>
        <w:tc>
          <w:tcPr>
            <w:tcW w:w="9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Lease expense recognized in the Consolidated Statements of Income is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Lease Expense </w:t>
            </w:r>
            <w:r>
              <w:rPr>
                <w:rFonts w:ascii="Arial" w:cs="Arial" w:eastAsia="Arial" w:hAnsi="Arial"/>
                <w:sz w:val="14"/>
                <w:szCs w:val="14"/>
                <w:i w:val="1"/>
                <w:iCs w:val="1"/>
                <w:color w:val="auto"/>
              </w:rPr>
              <w:t>(in thousands)</w:t>
            </w:r>
          </w:p>
        </w:tc>
        <w:tc>
          <w:tcPr>
            <w:tcW w:w="448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Income Statement Classification</w:t>
            </w:r>
          </w:p>
        </w:tc>
        <w:tc>
          <w:tcPr>
            <w:tcW w:w="206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Three Months Ended June</w:t>
            </w:r>
          </w:p>
        </w:tc>
        <w:tc>
          <w:tcPr>
            <w:tcW w:w="19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30, 2019</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4480" w:type="dxa"/>
            <w:vAlign w:val="bottom"/>
          </w:tcPr>
          <w:p>
            <w:pPr>
              <w:ind w:left="940"/>
              <w:spacing w:after="0"/>
              <w:rPr>
                <w:sz w:val="20"/>
                <w:szCs w:val="20"/>
                <w:color w:val="auto"/>
              </w:rPr>
            </w:pPr>
            <w:r>
              <w:rPr>
                <w:rFonts w:ascii="Arial" w:cs="Arial" w:eastAsia="Arial" w:hAnsi="Arial"/>
                <w:sz w:val="18"/>
                <w:szCs w:val="18"/>
                <w:color w:val="auto"/>
                <w:w w:val="97"/>
              </w:rPr>
              <w:t>Selling, general and administrative and Direct</w:t>
            </w: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Operating lease expense</w:t>
            </w:r>
          </w:p>
        </w:tc>
        <w:tc>
          <w:tcPr>
            <w:tcW w:w="4480" w:type="dxa"/>
            <w:vAlign w:val="bottom"/>
          </w:tcPr>
          <w:p>
            <w:pPr>
              <w:ind w:left="940"/>
              <w:spacing w:after="0"/>
              <w:rPr>
                <w:sz w:val="20"/>
                <w:szCs w:val="20"/>
                <w:color w:val="auto"/>
              </w:rPr>
            </w:pPr>
            <w:r>
              <w:rPr>
                <w:rFonts w:ascii="Arial" w:cs="Arial" w:eastAsia="Arial" w:hAnsi="Arial"/>
                <w:sz w:val="18"/>
                <w:szCs w:val="18"/>
                <w:color w:val="auto"/>
              </w:rPr>
              <w:t>operating costs</w:t>
            </w:r>
          </w:p>
        </w:tc>
        <w:tc>
          <w:tcPr>
            <w:tcW w:w="60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33,113</w:t>
            </w:r>
          </w:p>
        </w:tc>
        <w:tc>
          <w:tcPr>
            <w:tcW w:w="52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63,573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44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7"/>
              </w:rPr>
              <w:t>Selling, general and administrative and Direct</w:t>
            </w: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Variable lease expense</w:t>
            </w:r>
          </w:p>
        </w:tc>
        <w:tc>
          <w:tcPr>
            <w:tcW w:w="44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operating costs</w:t>
            </w:r>
          </w:p>
        </w:tc>
        <w:tc>
          <w:tcPr>
            <w:tcW w:w="600" w:type="dxa"/>
            <w:vAlign w:val="bottom"/>
            <w:shd w:val="clear" w:color="auto" w:fill="CCEEFF"/>
          </w:tcPr>
          <w:p>
            <w:pPr>
              <w:spacing w:after="0"/>
              <w:rPr>
                <w:sz w:val="20"/>
                <w:szCs w:val="20"/>
                <w:color w:val="auto"/>
              </w:rPr>
            </w:pPr>
          </w:p>
        </w:tc>
        <w:tc>
          <w:tcPr>
            <w:tcW w:w="146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12,320</w:t>
            </w:r>
          </w:p>
        </w:tc>
        <w:tc>
          <w:tcPr>
            <w:tcW w:w="520" w:type="dxa"/>
            <w:vAlign w:val="bottom"/>
            <w:shd w:val="clear" w:color="auto" w:fill="CCEEFF"/>
          </w:tcPr>
          <w:p>
            <w:pPr>
              <w:spacing w:after="0"/>
              <w:rPr>
                <w:sz w:val="20"/>
                <w:szCs w:val="20"/>
                <w:color w:val="auto"/>
              </w:rPr>
            </w:pPr>
          </w:p>
        </w:tc>
        <w:tc>
          <w:tcPr>
            <w:tcW w:w="13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18,889</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CCEEFF"/>
            </w:tcBorders>
            <w:vMerge w:val="continue"/>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vMerge w:val="continue"/>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lease expense</w:t>
            </w:r>
          </w:p>
        </w:tc>
        <w:tc>
          <w:tcPr>
            <w:tcW w:w="44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45,433</w:t>
            </w:r>
          </w:p>
        </w:tc>
        <w:tc>
          <w:tcPr>
            <w:tcW w:w="52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82,462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912"/>
        </w:trPr>
        <w:tc>
          <w:tcPr>
            <w:tcW w:w="8820" w:type="dxa"/>
            <w:vAlign w:val="bottom"/>
            <w:gridSpan w:val="2"/>
          </w:tcPr>
          <w:p>
            <w:pPr>
              <w:spacing w:after="0"/>
              <w:rPr>
                <w:sz w:val="20"/>
                <w:szCs w:val="20"/>
                <w:color w:val="auto"/>
              </w:rPr>
            </w:pPr>
            <w:r>
              <w:rPr>
                <w:rFonts w:ascii="Arial" w:cs="Arial" w:eastAsia="Arial" w:hAnsi="Arial"/>
                <w:sz w:val="18"/>
                <w:szCs w:val="18"/>
                <w:color w:val="auto"/>
                <w:w w:val="94"/>
              </w:rPr>
              <w:t>Other information about lease amounts recognized in the consolidated financial statements is summarized as follows:</w:t>
            </w:r>
          </w:p>
        </w:tc>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99"/>
        </w:trPr>
        <w:tc>
          <w:tcPr>
            <w:tcW w:w="88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Lease Term and Discount Rate of Operating Leases</w:t>
            </w:r>
          </w:p>
        </w:tc>
        <w:tc>
          <w:tcPr>
            <w:tcW w:w="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As of June 30, 2019</w:t>
            </w: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460" w:type="dxa"/>
            <w:vAlign w:val="bottom"/>
          </w:tcPr>
          <w:p>
            <w:pPr>
              <w:spacing w:after="0"/>
              <w:rPr>
                <w:sz w:val="21"/>
                <w:szCs w:val="21"/>
                <w:color w:val="auto"/>
              </w:rPr>
            </w:pPr>
          </w:p>
        </w:tc>
        <w:tc>
          <w:tcPr>
            <w:tcW w:w="2140" w:type="dxa"/>
            <w:vAlign w:val="bottom"/>
          </w:tcPr>
          <w:p>
            <w:pPr>
              <w:ind w:left="1720"/>
              <w:spacing w:after="0"/>
              <w:rPr>
                <w:sz w:val="20"/>
                <w:szCs w:val="20"/>
                <w:color w:val="auto"/>
              </w:rPr>
            </w:pPr>
            <w:r>
              <w:rPr>
                <w:rFonts w:ascii="Arial" w:cs="Arial" w:eastAsia="Arial" w:hAnsi="Arial"/>
                <w:sz w:val="18"/>
                <w:szCs w:val="18"/>
                <w:color w:val="auto"/>
              </w:rPr>
              <w:t>4.5</w:t>
            </w:r>
          </w:p>
        </w:tc>
      </w:tr>
      <w:tr>
        <w:trPr>
          <w:trHeight w:val="27"/>
        </w:trPr>
        <w:tc>
          <w:tcPr>
            <w:tcW w:w="1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4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w w:val="97"/>
              </w:rPr>
              <w:t>3.1%</w:t>
            </w:r>
          </w:p>
        </w:tc>
      </w:tr>
      <w:tr>
        <w:trPr>
          <w:trHeight w:val="648"/>
        </w:trPr>
        <w:tc>
          <w:tcPr>
            <w:tcW w:w="8820" w:type="dxa"/>
            <w:vAlign w:val="bottom"/>
            <w:gridSpan w:val="2"/>
          </w:tcPr>
          <w:p>
            <w:pPr>
              <w:spacing w:after="0"/>
              <w:rPr>
                <w:sz w:val="20"/>
                <w:szCs w:val="20"/>
                <w:color w:val="auto"/>
              </w:rPr>
            </w:pPr>
            <w:r>
              <w:rPr>
                <w:rFonts w:ascii="Arial" w:cs="Arial" w:eastAsia="Arial" w:hAnsi="Arial"/>
                <w:sz w:val="18"/>
                <w:szCs w:val="18"/>
                <w:color w:val="auto"/>
              </w:rPr>
              <w:t>The following table presents supplemental cash flow and non-cash information related to leases:</w:t>
            </w:r>
          </w:p>
        </w:tc>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99"/>
        </w:trPr>
        <w:tc>
          <w:tcPr>
            <w:tcW w:w="88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4"/>
                <w:szCs w:val="14"/>
                <w:i w:val="1"/>
                <w:iCs w:val="1"/>
                <w:color w:val="auto"/>
              </w:rPr>
              <w:t>(in thousands)</w:t>
            </w:r>
          </w:p>
        </w:tc>
        <w:tc>
          <w:tcPr>
            <w:tcW w:w="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Six months ended June 30, 2019</w:t>
            </w: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(a)</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6"/>
              <w:spacing w:after="0"/>
              <w:rPr>
                <w:sz w:val="20"/>
                <w:szCs w:val="20"/>
                <w:color w:val="auto"/>
              </w:rPr>
            </w:pPr>
            <w:r>
              <w:rPr>
                <w:rFonts w:ascii="Arial" w:cs="Arial" w:eastAsia="Arial" w:hAnsi="Arial"/>
                <w:sz w:val="18"/>
                <w:szCs w:val="18"/>
                <w:color w:val="auto"/>
              </w:rPr>
              <w:t>62,935</w:t>
            </w:r>
          </w:p>
        </w:tc>
      </w:tr>
      <w:tr>
        <w:trPr>
          <w:trHeight w:val="27"/>
        </w:trPr>
        <w:tc>
          <w:tcPr>
            <w:tcW w:w="1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non-cash information on lease liabilities arising from obtaining ROU assets:</w:t>
            </w:r>
          </w:p>
        </w:tc>
        <w:tc>
          <w:tcPr>
            <w:tcW w:w="4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r>
      <w:tr>
        <w:trPr>
          <w:trHeight w:val="243"/>
        </w:trPr>
        <w:tc>
          <w:tcPr>
            <w:tcW w:w="8820" w:type="dxa"/>
            <w:vAlign w:val="bottom"/>
            <w:gridSpan w:val="2"/>
          </w:tcPr>
          <w:p>
            <w:pPr>
              <w:ind w:left="28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6"/>
              <w:spacing w:after="0"/>
              <w:rPr>
                <w:sz w:val="20"/>
                <w:szCs w:val="20"/>
                <w:color w:val="auto"/>
              </w:rPr>
            </w:pPr>
            <w:r>
              <w:rPr>
                <w:rFonts w:ascii="Arial" w:cs="Arial" w:eastAsia="Arial" w:hAnsi="Arial"/>
                <w:sz w:val="18"/>
                <w:szCs w:val="18"/>
                <w:color w:val="auto"/>
              </w:rPr>
              <w:t>157,914</w:t>
            </w:r>
          </w:p>
        </w:tc>
      </w:tr>
      <w:tr>
        <w:trPr>
          <w:trHeight w:val="27"/>
        </w:trPr>
        <w:tc>
          <w:tcPr>
            <w:tcW w:w="1280" w:type="dxa"/>
            <w:vAlign w:val="bottom"/>
            <w:tcBorders>
              <w:bottom w:val="single" w:sz="8" w:color="auto"/>
            </w:tcBorders>
          </w:tcPr>
          <w:p>
            <w:pPr>
              <w:spacing w:after="0"/>
              <w:rPr>
                <w:sz w:val="2"/>
                <w:szCs w:val="2"/>
                <w:color w:val="auto"/>
              </w:rPr>
            </w:pPr>
          </w:p>
        </w:tc>
        <w:tc>
          <w:tcPr>
            <w:tcW w:w="7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Included in Net cash provided by operating activities on the Company's Consolidated Statements of Cash Flows.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8"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effects of changes in laws or accounting standards;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negotiations related to the United Kingdom's proposed departure from the European Union,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Visa's rule change to allow our ATMs to provide DCC beginning mid-April 2019; our ability to comply with increasingly stringent regulatory requirements, including anti-money laundering, anti-terrorism, anti-bribery, consumer and data protection and GDPR or PSD2,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general economic, financial and market conditions and the duration and extent of any future economic downturns; the cost of borrowing, availability of credit and terms of and compliance with debt covenants; renewal of sources of funding as they expire and the availability of replacement funding; the outlook for markets we serve; and those factors referred to above and as set forth and more fully described in Part I, Item 1A — Risk Factors of our Annual Report on Form 10-K for the year ended December 31, 2018 and in Part II, Item 1A-Risk Factors in our Quarterly Report on Form 10-Q for the quarter ended June 30, 2019. Our Annual Report on Form 10-K and Quarterly Reports on Form 10-Q are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and cloud based payment solutions; electronic distribution of prepaid mobile airtime and other electronic payment products; foreign currency exchange services and global money transfer services. We operate in the following three segments:</w:t>
      </w:r>
    </w:p>
    <w:p>
      <w:pPr>
        <w:spacing w:after="0" w:line="80" w:lineRule="exact"/>
        <w:rPr>
          <w:sz w:val="20"/>
          <w:szCs w:val="20"/>
          <w:color w:val="auto"/>
        </w:rPr>
      </w:pPr>
    </w:p>
    <w:p>
      <w:pPr>
        <w:ind w:left="980" w:right="220" w:hanging="648"/>
        <w:spacing w:after="0" w:line="27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46,636 ATMs and approximately 307,000 POS terminals across Europe, the Middle East, Asia Pacific and the United States. We provide comprehensive electronic payment solutions consisting of ATM cash withdrawal and deposit services, ATM network participation, outsourced ATM and POS management solutions, credit and debit card outsourcing, DCC, domestic and international surcharge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jc w:val="both"/>
        <w:ind w:left="980" w:hanging="648"/>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digital media (formerly referred to as non-mobile content) and prepaid mobile airtime. We operate a network of approximately 700,000 POS terminals providing electronic processing of digital media and prepaid mobile airtime top-up services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60" w:hanging="648"/>
        <w:spacing w:after="0" w:line="288"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names Ria, IME and xe. xe also provides global account-to-account money transfer services. We offer services under the brand names Ria and IME through a network of sending agents, Company-owned stores (primarily in North America, Europe and Malaysia) and Ria branded websites (riamoneytransfer.com and online.imeremit.com), disbursing money transfers through a worldwide correspondent network that includes approximately 385,000 locations. xe offers money transfer services on its websites (xe.com and x-rates.com) and through its customer service representatives. The xe websites also provide foreign currency exchange information.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We offer services under the brand name xe through our websites (www.xe.com and https://transfer.xe.com). Through our HiFM brand, we offer cash management solutions and foreign currency risk management services to small-to-medium sized businesses.</w:t>
      </w:r>
    </w:p>
    <w:p>
      <w:pPr>
        <w:spacing w:after="0" w:line="61" w:lineRule="exact"/>
        <w:rPr>
          <w:sz w:val="20"/>
          <w:szCs w:val="20"/>
          <w:color w:val="auto"/>
        </w:rPr>
      </w:pPr>
    </w:p>
    <w:p>
      <w:pPr>
        <w:ind w:left="60" w:right="100"/>
        <w:spacing w:after="0" w:line="259"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nine in North America, three in the Middle East, two in South America and one in Africa. Our executive offices are located in Leawood, Kansas, USA. With approximately 72%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Revenues in the EFT Processing Segment, which represented approximately 33% and 30% of total consolidated revenues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and first half of 2019, respectively,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27% and 28% of total consolidated revenues for the second quarter and</w:t>
      </w:r>
      <w:r>
        <w:rPr>
          <w:rFonts w:ascii="Arial" w:cs="Arial" w:eastAsia="Arial" w:hAnsi="Arial"/>
          <w:sz w:val="17"/>
          <w:szCs w:val="17"/>
          <w:i w:val="1"/>
          <w:iCs w:val="1"/>
          <w:color w:val="auto"/>
        </w:rPr>
        <w:t xml:space="preserve"> </w:t>
      </w:r>
      <w:r>
        <w:rPr>
          <w:rFonts w:ascii="Arial" w:cs="Arial" w:eastAsia="Arial" w:hAnsi="Arial"/>
          <w:sz w:val="17"/>
          <w:szCs w:val="17"/>
          <w:color w:val="auto"/>
        </w:rPr>
        <w:t>first half of 2019, respectively, are derived from commissions or processing fees received from mobile phone operators for the processing and distribution of prepaid mobile airtime and commissions earned from the distribution of other digital media products, vouchers, and physical gifts. The proportion of epay Segment revenues earned from the distribution of prepaid mobile phone time as compared with other digital media has decreased over time, and digital media now produces approximately 61% of epay Segment revenues. Other digital media products offered by this segment include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70"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Money Transfer Segment </w:t>
      </w:r>
      <w:r>
        <w:rPr>
          <w:rFonts w:ascii="Arial" w:cs="Arial" w:eastAsia="Arial" w:hAnsi="Arial"/>
          <w:sz w:val="16"/>
          <w:szCs w:val="16"/>
          <w:color w:val="auto"/>
        </w:rPr>
        <w:t>— Revenues in the Money Transfer Segment, which represented approximately 40% and 42% of total consolidated revenues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and first half of 2019, respectively,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2020.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5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number of ATMs and cash deposit terminals in our independent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38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digital content;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sponsorship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efficiently to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changes in rules imposed by international card organizations such as Visa and Mastercard on card transactions on ATMs, including reductions in ATM interchange fees, restrictions on the ability to apply direct access fees, the ability to offer DCC transactions on ATMs, and increases in fees charged on DCC transactions;</w:t>
      </w:r>
    </w:p>
    <w:p>
      <w:pPr>
        <w:spacing w:after="0" w:line="73"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impact of changes in laws and regulations affecting the profitability of our services, including regulation of DCC transactions by the E.U.;</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6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digital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28" w:lineRule="exact"/>
        <w:rPr>
          <w:rFonts w:ascii="Arial" w:cs="Arial" w:eastAsia="Arial" w:hAnsi="Arial"/>
          <w:sz w:val="17"/>
          <w:szCs w:val="17"/>
          <w:color w:val="auto"/>
        </w:rPr>
      </w:pPr>
    </w:p>
    <w:p>
      <w:pPr>
        <w:ind w:left="980" w:right="40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 and moves by mobile operators to sell prepaid mobile airtime directly to consumers;</w:t>
      </w:r>
    </w:p>
    <w:p>
      <w:pPr>
        <w:spacing w:after="0" w:line="62" w:lineRule="exact"/>
        <w:rPr>
          <w:rFonts w:ascii="Arial" w:cs="Arial" w:eastAsia="Arial" w:hAnsi="Arial"/>
          <w:sz w:val="18"/>
          <w:szCs w:val="18"/>
          <w:color w:val="auto"/>
        </w:rPr>
      </w:pPr>
    </w:p>
    <w:p>
      <w:pPr>
        <w:ind w:left="980" w:right="34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competition among mobile operators on the cost of mobile data and airtime which results in fewer or less frequent purchases of prepaid mobile airtime by consumers;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10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capture market share from other prepaid mobile airtime and digital content distributors, offer a superior product offering and demonstrate the value of a global network. In certain markets in which we operate, many of the factors that may contribute to rapid growth (growth in digital media products, expansion of our network of retailers and access to products of mobile operators and other digital media providers) remain present.</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right="34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 and our ability to acquire, develop and implement new technologies;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the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52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Second Payment Services Directive ("PSD2") and using our various licenses in the United States;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 and six months ended June 30, 2019 and 2018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Revenues for the Three Months Ended</w:t>
            </w:r>
          </w:p>
        </w:tc>
        <w:tc>
          <w:tcPr>
            <w:tcW w:w="120" w:type="dxa"/>
            <w:vAlign w:val="bottom"/>
          </w:tcPr>
          <w:p>
            <w:pPr>
              <w:spacing w:after="0"/>
              <w:rPr>
                <w:sz w:val="14"/>
                <w:szCs w:val="14"/>
                <w:color w:val="auto"/>
              </w:rPr>
            </w:pPr>
          </w:p>
        </w:tc>
        <w:tc>
          <w:tcPr>
            <w:tcW w:w="1760" w:type="dxa"/>
            <w:vAlign w:val="bottom"/>
            <w:gridSpan w:val="5"/>
            <w:vMerge w:val="restart"/>
          </w:tcPr>
          <w:p>
            <w:pPr>
              <w:jc w:val="right"/>
              <w:ind w:right="144"/>
              <w:spacing w:after="0"/>
              <w:rPr>
                <w:sz w:val="20"/>
                <w:szCs w:val="20"/>
                <w:color w:val="auto"/>
              </w:rPr>
            </w:pPr>
            <w:r>
              <w:rPr>
                <w:rFonts w:ascii="Arial" w:cs="Arial" w:eastAsia="Arial" w:hAnsi="Arial"/>
                <w:sz w:val="14"/>
                <w:szCs w:val="14"/>
                <w:b w:val="1"/>
                <w:bCs w:val="1"/>
                <w:color w:val="auto"/>
                <w:w w:val="98"/>
              </w:rPr>
              <w:t>Year-over-Year Change</w:t>
            </w:r>
          </w:p>
        </w:tc>
        <w:tc>
          <w:tcPr>
            <w:tcW w:w="100" w:type="dxa"/>
            <w:vAlign w:val="bottom"/>
            <w:vMerge w:val="restart"/>
          </w:tcPr>
          <w:p>
            <w:pPr>
              <w:spacing w:after="0"/>
              <w:rPr>
                <w:sz w:val="14"/>
                <w:szCs w:val="14"/>
                <w:color w:val="auto"/>
              </w:rPr>
            </w:pPr>
          </w:p>
        </w:tc>
        <w:tc>
          <w:tcPr>
            <w:tcW w:w="2480" w:type="dxa"/>
            <w:vAlign w:val="bottom"/>
            <w:gridSpan w:val="8"/>
          </w:tcPr>
          <w:p>
            <w:pPr>
              <w:ind w:left="100"/>
              <w:spacing w:after="0"/>
              <w:rPr>
                <w:sz w:val="20"/>
                <w:szCs w:val="20"/>
                <w:color w:val="auto"/>
              </w:rPr>
            </w:pPr>
            <w:r>
              <w:rPr>
                <w:rFonts w:ascii="Arial" w:cs="Arial" w:eastAsia="Arial" w:hAnsi="Arial"/>
                <w:sz w:val="14"/>
                <w:szCs w:val="14"/>
                <w:b w:val="1"/>
                <w:bCs w:val="1"/>
                <w:color w:val="auto"/>
                <w:w w:val="98"/>
              </w:rPr>
              <w:t>Revenues for the Six Months Ended</w:t>
            </w:r>
          </w:p>
        </w:tc>
        <w:tc>
          <w:tcPr>
            <w:tcW w:w="140" w:type="dxa"/>
            <w:vAlign w:val="bottom"/>
          </w:tcPr>
          <w:p>
            <w:pPr>
              <w:spacing w:after="0"/>
              <w:rPr>
                <w:sz w:val="14"/>
                <w:szCs w:val="14"/>
                <w:color w:val="auto"/>
              </w:rPr>
            </w:pPr>
          </w:p>
        </w:tc>
        <w:tc>
          <w:tcPr>
            <w:tcW w:w="1860" w:type="dxa"/>
            <w:vAlign w:val="bottom"/>
            <w:gridSpan w:val="3"/>
            <w:vMerge w:val="restart"/>
          </w:tcPr>
          <w:p>
            <w:pPr>
              <w:jc w:val="right"/>
              <w:ind w:right="18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675"/>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231,946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194,893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37,053</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330,597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47,052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184,160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166,463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17,697</w:t>
            </w:r>
          </w:p>
        </w:tc>
        <w:tc>
          <w:tcPr>
            <w:tcW w:w="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360,274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343,308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16,966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276,783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261,816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14,967</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533,364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500,652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32,712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692,889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623,172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69,717</w:t>
            </w:r>
          </w:p>
        </w:tc>
        <w:tc>
          <w:tcPr>
            <w:tcW w:w="20" w:type="dxa"/>
            <w:vAlign w:val="bottom"/>
            <w:tcBorders>
              <w:top w:val="single" w:sz="8" w:color="auto"/>
            </w:tcBorders>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2"/>
              </w:rPr>
              <w:t>1,271,287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2"/>
              </w:rPr>
              <w:t>1,174,557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96,730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23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691,867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622,224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69,643</w:t>
            </w:r>
          </w:p>
        </w:tc>
        <w:tc>
          <w:tcPr>
            <w:tcW w:w="20" w:type="dxa"/>
            <w:vAlign w:val="bottom"/>
            <w:tcBorders>
              <w:top w:val="single" w:sz="8" w:color="auto"/>
              <w:bottom w:val="single" w:sz="8" w:color="auto"/>
            </w:tcBorders>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2"/>
              </w:rPr>
              <w:t>1,269,376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2"/>
              </w:rPr>
              <w:t>1,172,739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96,637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Operating Income (Expense) for the</w:t>
            </w:r>
          </w:p>
        </w:tc>
        <w:tc>
          <w:tcPr>
            <w:tcW w:w="120" w:type="dxa"/>
            <w:vAlign w:val="bottom"/>
          </w:tcPr>
          <w:p>
            <w:pPr>
              <w:spacing w:after="0"/>
              <w:rPr>
                <w:sz w:val="23"/>
                <w:szCs w:val="23"/>
                <w:color w:val="auto"/>
              </w:rPr>
            </w:pPr>
          </w:p>
        </w:tc>
        <w:tc>
          <w:tcPr>
            <w:tcW w:w="186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tcPr>
          <w:p>
            <w:pPr>
              <w:spacing w:after="0"/>
              <w:rPr>
                <w:sz w:val="23"/>
                <w:szCs w:val="23"/>
                <w:color w:val="auto"/>
              </w:rPr>
            </w:pPr>
          </w:p>
        </w:tc>
        <w:tc>
          <w:tcPr>
            <w:tcW w:w="2360" w:type="dxa"/>
            <w:vAlign w:val="bottom"/>
            <w:gridSpan w:val="7"/>
          </w:tcPr>
          <w:p>
            <w:pPr>
              <w:ind w:left="40"/>
              <w:spacing w:after="0"/>
              <w:rPr>
                <w:sz w:val="20"/>
                <w:szCs w:val="20"/>
                <w:color w:val="auto"/>
              </w:rPr>
            </w:pPr>
            <w:r>
              <w:rPr>
                <w:rFonts w:ascii="Arial" w:cs="Arial" w:eastAsia="Arial" w:hAnsi="Arial"/>
                <w:sz w:val="14"/>
                <w:szCs w:val="14"/>
                <w:b w:val="1"/>
                <w:bCs w:val="1"/>
                <w:color w:val="auto"/>
                <w:w w:val="96"/>
              </w:rPr>
              <w:t>Operating Income (Expense) for the</w:t>
            </w:r>
          </w:p>
        </w:tc>
        <w:tc>
          <w:tcPr>
            <w:tcW w:w="140" w:type="dxa"/>
            <w:vAlign w:val="bottom"/>
          </w:tcPr>
          <w:p>
            <w:pPr>
              <w:spacing w:after="0"/>
              <w:rPr>
                <w:sz w:val="23"/>
                <w:szCs w:val="23"/>
                <w:color w:val="auto"/>
              </w:rPr>
            </w:pPr>
          </w:p>
        </w:tc>
        <w:tc>
          <w:tcPr>
            <w:tcW w:w="1860" w:type="dxa"/>
            <w:vAlign w:val="bottom"/>
            <w:gridSpan w:val="3"/>
            <w:vMerge w:val="restart"/>
          </w:tcPr>
          <w:p>
            <w:pPr>
              <w:jc w:val="right"/>
              <w:ind w:right="18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6"/>
                <w:szCs w:val="16"/>
                <w:color w:val="auto"/>
              </w:rPr>
            </w:pPr>
          </w:p>
        </w:tc>
        <w:tc>
          <w:tcPr>
            <w:tcW w:w="186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center"/>
              <w:ind w:right="57"/>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76,516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23,594</w:t>
            </w: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93,284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28,815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17,555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16,329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1,226</w:t>
            </w:r>
          </w:p>
        </w:tc>
        <w:tc>
          <w:tcPr>
            <w:tcW w:w="20" w:type="dxa"/>
            <w:vAlign w:val="bottom"/>
          </w:tcPr>
          <w:p>
            <w:pPr>
              <w:spacing w:after="0"/>
              <w:rPr>
                <w:sz w:val="21"/>
                <w:szCs w:val="21"/>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35,554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33,224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2,330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35,346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32,612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2,734</w:t>
            </w:r>
          </w:p>
        </w:tc>
        <w:tc>
          <w:tcPr>
            <w:tcW w:w="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7,054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129,417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101,863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27,554</w:t>
            </w:r>
          </w:p>
        </w:tc>
        <w:tc>
          <w:tcPr>
            <w:tcW w:w="20" w:type="dxa"/>
            <w:vAlign w:val="bottom"/>
          </w:tcPr>
          <w:p>
            <w:pPr>
              <w:spacing w:after="0"/>
              <w:rPr>
                <w:sz w:val="20"/>
                <w:szCs w:val="20"/>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194,958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156,759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38,199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117,897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90,369</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27,528</w:t>
            </w:r>
          </w:p>
        </w:tc>
        <w:tc>
          <w:tcPr>
            <w:tcW w:w="20" w:type="dxa"/>
            <w:vAlign w:val="bottom"/>
          </w:tcPr>
          <w:p>
            <w:pPr>
              <w:spacing w:after="0"/>
              <w:rPr>
                <w:sz w:val="22"/>
                <w:szCs w:val="22"/>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173,991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135,841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38,150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translated into U.S. dollars for financial reporting purposes; therefore, amounts we earn outside the U.S. are negatively impacted by a stronger U.S. dollar and positively impacted by a weaker U.S. dollar. Considering the results by country and the associated functional currency, we estimate that our reported consolidated operating income for the second quarter and first half of 2019 were each approximately 5% less, due to the changes in foreign currency exchange rates when compared to the same periods of 2018.</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Decrease</w:t>
            </w: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72"/>
        </w:trPr>
        <w:tc>
          <w:tcPr>
            <w:tcW w:w="2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0.7567</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0.7713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1.2851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1.3602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1.2938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1.3760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1.1919</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1.2104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0.0035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0.0038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0.0035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0.0039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0.0149</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0.0152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Malaysian ringgit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0.2412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0.2534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0.2428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0.2542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0.7042</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0.6719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0.7156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0.2626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0.2799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0.2633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0.2870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594"/>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30</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5" w:right="3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 MONTHS ENDED JUNE 30,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2019 and 2018 for our EFT Processing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231,946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194,893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377,649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330,597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47,052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9,242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178,163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11,181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21,339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19,046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2,293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40,770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36,051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4,719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17,778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16,383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1,395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34,420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32,583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1,837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155,430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141,971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284,365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266,128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18,237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76,516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52,922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23,594</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93,284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64,469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28,815</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ATMs as of June 30,</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46,636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41,205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5,431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46,636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41,205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5,431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45,717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40,513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43,317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39,082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EFT Processing Segment total revenues for the three and six months ended June 30, 2019 were $231.9 million and $377.6 million, respectively, an increase of $37.1 million or 19% and $47.1 million or 14% as compared to the same periods in 2018, respectively. The increases in total revenues for the three and six months ended June 30, 2019 were primarily due to an increase in the number of ATMs under management in Europe and Asia Pacific. Specifically, the increase in the number of ATMs contributed to increases in the number of transactions processed. The transaction growth includes an increase in value-added transactions on the ATMs and point-of-sale terminals, primarily attributable to increases in DCC transactions due to Visa's rule change to allow our ATMs to provide DCC beginning second quarter of 2019, domestic and international surcharge, and foreign currency dispensing. Foreign currency exchange rate movements decreased total revenues by approximately $13.1 million and $24.8 million for the three and six months ended June 30, 2019, respectively, as compared to the same periods in 2018, respectively.</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Average monthly revenues per ATM were $1,691 and $1,453 for the three and six months ended June 30, 2019, respectively, compared to $1,604 and $1,410 for the three and six months ended June 30, 2018, respectively. Revenues per transaction were $0.31 for the second quarter of 2019 and $0.26 for the first half of 2019, compared to $0.29 for the second quarter of 2018 and $0.25 for the first half of 2018. The increases in average monthly revenues per ATM for the three and six months ended June 30, 2019 were primarily the result of an increase in value-added transactions on the ATMs and point-of-sale terminals, including increases in DCC transactions due to Visa's rule change to allow our ATMs to provide DCC beginning second quarter of 2019, domestic and international surcharge, and foreign currency dispensing.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EFT Processing Segment direct operating costs were $105.6 million and $189.3 million for the three and six months ended June 30, 2019, respectively, an increase of $9.2 million or 10% and $11.2 million or 6% as compared to the same periods in 2018, respectively.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increases in direct operating costs for the three and six months ended June 30, 2019 were primarily due to an increase in the number of ATMs under management, particularly our independent ATM network, partly offset by the impact of the strengthening of the U.S. dollar against key foreign currencies.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Gross profit, which is calculated as revenues less direct operating costs, was $126.4 million and $188.3 million for the three and six months ended June 30, 2019, respectively, compared to $98.6 million and $152.4 million for the three and six months ended June 30, 2018, respectively. The increases in gross profit were primarily due to the growth in revenues from increases in ATMs under management, DCC transactions, domestic and international surcharge, and foreign currency dispensing. The net impact of the U.S. dollar strengthening against key foreign currencies partly offset the increase in gross profit for the three and six months ended June 30, 2019. Gross profit as a percentage of revenues (“gross margin”) was 54.5% and 49.9% for the three and six months ended June 30, 2019, respectively, as compared to 50.6% and 46.1% for the three and six months ended June 30, 2018, respectively. For the three and six months ended June 30, 2019, the increase in gross margin was attributable to increases in DCC transactions due to Visa's rule change to allow our ATMs to provide DCC beginning second quarter of 2019, domestic and international surcharge, foreign currency dispensing, and also a higher volume of sales of POS devices in Greece in the second quarter of 2018 on which we earned a lower margin which did not occur in the current period.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Salaries and benefits expense increased $2.3 million or 12% and $4.7 million or 13% for the three and six months ended June 30, 2019, respectively, compared to the same periods in 2018, respectively. As a percentage of revenues, these costs increased to 9.2% and 10.8% for the second quarter and first half of 2019, respectively, compared to 9.8% and 10.9% and for the second quarter of 2018 and first half of 2018, respectively. The increases were primarily due to additional headcount to support an increase in the number of ATMs and POS devices under management.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Selling, general and administrative expenses for the three and six months ended June 30, 2019 were $10.7 million and $19.8 million, respectively, an increase of $0.5 million for both the three and six months ended June 30, 2018. The increases in selling, general and administrative expenses were primarily due to an increase in costs to support the growth in the business partly offset by the strengthening of the U.S. dollar against key foreign currencies. As a percentage of revenues, selling, general and administrative expenses were 4.6% and 5.3% for the three and six months ended June 30, 2019, respectively, compared to 5.2% and 5.8% for the three and six months ended June 30, 2018, respectively. The decreases in selling, general and administrative expenses as a percentage of revenues were primarily attributable to the increases in the number of DCC transactions processed due to Visa's rule change to allow our ATMs to provide DCC beginning second quarter of 2019, domestic and international surcharge, and foreign currency dispensing, which did not require similar increases in support costs.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Depreciation and amortization expense increased $1.4 million and $1.8 million for the three and six months ended June 30, 2019, respectively, compared to the same periods in 2018, respectively. The increases were primarily attributable to the deployment of additional ATMs under management and software assets. As a percentage of revenues, depreciation and amortization expense was 7.7% and 9.1% for the second quarter and first half of 2019, respectively, as compared to 8.4% and 9.9% for the same periods of 2018. The decreases in depreciation and amortization expenses as a percentage of revenues were primarily attributable to the increases in the number of DCC transactions processed due to Visa's rule change to allow our ATMs to provide DCC beginning second quarter of 2019, domestic and international surcharge, and foreign currency dispensing, which did not require similar increases in fixed assets.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EFT Processing Segment operating income for the three and six months ended June 30, 2019 was $76.5 million and $93.3 million, respectively, an increase of $23.6 million or 45% and $28.8 million or 45% as compared to the same periods in 2018, respectively. EFT Processing Segment operating income for the three and six months ended June 30, 2019 increased primarily due to increases in the number of DCC transactions due to Visa's rule change to allow our ATMs to provide DCC beginning second quarter of 2019, domestic and international surcharge, and foreign currency dispensing as a result of the increased number of ATMs, partly offset by the impact of the strengthening of the U.S. dollar against key foreign currencies.</w:t>
      </w:r>
    </w:p>
    <w:p>
      <w:pPr>
        <w:spacing w:after="0" w:line="6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Operating income as a percentage of revenues (“operating margin”) was 33.0% and 24.7% for the second quarter and first half of 2019, respectively, compared to 27.2% and 19.5% for the same periods of 2018. The increase in operating margin was primarily due to higher revenues partially offset by higher operating expenses incurred to support the increased revenues and additional ATMs under management. Operating income per transaction was $0.10 and $0.06 for the second quarter and first half of 2019 as compared to $0.08 and $0.05 for the same periods of 2018.</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and six months ended June 30, 2019 and 2018 for our epay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1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1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7"/>
              </w:rPr>
              <w:t>Increase</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860" w:type="dxa"/>
            <w:vAlign w:val="bottom"/>
            <w:gridSpan w:val="2"/>
          </w:tcPr>
          <w:p>
            <w:pPr>
              <w:jc w:val="right"/>
              <w:ind w:right="15"/>
              <w:spacing w:after="0" w:line="149" w:lineRule="exact"/>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(Decrease)</w:t>
            </w:r>
          </w:p>
        </w:tc>
        <w:tc>
          <w:tcPr>
            <w:tcW w:w="20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184,160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166,463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17,697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360,274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343,308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16,966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140,427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125,423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15,004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260,345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13,607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14,327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671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29,751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28,744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1,007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166,605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150,134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16,471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324,720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310,084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14,636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97"/>
        </w:trPr>
        <w:tc>
          <w:tcPr>
            <w:tcW w:w="24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16,329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1,226</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c>
          <w:tcPr>
            <w:tcW w:w="1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35,554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33,224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2,330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epay Segment total revenues for the three and six months ended June 30, 2019 were $184.2 million and $360.3 million, respectively, an increase of $17.7 million and $17.0 million as compared to the same periods in 2018, respectively. The increases in total revenues were primarily due to an increase in promotional digital media transactions fulfilled by our cadooz subsidiary that were recorded on a gross value basis and an increase in the number of digital media transactions processed. Foreign currency exchange rate movements decreased total revenues by approximately $9.1 million for the second quarter of 2019 and $24.9 million for the first half of 2019 as compared to the same periods in 2018, respectively.</w:t>
      </w:r>
    </w:p>
    <w:p>
      <w:pPr>
        <w:spacing w:after="0" w:line="6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Revenues per transaction were $0.50 for the second quarter and $0.51 for the first half of 2019 compared to $0.63 and $0.66 for the same periods in 2018, respectively. The decrease in revenues per transaction was primarily the result of the increase in a high volume of low-margin transactions processed in India.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epay Segment direct operating costs were $140.4 million and $274.0 million for the three and six months ended June 30, 2019, respectively, an increase of $15.0 million and $13.6 million as compared to the same periods in 2018, respectively. Direct operating costs in our epay Segment include the commissions we pay to retail merchants for the distribution and sale of prepaid mobile airtime and other prepaid products, expenses incurred to operate POS terminals and the cost of vouchers sold and physical gifts fulfilled. The increases in direct operating costs for the second quarter and first half of 2019 were primarily due to the increases in promotional digital media transactions fulfilled by our cadooz subsidiary and commission paid to wholesalers partially offset by the impact of the U.S. dollar strengthening against key foreign currencies.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Gross profit was $43.7 million and $86.3 million for the three and six months ended June 30, 2019, respectively, as compared to $41.0 million and $83.0 million for the three and six months ended June 30, 2018, respectively. The increases were primarily due to the growth in digital media transactions processed, partly offset by a decrease in prepaid mobile transactions processed in certain markets and the net impact of the U.S. dollar strengthening against key foreign currencies.</w:t>
      </w:r>
    </w:p>
    <w:p>
      <w:pPr>
        <w:spacing w:after="0" w:line="7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During the three and six months ended June 30, 2019, the gross margin was 23.7% and 24.0% for the three and six months ended June 30, 2019, respectively, as compared to 24.7% and 24.2% for the same periods in 2018, respectively. The decreases in the gross margin for the three and six months ended June 30, 2019 were driven by the promotional digital media transactions fulfilled by our cadooz subsidiary that was recorded on a gross value basis.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Salaries and benefits expense increased $0.7 million or 5% and $1.0 million or 4% for the three and six months ended June 30, 2019, respectively, compared to the same periods in 2018, respectively. The increases were mainly driven by increased headcount to support growth in the segment. As a percentage of revenues, salaries and benefits were 8.1% and 8.3% for the three and six months ended June 30, 2019, respectively, which were generally consistent with 8.6% and 8.4% for the same periods in 2018,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Selling, general and administrative expenses were $9.4 million and $17.5 million for the three and six months ended June 30, 2019, respectively, an increase of 11% and 1% as compared to the same periods in 2018, respectively. As a percentage of revenues, selling, general and administrative expenses were 5.1% and 4.9% for the three and six months ended June 30, 2019 compared to 5.1% and 5.0% for the same periods in 2018,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Depreciation and amortization expense primarily represents depreciation of POS terminals we place in retail stores and the amortization of acquired intangible assets. Depreciation and amortization expense was $1.8 million and $3.5 million for the three and six months ended June 30, 2019, respectively, a decrease of 7% and 6% as compared to the same periods in 2018, respectively. The decreases were primarily due to certain intangible assets becoming fully amortized in 2019. As a percentage of revenues, depreciation and amortization expense was 1.0% for both the three and six months ended June 30, 2019 as compared to 1.1% for both the three and six months ended June 30,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epay Segment operating income for the three and six months ended June 30, 2019 was $17.6 million and $35.6 million, respectively, an increase of $1.2 million and $2.3 million as compared to the same periods in 2018, respectively. Operating income for the three and six months ended June 30, 2019 improved as a result of the increase in the portion of higher-margin digital media transactions.</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Operating margin for the three and six months ended June 30, 2019 was 9.5% and 9.9%, respectively, as compared to the 9.8% and 9.7% for the same periods in 2018, respectively. The decrease in the second quarter of 2019 was primarily due to the promotional digital media transactions fulfilled by our cadooz subsidiary. The increase in the first half of 2019 was primarily driven by an increase in the percentage of revenues from digital media products which earn a higher margin than mobile transactions. Operating income per transaction decreased to $0.05 for both the three and six months ended June 30, 2019, respectively, from $0.06 for both the same periods in 2018, respectively. The decreases in the three and six months ended June 30, 2019 were primarily due to the increase in high volume, low margin transactions processed in India.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2019 and 2018 for the Money Transfer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0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w w:val="99"/>
              </w:rPr>
              <w:t>Year-over-Year Change</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2080" w:type="dxa"/>
            <w:vAlign w:val="bottom"/>
            <w:gridSpan w:val="3"/>
            <w:vMerge w:val="restart"/>
          </w:tcPr>
          <w:p>
            <w:pPr>
              <w:jc w:val="right"/>
              <w:ind w:right="34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4"/>
              </w:rPr>
              <w:t>Increase</w:t>
            </w:r>
          </w:p>
        </w:tc>
        <w:tc>
          <w:tcPr>
            <w:tcW w:w="100" w:type="dxa"/>
            <w:vAlign w:val="bottom"/>
          </w:tcPr>
          <w:p>
            <w:pPr>
              <w:spacing w:after="0"/>
              <w:rPr>
                <w:sz w:val="13"/>
                <w:szCs w:val="13"/>
                <w:color w:val="auto"/>
              </w:rPr>
            </w:pPr>
          </w:p>
        </w:tc>
        <w:tc>
          <w:tcPr>
            <w:tcW w:w="1160" w:type="dxa"/>
            <w:vAlign w:val="bottom"/>
            <w:gridSpan w:val="2"/>
          </w:tcPr>
          <w:p>
            <w:pPr>
              <w:jc w:val="right"/>
              <w:ind w:right="420"/>
              <w:spacing w:after="0" w:line="153"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1000" w:type="dxa"/>
            <w:vAlign w:val="bottom"/>
          </w:tcPr>
          <w:p>
            <w:pPr>
              <w:jc w:val="right"/>
              <w:ind w:right="162"/>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276,783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261,816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14,967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533,364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500,652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32,712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148,834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140,707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8,127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268,138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18,100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52,713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3,595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103,869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96,475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7,394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60,840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w w:val="97"/>
              </w:rPr>
              <w:t>Depreciation and amortization</w:t>
            </w: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8,159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206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16,297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15,848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449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2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241,437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229,204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12,233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467,244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441,586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25,658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97"/>
        </w:trPr>
        <w:tc>
          <w:tcPr>
            <w:tcW w:w="25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35,346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2,734</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66,120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59,066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7,054</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89"/>
        </w:trPr>
        <w:tc>
          <w:tcPr>
            <w:tcW w:w="25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2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Money Transfer Segment total revenues for the three and six months ended June 30, 2019 were $276.8 million and $533.4 million, respectively, an increase of $15.0 million or 6% and $32.7 million or 7% as compared to the same periods in 2018. The increases in total revenues for the three and six months ended June 30, 2019 were primarily due to an increase in the number of money transfers processed, driven by growth in the foreign agent and correspondent payout networks. Foreign currency exchange rate movements decreased total revenues by approximately $7.9 million for the second quarter of 2019 and $17.1 million for the first half of 2019 as compared to the same periods in 2018.</w:t>
      </w:r>
    </w:p>
    <w:p>
      <w:pPr>
        <w:spacing w:after="0" w:line="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Revenues per transaction decreased to $9.58 and $9.61 for the second quarter and first half of 2019, respectively, from $9.73 and $9.78 for the same periods in 2018. The decreases were primarily due to the impact of the U.S. dollar strengthening against key foreign currencies.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Money Transfer Segment direct operating costs were $148.8 million and $286.2 million for the three and six months ended June 30, 2019, respectively, an increase of $8.1 million or 6% and $18.1 million or 7% as compared to the same periods in 2018.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increases in direct operating costs for the three and six months of 2019 were primarily due to growth in the number of money transfer transactions processed in foreign markets.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Gross profit was $127.9 million and $247.1 million for the three and six months ended June 30, 2019, respectively, as compared to $121.1 million and $232.5 million for the three and six months ended June 30, 2018, respectively. The increases in gross profit were primarily due to growth in the number of money transfer transactions processed in foreign markets.</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three and six months ended June 30, 2019, gross margin remained flat at 46.2% and 46.3%, respectively, as compared to the same periods in the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Salaries and benefits expense increased $3.6 million or 7% and $7.4 million or 8% for the three and six months ended June 30, 2019, respectively, as compared to the same periods in 2018. The increases in salaries and benefits were primarily due to the expansion of our operations in the U.S. and foreign markets. As a percentage of revenues, salaries and benefits were essentially flat at 19.0% and 19.5% for the three and six months ended June 30, 2019, respectively, as compared to 18.8% and 19.3% for the same periods in 2018.</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Selling, general and administrative expenses for the three and six months ended June 30, 2019 were $31.7 million and $60.8 million, respectively, an increase of $0.3 million or 1% for the second quarter of 2019, and were essentially consistent for the first half of 2019 as compared to the same periods of 2018. The increase for the second quarter of 2019 was primarily due to expenses incurred to support the growth of our money transfer services in both the U.S. and foreign markets largely offset by the impact of the U.S. dollar strengthening against key foreign currencies.</w:t>
      </w:r>
    </w:p>
    <w:p>
      <w:pPr>
        <w:spacing w:after="0" w:line="17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As a percentage of revenues, selling, general and administrative expenses were 11.5% and 11.4% for the three and six months ended June 30, 2019, respectively, as compared to 12.0% and 12.2% for the same periods in 2018. The decreases were primarily due to the increase in the number of money transfers processed, which did not require similar increases in support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Depreciation and amortization expense increased $0.2 million or 3% and $0.4 million or 3% for the three and six months ended June 30, 2019, respectively, as compared to the same periods in 2018, largely due to the increased capital additions as a result of business growth.</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a percentage of revenues, depreciation and amortization expense was 2.9% for the second quarter of 2019 and 3.1% for the first half of 2019, which was essentially unchanged compared to 3.0% and 3.2% for the same periods of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Money Transfer Segment operating income for the three and six months ended June 30, 2019 was $35.3 million and $66.1 million, respectively, an increase of $2.7 million or 8% and $7.1 million or 12% as compared to the same periods of 2018. Operating income for the three and six months ended June 30, 2019 increased primarily due to the growth in the number of money transfers processed partly offset by the additional salaries and benefits costs incurred.</w:t>
      </w:r>
    </w:p>
    <w:p>
      <w:pPr>
        <w:spacing w:after="0" w:line="3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a percentage of revenues, operating margin was 12.8% and 12.4% for the three and six months ended June 30, 2019, respectively, as compared to 12.5% and 11.8% for the same periods in 2018. Operating income per transaction increased to $1.22 and $1.19 for the three and six months ended June 30, 2019, respectively, from $1.21 and $1.15 for the same periods in 2018. The increases in operating margin and operating income per transaction were primarily due to the growth in the number of money transfers processed which did not require similar increases in support costs.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and six months ended June 30, 2019 and 2018 for Corporate Services: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7"/>
              </w:rPr>
              <w:t>Increase</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16,955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796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Selling, general and</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0"/>
                <w:szCs w:val="20"/>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2,229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3,863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57"/>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11,520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11,494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20,967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20,918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Overall, operating expenses for Corporate Services were $11.5 million and $21.0 million for the three and six months ended June 30, 2019, which were consistent when compared to the same periods in 2018. The increases were primarily attributable to an increase in bonus expense due to our improved operating results compared to targets.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16"/>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19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Increase</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7"/>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40" w:type="dxa"/>
            <w:vAlign w:val="bottom"/>
          </w:tcPr>
          <w:p>
            <w:pPr>
              <w:spacing w:after="0"/>
              <w:rPr>
                <w:sz w:val="12"/>
                <w:szCs w:val="12"/>
                <w:color w:val="auto"/>
              </w:rPr>
            </w:pPr>
          </w:p>
        </w:tc>
        <w:tc>
          <w:tcPr>
            <w:tcW w:w="7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(10,061)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(17,667)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debt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660" w:type="dxa"/>
            <w:vAlign w:val="bottom"/>
            <w:gridSpan w:val="2"/>
          </w:tcPr>
          <w:p>
            <w:pPr>
              <w:ind w:left="40"/>
              <w:spacing w:after="0"/>
              <w:rPr>
                <w:sz w:val="20"/>
                <w:szCs w:val="20"/>
                <w:color w:val="auto"/>
              </w:rPr>
            </w:pPr>
            <w:r>
              <w:rPr>
                <w:rFonts w:ascii="Arial" w:cs="Arial" w:eastAsia="Arial" w:hAnsi="Arial"/>
                <w:sz w:val="18"/>
                <w:szCs w:val="18"/>
                <w:color w:val="auto"/>
                <w:w w:val="97"/>
              </w:rPr>
              <w:t>Foreign currency exchange (loss)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0"/>
              <w:spacing w:after="0"/>
              <w:rPr>
                <w:sz w:val="20"/>
                <w:szCs w:val="20"/>
                <w:color w:val="auto"/>
              </w:rPr>
            </w:pPr>
            <w:r>
              <w:rPr>
                <w:rFonts w:ascii="Arial" w:cs="Arial" w:eastAsia="Arial" w:hAnsi="Arial"/>
                <w:sz w:val="18"/>
                <w:szCs w:val="18"/>
                <w:color w:val="auto"/>
              </w:rPr>
              <w:t>gain, net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(20,690)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20,569</w:t>
            </w:r>
          </w:p>
        </w:tc>
        <w:tc>
          <w:tcPr>
            <w:tcW w:w="100" w:type="dxa"/>
            <w:vAlign w:val="bottom"/>
          </w:tcPr>
          <w:p>
            <w:pPr>
              <w:spacing w:after="0"/>
              <w:rPr>
                <w:sz w:val="20"/>
                <w:szCs w:val="20"/>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(18,755)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21,842</w:t>
            </w:r>
          </w:p>
        </w:tc>
        <w:tc>
          <w:tcPr>
            <w:tcW w:w="120" w:type="dxa"/>
            <w:vAlign w:val="bottom"/>
          </w:tcPr>
          <w:p>
            <w:pPr>
              <w:spacing w:after="0"/>
              <w:rPr>
                <w:sz w:val="20"/>
                <w:szCs w:val="20"/>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from unconsolidated</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affiliates</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Other (loss) gains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(30,306)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11,737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(35,767)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11,647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increase in interest income for the three and six months ended June 30, 2019 when compared to the same periods in 2018 was due to the interest earned from the immediate proceeds we received from the issuance of Convertible Notes and the Senior Notes before they were fully utilized in the business.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increase in interest expense for the first half of 2019 compared to the same period in 2018 was primarily related to the greater weighted average borrowings outstanding offset by lower weighted average borrowing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extinguishment of debt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in loss on early extinguishment of debt for the three and six months ended June 30, 2019 when compared to the same periods in 2018 was due to the retirement of the Retired Convertible Notes that would have matured in 2044 on May 28,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gain, net</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the change in USD value of our euro-denominated Senior Notes beginning second quarter of 2019 and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recorded a net foreign currency exchange loss of $0.1 million for the second quarter of 2019 and a net gain of $3.1 million for the first half of 2019, as compared to net foreign currency exchange losses of $20.7 million and $18.8 million for the same periods in 2018. These realized and unrealized foreign currency exchange losses and gains reflect the fluctuation in the value of the U.S. dollar against the currencies of the countries in which we operated during the respective periods.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The Company's effective income tax rate was 31.5% and 31.6% for both the three and six months ended </w:t>
      </w:r>
      <w:r>
        <w:rPr>
          <w:rFonts w:ascii="Arial" w:cs="Arial" w:eastAsia="Arial" w:hAnsi="Arial"/>
          <w:sz w:val="16"/>
          <w:szCs w:val="16"/>
          <w:color w:val="252525"/>
        </w:rPr>
        <w:t>June 30, 2019</w:t>
      </w:r>
      <w:r>
        <w:rPr>
          <w:rFonts w:ascii="Arial" w:cs="Arial" w:eastAsia="Arial" w:hAnsi="Arial"/>
          <w:sz w:val="16"/>
          <w:szCs w:val="16"/>
          <w:color w:val="auto"/>
        </w:rPr>
        <w:t xml:space="preserve">, respectively, as compared to 27.3% and 30.1% for the three and six months ended June 30, 2018, respectively. The Company's effective income tax rate for the three and six months ended </w:t>
      </w:r>
      <w:r>
        <w:rPr>
          <w:rFonts w:ascii="Arial" w:cs="Arial" w:eastAsia="Arial" w:hAnsi="Arial"/>
          <w:sz w:val="16"/>
          <w:szCs w:val="16"/>
          <w:color w:val="252525"/>
        </w:rPr>
        <w:t xml:space="preserve">June 30, 2019 </w:t>
      </w:r>
      <w:r>
        <w:rPr>
          <w:rFonts w:ascii="Arial" w:cs="Arial" w:eastAsia="Arial" w:hAnsi="Arial"/>
          <w:sz w:val="16"/>
          <w:szCs w:val="16"/>
          <w:color w:val="000000"/>
        </w:rPr>
        <w:t>and 2018 was higher than the applicable statutory income tax rate of 21% as a result of certain foreign earnings of the Company being subject</w:t>
      </w:r>
      <w:r>
        <w:rPr>
          <w:rFonts w:ascii="Arial" w:cs="Arial" w:eastAsia="Arial" w:hAnsi="Arial"/>
          <w:sz w:val="16"/>
          <w:szCs w:val="16"/>
          <w:color w:val="252525"/>
        </w:rPr>
        <w:t xml:space="preserve"> </w:t>
      </w:r>
      <w:r>
        <w:rPr>
          <w:rFonts w:ascii="Arial" w:cs="Arial" w:eastAsia="Arial" w:hAnsi="Arial"/>
          <w:sz w:val="16"/>
          <w:szCs w:val="16"/>
          <w:color w:val="000000"/>
        </w:rPr>
        <w:t>to higher local statutory income tax rates and the application of the U.S. global intangible low-taxed income ("GILTI") tax provision to the Company. The GILTI provision subjects the Company's current foreign earnings to U.S. taxation which creates additional U.S. tax expense. The increase in the effective tax rate for the first half of 2019 compared to the same period in 2018 is due to (i) the release of unrecognized tax benefits in the first half of 2018 from the settlement or expiration of tax audit examinations and (ii) the mix of foreign earnings in higher tax rate jurisdictions.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NONCONTROLLING INTERESTS</w:t>
      </w:r>
    </w:p>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EFT - India</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Net income attributable to Euronet was $68.2 million and $102.7 million for the three and six months ended June 30, 2019, respectively, an increase of $24.4 million and $32.6 million as compared to the same periods in 2018. The increase in net income for the first half of 2019 was primarily due to an increase in operating income of $38.2 million, a $21.8 million increase in net foreign currency exchange gain, partly offset by a $17.2 million increase in income tax expense, an increase in loss on early extinguishment on debt of $9.8 million, and an increase in interest expense of $0.6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June 30, 2019 and December 31, 2018, we had working capital, which is calculated as the difference between total current assets and total current liabilities, of $1,220 million and $709 million, respectively. Our ratio of current assets to current liabilities at June 30, 2019 and December 31, 2018 was 1.82 and 1.51, respectively. The increase in working capital was primarily due to the addition of current portion of operating lease liabilities and ATM cash funded by the long-term debt.</w:t>
      </w:r>
    </w:p>
    <w:p>
      <w:pPr>
        <w:spacing w:after="0" w:line="7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require substantial working capital to finance operations. In the Money Transfer Segment, we fund the payout of the majority of our consumer-to-consumer money transfer services before receiving the benefit of amounts collected from customers by agents. Working capital needs increase due to weekends, and domestic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and cash flows from operations. As of June 30, 2019, we had approximately $809 million of our own cash in use or designated for use in our ATM network, which is recorded in cash and cash equivalents and trade accounts receivable, for ATM withdrawals pending settlement, on the Consolidated Balance Sheet.</w:t>
      </w:r>
    </w:p>
    <w:p>
      <w:pPr>
        <w:spacing w:after="0" w:line="5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had cash and cash equivalents of $1,558 million at June 30, 2019, of which $1,294 million was held outside of the United States and is expected to be indefinitely reinvested for continued use in foreign operations. Repatriation of these assets to the U.S. could have negative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six month periods ended June 30, 2019 and 2018 (in thousands):</w:t>
      </w:r>
    </w:p>
    <w:p>
      <w:pPr>
        <w:spacing w:after="0" w:line="225"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56,714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69,304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(68,990)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505,945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360,922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(25,471)</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Increase in cash and cash equivalents and restricted cash</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498,806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335,765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Cash flows provided by operating activities were $56.7 million for the first half of 2019 compared to $69.3 million for the first half of 2018. The decrease is primarily due to fluctuations in working capital mainly associated with the timing of the settlement processes with content providers in the epay Segment and with correspondents in the Money Transfer Segment, partly offset by improved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flows used in investing activities were $68.8 million for the first half of 2019 compared to $69.0 million for the first half of 2018. During the first half of 2018, we used $12.9 million for a business acquisition. There was no material acquisition in the first half of 2019. We used $67.7 million for purchases of property and equipment for the first half of 2019 compared to $53.4 million for the first half of 2018. Cash used for software development and other investing activities totaled $1.0 million and $2.8 million for the first half of 2019 and 2018,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Cash flows provided by financing activities were $505.9 million for the first half of 2019 compared to $360.9 million for the first half of 2018. Our financing activities for the first half of 2019 consisted of net borrowings of $524.1 million compared to net borrowings of $536.7 million for the first half of 2018. The increase in net borrowings for the first half of 2019 compared to the same period of 2018 was the result of the issuance of $1,195 million of new Convertible Notes and Senior Notes to fund the operating cash of our IAD networks, repay revolving credit facility borrowings of $2,253 million and retire the Retired Convertible Notes of $447 million. During the second quarter of 2018, we entered into a short-term credit facility in the amount of $300 million for the sole purpose of providing providing cash for our ATM network which expired on November 30, 2018. During the second quarter of 2019, we repaid $14 million of short-term debt obligations. We repurchased $2.4 million and $176.7 million of our stock during the first half of 2019 and 2018, respectively. During the first half of 2018, we repurchased $175.0 million of our shares and paid $1.7 million for the amount of payroll taxes represented by the common stock withheld on restricted stock vestings and stock option exercises compared to $2.4 million for the same period of 2019. We received proceeds from stock option exercises of $7.0 million and $4.1 million for the first half of 2019 and 2018,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u w:val="single" w:color="auto"/>
          <w:color w:val="auto"/>
        </w:rPr>
        <w:t>Credit Facility</w:t>
      </w:r>
      <w:r>
        <w:rPr>
          <w:rFonts w:ascii="Arial" w:cs="Arial" w:eastAsia="Arial" w:hAnsi="Arial"/>
          <w:sz w:val="16"/>
          <w:szCs w:val="16"/>
          <w:color w:val="auto"/>
        </w:rPr>
        <w:t xml:space="preserve"> - On October 17, 2018, the Company entered into a $1.0 billion unsecured credit agreement (the "Credit Facility") that expires on October 17, 2023. The Credit Facility allows for borrowings in Australian Dollars, British Pounds Sterling, Canadian Dollars, Czech Koruna, Danish Krone, Euros, Hungarian Forints, Japanese Yen, New Zealand Dollars, Norwegian Krone, Polish Zlotys, Swedish Krona, Swiss Francs, and US Dollars.</w:t>
      </w:r>
    </w:p>
    <w:p>
      <w:pPr>
        <w:spacing w:after="0" w:line="14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As of June 30, 2019, fees and interest on borrowings are based upon the Company's corporate credit rating (as defined in the Credit Facility)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5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of June 30, 2019, we had $6.1 million of borrowings and $46.3 million of stand-by letters of credit outstanding under the Credit Facility. The remaining $947.6 million under the Credit Facility was available for borrowing based upon the borrowing base and financial covenants in our Credit Facility.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u w:val="single" w:color="auto"/>
          <w:color w:val="auto"/>
        </w:rPr>
        <w:t>Convertible debt</w:t>
      </w:r>
      <w:r>
        <w:rPr>
          <w:rFonts w:ascii="Arial" w:cs="Arial" w:eastAsia="Arial" w:hAnsi="Arial"/>
          <w:sz w:val="17"/>
          <w:szCs w:val="17"/>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the Company and U.S. Bank National Association ,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may not redeem the Notes prior to September 20, 2022. The Company may redeem for cash all or any portion of the Convertible Notes, at its option, (i) on or after September 20, 2022 if the closing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w:t>
      </w:r>
    </w:p>
    <w:p>
      <w:pPr>
        <w:spacing w:after="0" w:line="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Additionally, holders have the right to require the Company to repurchase for cash all or part of their Convertible Notes on each of March 15, 2025, March 15, 2029, March 15, 2034, March 15, 2039 and March 15, 2044 at a repurchase price equal to 100% of the principal amount of the Notes to be repurchased, plus accrued and unpaid interest to, but excluding, the relevant repurchase date. In addition, if a fundamental change, as defined in the Indenture, occurs prior to the maturity date, holders may require the Company to repurchase for cash all or part of their Convertible Notes at a repurchase price equal to 100% of the principal amount of the Notes to be repurchased, plus accrued and unpaid interest to, but excluding, the fundamental change repurchase date.</w:t>
      </w:r>
    </w:p>
    <w:p>
      <w:pPr>
        <w:spacing w:after="0" w:line="5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u w:val="single" w:color="auto"/>
          <w:color w:val="auto"/>
        </w:rPr>
        <w:t>1.375% Senior Notes due 2026</w:t>
      </w:r>
      <w:r>
        <w:rPr>
          <w:rFonts w:ascii="Arial" w:cs="Arial" w:eastAsia="Arial" w:hAnsi="Arial"/>
          <w:sz w:val="18"/>
          <w:szCs w:val="18"/>
          <w:color w:val="auto"/>
        </w:rPr>
        <w:t xml:space="preserve"> - On May 22, 2019, the Company completed the sale of €600 million ($669.9 million) aggregate principal amount of the Senior Notes that expire on May 2026 (the “Senior Notes”). The Senior Notes accrue interest at a rate of 1.375% per year, payable annually in arrears commencing May 22, 2020, until maturity or earlier redemption. As of June 30, 2019, the Company has outstanding €600 million ($682.1 million) euro-denominated principal amount of the Senior Notes. In addition, the Company may redeem some or all of these notes on or after February 22, 2026 at their principal amount plus any accrued and unpaid interest.</w:t>
      </w:r>
    </w:p>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also have available credit lines and overdraft facilities to generally supplement short-term working capital requirements. As of June 30, 2019, there was $24.3 million outstanding under these other obligation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including capital lease expenditures, for the first half of 2019 were $72.8 million. These capital expenditures were made primarily for the purchase of ATMs to expand our independent ATM network in Europe and Asia, the purchase and installation of ATMs in key under-penetrated markets, the purchase of POS terminals for the epay and Money Transfer Segments, and office, data center and company store computer equipment and software. Total capital expenditures for 2019 are currently estimated to range from approximately $140 million to $150 million.</w:t>
      </w:r>
    </w:p>
    <w:p>
      <w:pPr>
        <w:spacing w:after="0" w:line="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Credit Facility and other existing and potential future financing sources,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5"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2019, there were no material changes from the disclosure in our Annual Report on Form 10-K for the year ended December 31, 2018. To date, we are not aware of any significant claims made by the indemnified parties or parties to whom we have provided guarantees on behalf of our subsidiaries and, accordingly, no liabilities have been recorded as of June 30, 2019. See also Note 12,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As of June 30, 2019, there have been no material changes outside the ordinary course of business in our future contractual obligations from the amounts reported within our Annual Report on Form 10-K for the year ended December 31, 2018, other than those resulting from changes in the amount of debt outstanding discussed in the Liquidity and Capital Resources section.</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125" w:right="3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140"/>
        <w:spacing w:after="0" w:line="270" w:lineRule="auto"/>
        <w:rPr>
          <w:sz w:val="20"/>
          <w:szCs w:val="20"/>
          <w:color w:val="auto"/>
        </w:rPr>
      </w:pPr>
      <w:r>
        <w:rPr>
          <w:rFonts w:ascii="Arial" w:cs="Arial" w:eastAsia="Arial" w:hAnsi="Arial"/>
          <w:sz w:val="17"/>
          <w:szCs w:val="17"/>
          <w:color w:val="auto"/>
        </w:rPr>
        <w:t>As of June 30, 2019, our total debt outstanding was $1,142 million. Of this amount, $1,112 million, net of debt discounts, or 97% of our total debt obligations, relates to our Convertible Notes and Senior Notes that each have a fixed coupon rate. The $525 million aggregate principal amount of the Convertible Notes issued on March 18, 2019, accrue cash interest at a rate of 0.75% of the principal amount per annum. The fair value of the fixed rate Convertible Notes was $519.2 million as of June 30, 2019 based on quoted market prices, compared to a carrying value of $429.6 million. Interest expense for the Convertible Notes, including accretion and amortization of deferred debt issuance costs, has a weighted average interest rate of 4.4%. The €600 million aggregate principal amount of the Senior Notes, accrue cash interest at a rate of 1.375% of the principal amount per annum. Based on quoted market prices, as of June 30, 2019, the fair value of our fixed rate Senior Notes was $678.0 million, compared to a carrying value of $682.1 million. The Credit Facility borrowings were $6.1 million, or 1% of our total debt obligations. If we were to maximize the potential borrowings available under the Credit Facility and maintain these borrowings for one year, a 1% (100 basis points) increase in the applicable interest rate would result in additional annual interest expense to the Company of approximately $9.5 million.</w:t>
      </w:r>
    </w:p>
    <w:p>
      <w:pPr>
        <w:spacing w:after="0" w:line="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remaining $24.3 million, or 2%, of our total debt obligations as of June 30, 2019, is related to borrowings by certain subsidiaries to fund, from time to time, working capital requirements. These arrangements generally are due within one year and accrue interest at variable rates.</w:t>
      </w:r>
    </w:p>
    <w:p>
      <w:pPr>
        <w:spacing w:after="0" w:line="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first half of 2019, approximately 72%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June 30, 2019, we estimate that a 10% fluctuation in these foreign currency exchange rates would have the combined annualized effect on reported net income and working capital of approximately $90 million to $95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8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$140 million to</w:t>
      </w:r>
    </w:p>
    <w:p>
      <w:pPr>
        <w:spacing w:after="0"/>
        <w:rPr>
          <w:sz w:val="20"/>
          <w:szCs w:val="20"/>
          <w:color w:val="auto"/>
        </w:rPr>
      </w:pPr>
      <w:r>
        <w:rPr>
          <w:rFonts w:ascii="Arial" w:cs="Arial" w:eastAsia="Arial" w:hAnsi="Arial"/>
          <w:sz w:val="16"/>
          <w:szCs w:val="16"/>
          <w:color w:val="auto"/>
        </w:rPr>
        <w:t>$145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is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June 30, 2019, we had foreign currency derivative contracts outstanding with a notional value of $278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For derivative instruments our xe operations write for customers, we aggregate the foreign currency exposure arising from customer contracts, and hedge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resulting net currency risks by entering into offsetting contracts with established financial institution counterparties as part of a broader foreign currency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portfolio. The changes in fair value related to the total portfolio of positions are recorded in Revenues on the Consolidated Statements of Income.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2019, we held foreign currency derivative contracts outstanding with a notional value of $1.4 billion, primarily in U.S. dollars, euros, British pounds,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Australian dollars and New Zealand dollars, that were not designated as hedges and for which the majority mature within the next twelve months.</w:t>
      </w:r>
    </w:p>
    <w:p>
      <w:pPr>
        <w:spacing w:after="0" w:line="114"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June 30, 2019, the Company had foreign currency forward contracts outstanding with a notional value of $86 million, primarily in euros.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 8, Derivative Instruments and Hedging Activities,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June 30, 2019.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June 30, 2019 that have materially affected, or are reasonably likely to materially affect, our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13, Litigation and Contingencies, to the unaudited consolidated financial statements in this report is incorporated herein by reference.</w:t>
      </w:r>
    </w:p>
    <w:p>
      <w:pPr>
        <w:spacing w:after="0" w:line="6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252525"/>
        </w:rPr>
        <w:t xml:space="preserve">There were no material changes to the risk factors previously disclosed in our Annual Report on Form 10-K for the year ended </w:t>
      </w:r>
      <w:r>
        <w:rPr>
          <w:rFonts w:ascii="Arial" w:cs="Arial" w:eastAsia="Arial" w:hAnsi="Arial"/>
          <w:sz w:val="18"/>
          <w:szCs w:val="18"/>
          <w:color w:val="000000"/>
        </w:rPr>
        <w:t>December 31, 2018 and</w:t>
      </w:r>
      <w:r>
        <w:rPr>
          <w:rFonts w:ascii="Arial" w:cs="Arial" w:eastAsia="Arial" w:hAnsi="Arial"/>
          <w:sz w:val="18"/>
          <w:szCs w:val="18"/>
          <w:color w:val="252525"/>
        </w:rPr>
        <w:t xml:space="preserve"> </w:t>
      </w:r>
      <w:r>
        <w:rPr>
          <w:rFonts w:ascii="Arial" w:cs="Arial" w:eastAsia="Arial" w:hAnsi="Arial"/>
          <w:sz w:val="18"/>
          <w:szCs w:val="18"/>
          <w:color w:val="000000"/>
        </w:rPr>
        <w:t>Quarterly Report on Form 10-Q for the quarter ended March 31, 2019, as filed with the SEC.</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June 30,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w w:val="98"/>
              </w:rPr>
              <w:t>Maximum Dollar Value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 Number of Shares</w:t>
            </w:r>
          </w:p>
        </w:tc>
        <w:tc>
          <w:tcPr>
            <w:tcW w:w="240" w:type="dxa"/>
            <w:vAlign w:val="bottom"/>
          </w:tcPr>
          <w:p>
            <w:pPr>
              <w:spacing w:after="0"/>
              <w:rPr>
                <w:sz w:val="12"/>
                <w:szCs w:val="12"/>
                <w:color w:val="auto"/>
              </w:rPr>
            </w:pPr>
          </w:p>
        </w:tc>
        <w:tc>
          <w:tcPr>
            <w:tcW w:w="1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20" w:type="dxa"/>
            <w:vAlign w:val="bottom"/>
          </w:tcPr>
          <w:p>
            <w:pPr>
              <w:spacing w:after="0"/>
              <w:rPr>
                <w:sz w:val="12"/>
                <w:szCs w:val="12"/>
                <w:color w:val="auto"/>
              </w:rPr>
            </w:pPr>
          </w:p>
        </w:tc>
        <w:tc>
          <w:tcPr>
            <w:tcW w:w="15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220" w:type="dxa"/>
            <w:vAlign w:val="bottom"/>
          </w:tcPr>
          <w:p>
            <w:pPr>
              <w:spacing w:after="0"/>
              <w:rPr>
                <w:sz w:val="12"/>
                <w:szCs w:val="12"/>
                <w:color w:val="auto"/>
              </w:rPr>
            </w:pPr>
          </w:p>
        </w:tc>
        <w:tc>
          <w:tcPr>
            <w:tcW w:w="15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Programs (in</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740" w:type="dxa"/>
            <w:vAlign w:val="bottom"/>
          </w:tcPr>
          <w:p>
            <w:pPr>
              <w:ind w:left="560"/>
              <w:spacing w:after="0"/>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6"/>
                <w:szCs w:val="16"/>
                <w:color w:val="auto"/>
              </w:rPr>
            </w:pPr>
          </w:p>
        </w:tc>
        <w:tc>
          <w:tcPr>
            <w:tcW w:w="1680" w:type="dxa"/>
            <w:vAlign w:val="bottom"/>
          </w:tcPr>
          <w:p>
            <w:pPr>
              <w:ind w:left="560"/>
              <w:spacing w:after="0"/>
              <w:rPr>
                <w:sz w:val="20"/>
                <w:szCs w:val="20"/>
                <w:color w:val="auto"/>
              </w:rPr>
            </w:pPr>
            <w:r>
              <w:rPr>
                <w:rFonts w:ascii="Arial" w:cs="Arial" w:eastAsia="Arial" w:hAnsi="Arial"/>
                <w:sz w:val="14"/>
                <w:szCs w:val="14"/>
                <w:b w:val="1"/>
                <w:bCs w:val="1"/>
                <w:color w:val="auto"/>
              </w:rPr>
              <w:t>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220" w:type="dxa"/>
            <w:vAlign w:val="bottom"/>
          </w:tcPr>
          <w:p>
            <w:pPr>
              <w:spacing w:after="0"/>
              <w:rPr>
                <w:sz w:val="16"/>
                <w:szCs w:val="16"/>
                <w:color w:val="auto"/>
              </w:rPr>
            </w:pPr>
          </w:p>
        </w:tc>
        <w:tc>
          <w:tcPr>
            <w:tcW w:w="15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thousands) (1)</w:t>
            </w: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 April 30, 2019</w:t>
            </w:r>
          </w:p>
        </w:tc>
        <w:tc>
          <w:tcPr>
            <w:tcW w:w="17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320,000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May 1 - May 31, 2019</w:t>
            </w:r>
          </w:p>
        </w:tc>
        <w:tc>
          <w:tcPr>
            <w:tcW w:w="1740" w:type="dxa"/>
            <w:vAlign w:val="bottom"/>
          </w:tcPr>
          <w:p>
            <w:pPr>
              <w:ind w:left="1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80" w:type="dxa"/>
            <w:vAlign w:val="bottom"/>
          </w:tcPr>
          <w:p>
            <w:pPr>
              <w:ind w:left="1300"/>
              <w:spacing w:after="0"/>
              <w:rPr>
                <w:sz w:val="20"/>
                <w:szCs w:val="20"/>
                <w:color w:val="auto"/>
              </w:rPr>
            </w:pPr>
            <w:r>
              <w:rPr>
                <w:rFonts w:ascii="Arial" w:cs="Arial" w:eastAsia="Arial" w:hAnsi="Arial"/>
                <w:sz w:val="18"/>
                <w:szCs w:val="18"/>
                <w:color w:val="auto"/>
              </w:rPr>
              <w:t>—</w:t>
            </w:r>
          </w:p>
        </w:tc>
        <w:tc>
          <w:tcPr>
            <w:tcW w:w="1720" w:type="dxa"/>
            <w:vAlign w:val="bottom"/>
          </w:tcPr>
          <w:p>
            <w:pPr>
              <w:ind w:left="1420"/>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320,000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 June 30, 2019</w:t>
            </w:r>
          </w:p>
        </w:tc>
        <w:tc>
          <w:tcPr>
            <w:tcW w:w="17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320,000</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ind w:left="130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Board of Directors has authorized a stock repurchase program ("Repurchase Program") allowing Euronet to repurchase up to $375 million in value or</w:t>
      </w:r>
    </w:p>
    <w:p>
      <w:pPr>
        <w:spacing w:after="0" w:line="46" w:lineRule="exact"/>
        <w:rPr>
          <w:rFonts w:ascii="Arial" w:cs="Arial" w:eastAsia="Arial" w:hAnsi="Arial"/>
          <w:sz w:val="16"/>
          <w:szCs w:val="16"/>
          <w:color w:val="auto"/>
        </w:rPr>
      </w:pPr>
    </w:p>
    <w:p>
      <w:pPr>
        <w:ind w:right="180"/>
        <w:spacing w:after="0" w:line="254" w:lineRule="auto"/>
        <w:rPr>
          <w:rFonts w:ascii="Arial" w:cs="Arial" w:eastAsia="Arial" w:hAnsi="Arial"/>
          <w:sz w:val="16"/>
          <w:szCs w:val="16"/>
          <w:color w:val="auto"/>
        </w:rPr>
      </w:pPr>
      <w:r>
        <w:rPr>
          <w:rFonts w:ascii="Arial" w:cs="Arial" w:eastAsia="Arial" w:hAnsi="Arial"/>
          <w:sz w:val="18"/>
          <w:szCs w:val="18"/>
          <w:color w:val="auto"/>
        </w:rPr>
        <w:t>10.0 million shares of stock through March 31, 2020. Euronet has repurchased $175 million of stock under the Repurchase Program. On March 11, 2019, in connection with the issuance of the Convertible Notes, the Board of Directors authorized an additional repurchase program of $120 million in value of Euronet’s common stock through March 11, 2021. Repurchases under either program may take place in the open market or in privately negotiated transactions, including derivative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40" w:type="dxa"/>
            <w:vAlign w:val="bottom"/>
            <w:gridSpan w:val="6"/>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20" w:type="dxa"/>
            <w:vAlign w:val="bottom"/>
            <w:tcBorders>
              <w:top w:val="single" w:sz="8" w:color="auto"/>
              <w:bottom w:val="single" w:sz="8" w:color="0000FF"/>
            </w:tcBorders>
            <w:gridSpan w:val="8"/>
          </w:tcPr>
          <w:p>
            <w:pPr>
              <w:spacing w:after="0"/>
              <w:rPr>
                <w:rFonts w:ascii="Arial" w:cs="Arial" w:eastAsia="Arial" w:hAnsi="Arial"/>
                <w:sz w:val="18"/>
                <w:szCs w:val="18"/>
                <w:color w:val="0000FF"/>
                <w:w w:val="90"/>
              </w:rPr>
            </w:pPr>
            <w:hyperlink r:id="rId14">
              <w:r>
                <w:rPr>
                  <w:rFonts w:ascii="Arial" w:cs="Arial" w:eastAsia="Arial" w:hAnsi="Arial"/>
                  <w:sz w:val="18"/>
                  <w:szCs w:val="18"/>
                  <w:color w:val="0000FF"/>
                  <w:w w:val="90"/>
                </w:rPr>
                <w:t>Indenture, dated May 22, 2019, between the Company and U.S. Bank National Association, as trustee (filed as Exhibit 4.1 to the Company's</w:t>
              </w:r>
            </w:hyperlink>
          </w:p>
        </w:tc>
        <w:tc>
          <w:tcPr>
            <w:tcW w:w="120" w:type="dxa"/>
            <w:vAlign w:val="bottom"/>
            <w:tcBorders>
              <w:top w:val="single" w:sz="8" w:color="auto"/>
            </w:tcBorders>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9"/>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Current Report on Form 8-K filed on May 22, 2019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tcBorders>
              <w:bottom w:val="single" w:sz="8" w:color="0000FF"/>
            </w:tcBorders>
            <w:gridSpan w:val="7"/>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Supplemental Indenture, dated May 22, 2019, between the Company and U.S. Bank National Association, as trustee (filed as Exhibit 4.2 to</w:t>
              </w:r>
            </w:hyperlink>
          </w:p>
        </w:tc>
        <w:tc>
          <w:tcPr>
            <w:tcW w:w="200" w:type="dxa"/>
            <w:vAlign w:val="bottom"/>
            <w:gridSpan w:val="2"/>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the Company's Current Report on Form 8-K filed on May 22, 2019 and incorporated herein by reference).</w:t>
              </w:r>
            </w:hyperlink>
          </w:p>
        </w:tc>
        <w:tc>
          <w:tcPr>
            <w:tcW w:w="2600" w:type="dxa"/>
            <w:vAlign w:val="bottom"/>
            <w:gridSpan w:val="3"/>
          </w:tcPr>
          <w:p>
            <w:pPr>
              <w:spacing w:after="0"/>
              <w:rPr>
                <w:sz w:val="17"/>
                <w:szCs w:val="17"/>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9"/>
          </w:tcPr>
          <w:p>
            <w:pPr>
              <w:spacing w:after="0"/>
              <w:rPr>
                <w:rFonts w:ascii="Arial" w:cs="Arial" w:eastAsia="Arial" w:hAnsi="Arial"/>
                <w:sz w:val="18"/>
                <w:szCs w:val="18"/>
                <w:color w:val="0000FF"/>
              </w:rPr>
            </w:pPr>
            <w:hyperlink r:id="rId16">
              <w:r>
                <w:rPr>
                  <w:rFonts w:ascii="Arial" w:cs="Arial" w:eastAsia="Arial" w:hAnsi="Arial"/>
                  <w:sz w:val="18"/>
                  <w:szCs w:val="18"/>
                  <w:color w:val="0000FF"/>
                </w:rPr>
                <w:t>Form of 1.375% Senior Note due 2026 (included as Exhibit A to Exhibit 4.2 above)</w:t>
              </w:r>
            </w:hyperlink>
            <w:r>
              <w:rPr>
                <w:rFonts w:ascii="Arial" w:cs="Arial" w:eastAsia="Arial" w:hAnsi="Arial"/>
                <w:sz w:val="18"/>
                <w:szCs w:val="18"/>
                <w:color w:val="000000"/>
              </w:rPr>
              <w:t>)</w:t>
            </w: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tcBorders>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Section 302</w:t>
              </w:r>
            </w:hyperlink>
          </w:p>
        </w:tc>
        <w:tc>
          <w:tcPr>
            <w:tcW w:w="5160" w:type="dxa"/>
            <w:vAlign w:val="bottom"/>
            <w:tcBorders>
              <w:top w:val="single" w:sz="8" w:color="0000FF"/>
            </w:tcBorders>
            <w:gridSpan w:val="3"/>
          </w:tcPr>
          <w:p>
            <w:pPr>
              <w:ind w:left="20"/>
              <w:spacing w:after="0"/>
              <w:rPr>
                <w:rFonts w:ascii="Arial" w:cs="Arial" w:eastAsia="Arial" w:hAnsi="Arial"/>
                <w:sz w:val="18"/>
                <w:szCs w:val="18"/>
                <w:color w:val="0000FF"/>
              </w:rPr>
            </w:pPr>
            <w:hyperlink w:anchor="page47">
              <w:r>
                <w:rPr>
                  <w:rFonts w:ascii="Arial" w:cs="Arial" w:eastAsia="Arial" w:hAnsi="Arial"/>
                  <w:sz w:val="18"/>
                  <w:szCs w:val="18"/>
                  <w:color w:val="0000FF"/>
                </w:rPr>
                <w:t>— Certification of Chief Executive Officer</w:t>
              </w:r>
            </w:hyperlink>
          </w:p>
        </w:tc>
        <w:tc>
          <w:tcPr>
            <w:tcW w:w="4200" w:type="dxa"/>
            <w:vAlign w:val="bottom"/>
            <w:gridSpan w:val="5"/>
          </w:tcPr>
          <w:p>
            <w:pPr>
              <w:spacing w:after="0"/>
              <w:rPr>
                <w:sz w:val="21"/>
                <w:szCs w:val="2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Section 302</w:t>
              </w:r>
            </w:hyperlink>
          </w:p>
        </w:tc>
        <w:tc>
          <w:tcPr>
            <w:tcW w:w="3080" w:type="dxa"/>
            <w:vAlign w:val="bottom"/>
            <w:tcBorders>
              <w:top w:val="single" w:sz="8" w:color="0000FF"/>
              <w:bottom w:val="single" w:sz="8" w:color="0000FF"/>
            </w:tcBorders>
          </w:tcPr>
          <w:p>
            <w:pPr>
              <w:ind w:left="20"/>
              <w:spacing w:after="0"/>
              <w:rPr>
                <w:rFonts w:ascii="Arial" w:cs="Arial" w:eastAsia="Arial" w:hAnsi="Arial"/>
                <w:sz w:val="18"/>
                <w:szCs w:val="18"/>
                <w:color w:val="0000FF"/>
                <w:w w:val="94"/>
              </w:rPr>
            </w:pPr>
            <w:hyperlink w:anchor="page48">
              <w:r>
                <w:rPr>
                  <w:rFonts w:ascii="Arial" w:cs="Arial" w:eastAsia="Arial" w:hAnsi="Arial"/>
                  <w:sz w:val="18"/>
                  <w:szCs w:val="18"/>
                  <w:color w:val="0000FF"/>
                  <w:w w:val="94"/>
                </w:rPr>
                <w:t>— Certification of Chief Financial Officer</w:t>
              </w:r>
            </w:hyperlink>
          </w:p>
        </w:tc>
        <w:tc>
          <w:tcPr>
            <w:tcW w:w="40" w:type="dxa"/>
            <w:vAlign w:val="bottom"/>
            <w:tcBorders>
              <w:top w:val="single" w:sz="8" w:color="0000FF"/>
            </w:tcBorders>
          </w:tcPr>
          <w:p>
            <w:pPr>
              <w:spacing w:after="0"/>
              <w:rPr>
                <w:sz w:val="21"/>
                <w:szCs w:val="21"/>
                <w:color w:val="auto"/>
              </w:rPr>
            </w:pPr>
          </w:p>
        </w:tc>
        <w:tc>
          <w:tcPr>
            <w:tcW w:w="6240" w:type="dxa"/>
            <w:vAlign w:val="bottom"/>
            <w:gridSpan w:val="6"/>
          </w:tcPr>
          <w:p>
            <w:pPr>
              <w:spacing w:after="0"/>
              <w:rPr>
                <w:sz w:val="21"/>
                <w:szCs w:val="2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Section 906</w:t>
              </w:r>
            </w:hyperlink>
          </w:p>
        </w:tc>
        <w:tc>
          <w:tcPr>
            <w:tcW w:w="9360" w:type="dxa"/>
            <w:vAlign w:val="bottom"/>
            <w:gridSpan w:val="8"/>
          </w:tcPr>
          <w:p>
            <w:pPr>
              <w:ind w:left="20"/>
              <w:spacing w:after="0"/>
              <w:rPr>
                <w:rFonts w:ascii="Arial" w:cs="Arial" w:eastAsia="Arial" w:hAnsi="Arial"/>
                <w:sz w:val="18"/>
                <w:szCs w:val="18"/>
                <w:color w:val="0000FF"/>
              </w:rPr>
            </w:pPr>
            <w:hyperlink w:anchor="page49">
              <w:r>
                <w:rPr>
                  <w:rFonts w:ascii="Arial" w:cs="Arial" w:eastAsia="Arial" w:hAnsi="Arial"/>
                  <w:sz w:val="18"/>
                  <w:szCs w:val="18"/>
                  <w:color w:val="0000FF"/>
                </w:rPr>
                <w:t>— Certification of Chief Executive Officer</w:t>
              </w:r>
            </w:hyperlink>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50">
              <w:r>
                <w:rPr>
                  <w:rFonts w:ascii="Arial" w:cs="Arial" w:eastAsia="Arial" w:hAnsi="Arial"/>
                  <w:sz w:val="18"/>
                  <w:szCs w:val="18"/>
                  <w:color w:val="0000FF"/>
                  <w:w w:val="90"/>
                </w:rPr>
                <w:t>Section 906</w:t>
              </w:r>
            </w:hyperlink>
          </w:p>
        </w:tc>
        <w:tc>
          <w:tcPr>
            <w:tcW w:w="3080" w:type="dxa"/>
            <w:vAlign w:val="bottom"/>
            <w:tcBorders>
              <w:top w:val="single" w:sz="8" w:color="0000FF"/>
              <w:bottom w:val="single" w:sz="8" w:color="0000FF"/>
            </w:tcBorders>
          </w:tcPr>
          <w:p>
            <w:pPr>
              <w:ind w:left="20"/>
              <w:spacing w:after="0"/>
              <w:rPr>
                <w:rFonts w:ascii="Arial" w:cs="Arial" w:eastAsia="Arial" w:hAnsi="Arial"/>
                <w:sz w:val="18"/>
                <w:szCs w:val="18"/>
                <w:color w:val="0000FF"/>
                <w:w w:val="94"/>
              </w:rPr>
            </w:pPr>
            <w:hyperlink w:anchor="page50">
              <w:r>
                <w:rPr>
                  <w:rFonts w:ascii="Arial" w:cs="Arial" w:eastAsia="Arial" w:hAnsi="Arial"/>
                  <w:sz w:val="18"/>
                  <w:szCs w:val="18"/>
                  <w:color w:val="0000FF"/>
                  <w:w w:val="94"/>
                </w:rPr>
                <w:t>— Certification of Chief Financial Officer</w:t>
              </w:r>
            </w:hyperlink>
          </w:p>
        </w:tc>
        <w:tc>
          <w:tcPr>
            <w:tcW w:w="40" w:type="dxa"/>
            <w:vAlign w:val="bottom"/>
            <w:tcBorders>
              <w:top w:val="single" w:sz="8" w:color="0000FF"/>
            </w:tcBorders>
          </w:tcPr>
          <w:p>
            <w:pPr>
              <w:spacing w:after="0"/>
              <w:rPr>
                <w:sz w:val="21"/>
                <w:szCs w:val="21"/>
                <w:color w:val="auto"/>
              </w:rPr>
            </w:pPr>
          </w:p>
        </w:tc>
        <w:tc>
          <w:tcPr>
            <w:tcW w:w="6240" w:type="dxa"/>
            <w:vAlign w:val="bottom"/>
            <w:gridSpan w:val="6"/>
          </w:tcPr>
          <w:p>
            <w:pPr>
              <w:spacing w:after="0"/>
              <w:rPr>
                <w:sz w:val="21"/>
                <w:szCs w:val="21"/>
                <w:color w:val="auto"/>
              </w:rPr>
            </w:pPr>
          </w:p>
        </w:tc>
      </w:tr>
      <w:tr>
        <w:trPr>
          <w:trHeight w:val="27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9"/>
          </w:tcPr>
          <w:p>
            <w:pPr>
              <w:spacing w:after="0"/>
              <w:rPr>
                <w:sz w:val="20"/>
                <w:szCs w:val="20"/>
                <w:color w:val="auto"/>
              </w:rPr>
            </w:pPr>
            <w:r>
              <w:rPr>
                <w:rFonts w:ascii="Arial" w:cs="Arial" w:eastAsia="Arial" w:hAnsi="Arial"/>
                <w:sz w:val="18"/>
                <w:szCs w:val="18"/>
                <w:color w:val="auto"/>
                <w:w w:val="94"/>
              </w:rPr>
              <w:t>The following materials from Euronet Worldwide, Inc.’s Quarterly Report on Form 10-Q for the quarter ended June 30, 2019, formatted in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9"/>
          </w:tcPr>
          <w:p>
            <w:pPr>
              <w:spacing w:after="0"/>
              <w:rPr>
                <w:sz w:val="20"/>
                <w:szCs w:val="20"/>
                <w:color w:val="auto"/>
              </w:rPr>
            </w:pPr>
            <w:r>
              <w:rPr>
                <w:rFonts w:ascii="Arial" w:cs="Arial" w:eastAsia="Arial" w:hAnsi="Arial"/>
                <w:sz w:val="18"/>
                <w:szCs w:val="18"/>
                <w:color w:val="auto"/>
                <w:w w:val="92"/>
              </w:rPr>
              <w:t>XBRL (eXtensible Business Reporting Language): (i) Consolidated Balance Sheets at June 30, 2019 (unaudited) and December 31, 2018,</w:t>
            </w:r>
          </w:p>
        </w:tc>
      </w:tr>
    </w:tbl>
    <w:p>
      <w:pPr>
        <w:ind w:left="1180" w:right="300"/>
        <w:spacing w:after="0" w:line="253" w:lineRule="auto"/>
        <w:rPr>
          <w:sz w:val="20"/>
          <w:szCs w:val="20"/>
          <w:color w:val="auto"/>
        </w:rPr>
      </w:pPr>
      <w:r>
        <w:rPr>
          <w:rFonts w:ascii="Arial" w:cs="Arial" w:eastAsia="Arial" w:hAnsi="Arial"/>
          <w:sz w:val="18"/>
          <w:szCs w:val="18"/>
          <w:color w:val="auto"/>
        </w:rPr>
        <w:t>(ii) Consolidated Statements of Income (unaudited) for the three months and six months ended June 30, 2019 and 2018, (iii) Consolidated Statements of Comprehensive Income (Loss) (unaudited) for the three and six months ended June 30, 2019 and 2018, (iv) Consolidated Statements of Changes in Equity (unaudited) for the three and six months ended June 30, 2019 and 2018 (v) Consolidated Statements of Cash Flows (unaudited) for the six months ended June 30, 2019 and 2018, and (vi) Notes to the Unaudited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August 8,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6"/>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240" w:top="125" w:right="3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2019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8, 2019</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2019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8,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4" Type="http://schemas.openxmlformats.org/officeDocument/2006/relationships/hyperlink" Target="http://www.sec.gov/Archives/edgar/data/1029199/000119312519154044/d727874dex41.htm" TargetMode="External"/><Relationship Id="rId15" Type="http://schemas.openxmlformats.org/officeDocument/2006/relationships/hyperlink" Target="http://www.sec.gov/Archives/edgar/data/1029199/000119312519154044/d727874dex42.htm" TargetMode="External"/><Relationship Id="rId16" Type="http://schemas.openxmlformats.org/officeDocument/2006/relationships/hyperlink" Target="http://www.sec.gov/Archives/edgar/data/1029199/000119312519154044/d727874dex42.htm#notes"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2019-12-28T07:41:23Z</dcterms:created>
  <dcterms:modified xsi:type="dcterms:W3CDTF">2019-12-28T07:41:23Z</dcterms:modified>
</cp:coreProperties>
</file>