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001-31648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360"/>
          </w:cols>
          <w:pgMar w:left="240" w:top="927" w:right="299" w:bottom="113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060"/>
        <w:spacing w:after="0"/>
        <w:rPr>
          <w:sz w:val="20"/>
          <w:szCs w:val="20"/>
          <w:color w:val="auto"/>
        </w:rPr>
      </w:pPr>
      <w:r>
        <w:rPr>
          <w:rFonts w:ascii="Arial" w:cs="Arial" w:eastAsia="Arial" w:hAnsi="Arial"/>
          <w:sz w:val="16"/>
          <w:szCs w:val="16"/>
          <w:b w:val="1"/>
          <w:bCs w:val="1"/>
          <w:color w:val="auto"/>
        </w:rPr>
        <w:t>(State of other jurisdiction of 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74-2806888</w:t>
      </w:r>
    </w:p>
    <w:p>
      <w:pPr>
        <w:spacing w:after="0" w:line="27" w:lineRule="exact"/>
        <w:rPr>
          <w:sz w:val="20"/>
          <w:szCs w:val="20"/>
          <w:color w:val="auto"/>
        </w:rPr>
      </w:pPr>
    </w:p>
    <w:p>
      <w:pPr>
        <w:jc w:val="center"/>
        <w:ind w:right="13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2">
            <w:col w:w="6600" w:space="720"/>
            <w:col w:w="4040"/>
          </w:cols>
          <w:pgMar w:left="240" w:top="927" w:right="299" w:bottom="1133" w:gutter="0" w:footer="0" w:header="0"/>
          <w:type w:val="continuous"/>
        </w:sectPr>
      </w:pP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4601 COLLEGE BOULEVARD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SUITE 300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LEAWOOD, KANSAS 66211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(913) 327-4200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(Address and telephone number of the Registrant’s principal executive offices)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Common Stock, $0.02 par value</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Preferred Stock Purchase Rights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660"/>
        <w:spacing w:after="0" w:line="304" w:lineRule="exact"/>
        <w:rPr>
          <w:sz w:val="20"/>
          <w:szCs w:val="20"/>
          <w:color w:val="auto"/>
        </w:rPr>
      </w:pPr>
      <w:r>
        <w:rPr>
          <w:rFonts w:ascii="Arial" w:cs="Arial" w:eastAsia="Arial" w:hAnsi="Arial"/>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a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80"/>
        <w:spacing w:after="0" w:line="207" w:lineRule="exact"/>
        <w:tabs>
          <w:tab w:leader="none" w:pos="5100" w:val="left"/>
          <w:tab w:leader="none" w:pos="66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As of June 30, 2006, the aggregate market value of the voting and non-voting common equity held by non-affiliates of the registrant was approximately $1,252 million. The aggregate market value was determined based on the closing price of the Common Stock on June 30,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February 23, 2007, the registrant had 37,733,605 shares of common stock (the “Common Stock”) outstanding.</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Portions of the registrant’s Proxy Statement for its Annual Meeting of Shareholders in 2007, which will be filed with the Securities and Exchange Commission no later than 120 days after December 31, 2006,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40" w:type="dxa"/>
            <w:vAlign w:val="bottom"/>
            <w:gridSpan w:val="13"/>
          </w:tcPr>
          <w:p>
            <w:pPr>
              <w:ind w:left="48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r>
      <w:tr>
        <w:trPr>
          <w:trHeight w:val="392"/>
        </w:trPr>
        <w:tc>
          <w:tcPr>
            <w:tcW w:w="196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40" w:type="dxa"/>
            <w:vAlign w:val="bottom"/>
            <w:gridSpan w:val="5"/>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980" w:type="dxa"/>
            <w:vAlign w:val="bottom"/>
            <w:gridSpan w:val="5"/>
          </w:tcPr>
          <w:p>
            <w:pPr>
              <w:spacing w:after="0"/>
              <w:rPr>
                <w:sz w:val="24"/>
                <w:szCs w:val="24"/>
                <w:color w:val="auto"/>
              </w:rPr>
            </w:pPr>
          </w:p>
        </w:tc>
        <w:tc>
          <w:tcPr>
            <w:tcW w:w="854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60" w:type="dxa"/>
            <w:vAlign w:val="bottom"/>
            <w:gridSpan w:val="9"/>
          </w:tcPr>
          <w:p>
            <w:pPr>
              <w:spacing w:after="0" w:line="196" w:lineRule="exact"/>
              <w:rPr>
                <w:rFonts w:ascii="Arial" w:cs="Arial" w:eastAsia="Arial" w:hAnsi="Arial"/>
                <w:sz w:val="18"/>
                <w:szCs w:val="18"/>
                <w:color w:val="0000EE"/>
                <w:w w:val="98"/>
              </w:rPr>
            </w:pPr>
            <w:hyperlink w:anchor="page17">
              <w:r>
                <w:rPr>
                  <w:rFonts w:ascii="Arial" w:cs="Arial" w:eastAsia="Arial" w:hAnsi="Arial"/>
                  <w:sz w:val="18"/>
                  <w:szCs w:val="18"/>
                  <w:color w:val="0000EE"/>
                  <w:w w:val="98"/>
                </w:rPr>
                <w:t>ITEM 1A.</w:t>
              </w:r>
            </w:hyperlink>
          </w:p>
        </w:tc>
        <w:tc>
          <w:tcPr>
            <w:tcW w:w="860" w:type="dxa"/>
            <w:vAlign w:val="bottom"/>
          </w:tcPr>
          <w:p>
            <w:pPr>
              <w:spacing w:after="0"/>
              <w:rPr>
                <w:sz w:val="17"/>
                <w:szCs w:val="17"/>
                <w:color w:val="auto"/>
              </w:rPr>
            </w:pPr>
          </w:p>
        </w:tc>
        <w:tc>
          <w:tcPr>
            <w:tcW w:w="8540" w:type="dxa"/>
            <w:vAlign w:val="bottom"/>
            <w:gridSpan w:val="2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16</w:t>
            </w:r>
          </w:p>
        </w:tc>
      </w:tr>
      <w:tr>
        <w:trPr>
          <w:trHeight w:val="196"/>
        </w:trPr>
        <w:tc>
          <w:tcPr>
            <w:tcW w:w="340" w:type="dxa"/>
            <w:vAlign w:val="bottom"/>
          </w:tcPr>
          <w:p>
            <w:pPr>
              <w:spacing w:after="0"/>
              <w:rPr>
                <w:sz w:val="17"/>
                <w:szCs w:val="17"/>
                <w:color w:val="auto"/>
              </w:rPr>
            </w:pPr>
          </w:p>
        </w:tc>
        <w:tc>
          <w:tcPr>
            <w:tcW w:w="640" w:type="dxa"/>
            <w:vAlign w:val="bottom"/>
            <w:tcBorders>
              <w:top w:val="single" w:sz="8" w:color="0000EE"/>
            </w:tcBorders>
            <w:gridSpan w:val="5"/>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2.</w:t>
              </w:r>
            </w:hyperlink>
          </w:p>
        </w:tc>
        <w:tc>
          <w:tcPr>
            <w:tcW w:w="120" w:type="dxa"/>
            <w:vAlign w:val="bottom"/>
            <w:tcBorders>
              <w:top w:val="single" w:sz="8" w:color="0000EE"/>
            </w:tcBorders>
            <w:gridSpan w:val="4"/>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7300" w:type="dxa"/>
            <w:vAlign w:val="bottom"/>
            <w:gridSpan w:val="20"/>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27</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3.</w:t>
              </w:r>
            </w:hyperlink>
          </w:p>
        </w:tc>
        <w:tc>
          <w:tcPr>
            <w:tcW w:w="980" w:type="dxa"/>
            <w:vAlign w:val="bottom"/>
            <w:gridSpan w:val="5"/>
          </w:tcPr>
          <w:p>
            <w:pPr>
              <w:spacing w:after="0"/>
              <w:rPr>
                <w:sz w:val="17"/>
                <w:szCs w:val="17"/>
                <w:color w:val="auto"/>
              </w:rPr>
            </w:pPr>
          </w:p>
        </w:tc>
        <w:tc>
          <w:tcPr>
            <w:tcW w:w="8540" w:type="dxa"/>
            <w:vAlign w:val="bottom"/>
            <w:gridSpan w:val="2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28</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4.</w:t>
              </w:r>
            </w:hyperlink>
          </w:p>
        </w:tc>
        <w:tc>
          <w:tcPr>
            <w:tcW w:w="980" w:type="dxa"/>
            <w:vAlign w:val="bottom"/>
            <w:gridSpan w:val="5"/>
          </w:tcPr>
          <w:p>
            <w:pPr>
              <w:spacing w:after="0"/>
              <w:rPr>
                <w:sz w:val="17"/>
                <w:szCs w:val="17"/>
                <w:color w:val="auto"/>
              </w:rPr>
            </w:pPr>
          </w:p>
        </w:tc>
        <w:tc>
          <w:tcPr>
            <w:tcW w:w="52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SUBMISSION OF MATTERS TO A VOTE OF SECURITY HOLDERS</w:t>
              </w:r>
            </w:hyperlink>
          </w:p>
        </w:tc>
        <w:tc>
          <w:tcPr>
            <w:tcW w:w="3260" w:type="dxa"/>
            <w:vAlign w:val="bottom"/>
            <w:gridSpan w:val="8"/>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28</w:t>
            </w:r>
          </w:p>
        </w:tc>
      </w:tr>
      <w:tr>
        <w:trPr>
          <w:trHeight w:val="412"/>
        </w:trPr>
        <w:tc>
          <w:tcPr>
            <w:tcW w:w="1960" w:type="dxa"/>
            <w:vAlign w:val="bottom"/>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5.</w:t>
              </w:r>
            </w:hyperlink>
          </w:p>
        </w:tc>
        <w:tc>
          <w:tcPr>
            <w:tcW w:w="980" w:type="dxa"/>
            <w:vAlign w:val="bottom"/>
            <w:gridSpan w:val="5"/>
          </w:tcPr>
          <w:p>
            <w:pPr>
              <w:spacing w:after="0"/>
              <w:rPr>
                <w:sz w:val="24"/>
                <w:szCs w:val="24"/>
                <w:color w:val="auto"/>
              </w:rPr>
            </w:pPr>
          </w:p>
        </w:tc>
        <w:tc>
          <w:tcPr>
            <w:tcW w:w="760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MARKET FOR REGISTRANT’S COMMON EQUITY, RELATED STOCKHOLDER MATTERS AND</w:t>
              </w:r>
            </w:hyperlink>
          </w:p>
        </w:tc>
        <w:tc>
          <w:tcPr>
            <w:tcW w:w="94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ISSUER PURCHASE OF EQUITY SECURITIES</w:t>
              </w:r>
            </w:hyperlink>
          </w:p>
        </w:tc>
        <w:tc>
          <w:tcPr>
            <w:tcW w:w="4680" w:type="dxa"/>
            <w:vAlign w:val="bottom"/>
            <w:gridSpan w:val="12"/>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29</w:t>
            </w:r>
          </w:p>
        </w:tc>
      </w:tr>
      <w:tr>
        <w:trPr>
          <w:trHeight w:val="196"/>
        </w:trPr>
        <w:tc>
          <w:tcPr>
            <w:tcW w:w="34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ITEM 6.</w:t>
              </w:r>
            </w:hyperlink>
          </w:p>
        </w:tc>
        <w:tc>
          <w:tcPr>
            <w:tcW w:w="980" w:type="dxa"/>
            <w:vAlign w:val="bottom"/>
            <w:gridSpan w:val="5"/>
          </w:tcPr>
          <w:p>
            <w:pPr>
              <w:spacing w:after="0"/>
              <w:rPr>
                <w:sz w:val="17"/>
                <w:szCs w:val="17"/>
                <w:color w:val="auto"/>
              </w:rPr>
            </w:pPr>
          </w:p>
        </w:tc>
        <w:tc>
          <w:tcPr>
            <w:tcW w:w="242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SELECTED FINANCIAL DATA</w:t>
              </w:r>
            </w:hyperlink>
          </w:p>
        </w:tc>
        <w:tc>
          <w:tcPr>
            <w:tcW w:w="6120" w:type="dxa"/>
            <w:vAlign w:val="bottom"/>
            <w:gridSpan w:val="15"/>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32</w:t>
            </w:r>
          </w:p>
        </w:tc>
      </w:tr>
      <w:tr>
        <w:trPr>
          <w:trHeight w:val="196"/>
        </w:trPr>
        <w:tc>
          <w:tcPr>
            <w:tcW w:w="34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ITEM 7.</w:t>
              </w:r>
            </w:hyperlink>
          </w:p>
        </w:tc>
        <w:tc>
          <w:tcPr>
            <w:tcW w:w="980" w:type="dxa"/>
            <w:vAlign w:val="bottom"/>
            <w:gridSpan w:val="5"/>
          </w:tcPr>
          <w:p>
            <w:pPr>
              <w:spacing w:after="0"/>
              <w:rPr>
                <w:sz w:val="17"/>
                <w:szCs w:val="17"/>
                <w:color w:val="auto"/>
              </w:rPr>
            </w:pPr>
          </w:p>
        </w:tc>
        <w:tc>
          <w:tcPr>
            <w:tcW w:w="8540" w:type="dxa"/>
            <w:vAlign w:val="bottom"/>
            <w:gridSpan w:val="2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w:t>
              </w:r>
            </w:hyperlink>
          </w:p>
        </w:tc>
        <w:tc>
          <w:tcPr>
            <w:tcW w:w="9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OPERATIONS</w:t>
              </w:r>
            </w:hyperlink>
          </w:p>
        </w:tc>
        <w:tc>
          <w:tcPr>
            <w:tcW w:w="6460" w:type="dxa"/>
            <w:vAlign w:val="bottom"/>
            <w:tcBorders>
              <w:top w:val="single" w:sz="8" w:color="0000EE"/>
            </w:tcBorders>
            <w:gridSpan w:val="16"/>
          </w:tcPr>
          <w:p>
            <w:pPr>
              <w:spacing w:after="0"/>
              <w:rPr>
                <w:sz w:val="17"/>
                <w:szCs w:val="17"/>
                <w:color w:val="auto"/>
              </w:rPr>
            </w:pPr>
          </w:p>
        </w:tc>
        <w:tc>
          <w:tcPr>
            <w:tcW w:w="780" w:type="dxa"/>
            <w:vAlign w:val="bottom"/>
            <w:gridSpan w:val="3"/>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34</w:t>
            </w:r>
          </w:p>
        </w:tc>
      </w:tr>
      <w:tr>
        <w:trPr>
          <w:trHeight w:val="196"/>
        </w:trPr>
        <w:tc>
          <w:tcPr>
            <w:tcW w:w="340" w:type="dxa"/>
            <w:vAlign w:val="bottom"/>
          </w:tcPr>
          <w:p>
            <w:pPr>
              <w:spacing w:after="0"/>
              <w:rPr>
                <w:sz w:val="17"/>
                <w:szCs w:val="17"/>
                <w:color w:val="auto"/>
              </w:rPr>
            </w:pPr>
          </w:p>
        </w:tc>
        <w:tc>
          <w:tcPr>
            <w:tcW w:w="76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w:anchor="page65">
              <w:r>
                <w:rPr>
                  <w:rFonts w:ascii="Arial" w:cs="Arial" w:eastAsia="Arial" w:hAnsi="Arial"/>
                  <w:sz w:val="18"/>
                  <w:szCs w:val="18"/>
                  <w:color w:val="0000EE"/>
                  <w:w w:val="98"/>
                </w:rPr>
                <w:t>ITEM 7A.</w:t>
              </w:r>
            </w:hyperlink>
          </w:p>
        </w:tc>
        <w:tc>
          <w:tcPr>
            <w:tcW w:w="860" w:type="dxa"/>
            <w:vAlign w:val="bottom"/>
          </w:tcPr>
          <w:p>
            <w:pPr>
              <w:spacing w:after="0"/>
              <w:rPr>
                <w:sz w:val="17"/>
                <w:szCs w:val="17"/>
                <w:color w:val="auto"/>
              </w:rPr>
            </w:pPr>
          </w:p>
        </w:tc>
        <w:tc>
          <w:tcPr>
            <w:tcW w:w="614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w:anchor="page65">
              <w:r>
                <w:rPr>
                  <w:rFonts w:ascii="Arial" w:cs="Arial" w:eastAsia="Arial" w:hAnsi="Arial"/>
                  <w:sz w:val="18"/>
                  <w:szCs w:val="18"/>
                  <w:color w:val="0000EE"/>
                  <w:w w:val="98"/>
                </w:rPr>
                <w:t>QUANTITATIVE AND QUALITATIVE DISCLOSURES ABOUT MARKET RISK</w:t>
              </w:r>
            </w:hyperlink>
          </w:p>
        </w:tc>
        <w:tc>
          <w:tcPr>
            <w:tcW w:w="2400" w:type="dxa"/>
            <w:vAlign w:val="bottom"/>
            <w:gridSpan w:val="7"/>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63</w:t>
            </w:r>
          </w:p>
        </w:tc>
      </w:tr>
      <w:tr>
        <w:trPr>
          <w:trHeight w:val="196"/>
        </w:trPr>
        <w:tc>
          <w:tcPr>
            <w:tcW w:w="34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ITEM 8.</w:t>
              </w:r>
            </w:hyperlink>
          </w:p>
        </w:tc>
        <w:tc>
          <w:tcPr>
            <w:tcW w:w="980" w:type="dxa"/>
            <w:vAlign w:val="bottom"/>
            <w:gridSpan w:val="5"/>
          </w:tcPr>
          <w:p>
            <w:pPr>
              <w:spacing w:after="0"/>
              <w:rPr>
                <w:sz w:val="17"/>
                <w:szCs w:val="17"/>
                <w:color w:val="auto"/>
              </w:rPr>
            </w:pPr>
          </w:p>
        </w:tc>
        <w:tc>
          <w:tcPr>
            <w:tcW w:w="8540" w:type="dxa"/>
            <w:vAlign w:val="bottom"/>
            <w:gridSpan w:val="2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65</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101">
              <w:r>
                <w:rPr>
                  <w:rFonts w:ascii="Arial" w:cs="Arial" w:eastAsia="Arial" w:hAnsi="Arial"/>
                  <w:sz w:val="18"/>
                  <w:szCs w:val="18"/>
                  <w:color w:val="0000EE"/>
                  <w:w w:val="95"/>
                </w:rPr>
                <w:t>ITEM 9.</w:t>
              </w:r>
            </w:hyperlink>
          </w:p>
        </w:tc>
        <w:tc>
          <w:tcPr>
            <w:tcW w:w="980" w:type="dxa"/>
            <w:vAlign w:val="bottom"/>
            <w:gridSpan w:val="5"/>
          </w:tcPr>
          <w:p>
            <w:pPr>
              <w:spacing w:after="0"/>
              <w:rPr>
                <w:sz w:val="17"/>
                <w:szCs w:val="17"/>
                <w:color w:val="auto"/>
              </w:rPr>
            </w:pPr>
          </w:p>
        </w:tc>
        <w:tc>
          <w:tcPr>
            <w:tcW w:w="794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101">
              <w:r>
                <w:rPr>
                  <w:rFonts w:ascii="Arial" w:cs="Arial" w:eastAsia="Arial" w:hAnsi="Arial"/>
                  <w:sz w:val="18"/>
                  <w:szCs w:val="18"/>
                  <w:color w:val="0000EE"/>
                  <w:w w:val="97"/>
                </w:rPr>
                <w:t>CHANGES IN AND DISAGREEMENTS WITH ACCOUNTANTS ON ACCOUNTING AND FINANCIAL</w:t>
              </w:r>
            </w:hyperlink>
          </w:p>
        </w:tc>
        <w:tc>
          <w:tcPr>
            <w:tcW w:w="6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40" w:type="dxa"/>
            <w:vAlign w:val="bottom"/>
            <w:gridSpan w:val="23"/>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DISCLOSURE</w:t>
              </w:r>
            </w:hyperlink>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99</w:t>
            </w:r>
          </w:p>
        </w:tc>
      </w:tr>
      <w:tr>
        <w:trPr>
          <w:trHeight w:val="20"/>
        </w:trPr>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6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w:anchor="page101">
              <w:r>
                <w:rPr>
                  <w:rFonts w:ascii="Arial" w:cs="Arial" w:eastAsia="Arial" w:hAnsi="Arial"/>
                  <w:sz w:val="18"/>
                  <w:szCs w:val="18"/>
                  <w:color w:val="0000EE"/>
                  <w:w w:val="98"/>
                </w:rPr>
                <w:t>ITEM 9A.</w:t>
              </w:r>
            </w:hyperlink>
          </w:p>
        </w:tc>
        <w:tc>
          <w:tcPr>
            <w:tcW w:w="860" w:type="dxa"/>
            <w:vAlign w:val="bottom"/>
          </w:tcPr>
          <w:p>
            <w:pPr>
              <w:spacing w:after="0"/>
              <w:rPr>
                <w:sz w:val="17"/>
                <w:szCs w:val="17"/>
                <w:color w:val="auto"/>
              </w:rPr>
            </w:pPr>
          </w:p>
        </w:tc>
        <w:tc>
          <w:tcPr>
            <w:tcW w:w="26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CONTROLS AND PROCEDURES</w:t>
              </w:r>
            </w:hyperlink>
          </w:p>
        </w:tc>
        <w:tc>
          <w:tcPr>
            <w:tcW w:w="5940" w:type="dxa"/>
            <w:vAlign w:val="bottom"/>
            <w:gridSpan w:val="13"/>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99</w:t>
            </w:r>
          </w:p>
        </w:tc>
      </w:tr>
      <w:tr>
        <w:trPr>
          <w:trHeight w:val="196"/>
        </w:trPr>
        <w:tc>
          <w:tcPr>
            <w:tcW w:w="340" w:type="dxa"/>
            <w:vAlign w:val="bottom"/>
          </w:tcPr>
          <w:p>
            <w:pPr>
              <w:spacing w:after="0"/>
              <w:rPr>
                <w:sz w:val="17"/>
                <w:szCs w:val="17"/>
                <w:color w:val="auto"/>
              </w:rPr>
            </w:pPr>
          </w:p>
        </w:tc>
        <w:tc>
          <w:tcPr>
            <w:tcW w:w="7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03">
              <w:r>
                <w:rPr>
                  <w:rFonts w:ascii="Arial" w:cs="Arial" w:eastAsia="Arial" w:hAnsi="Arial"/>
                  <w:sz w:val="18"/>
                  <w:szCs w:val="18"/>
                  <w:color w:val="0000EE"/>
                  <w:w w:val="95"/>
                </w:rPr>
                <w:t>ITEM 9B.</w:t>
              </w:r>
            </w:hyperlink>
          </w:p>
        </w:tc>
        <w:tc>
          <w:tcPr>
            <w:tcW w:w="880" w:type="dxa"/>
            <w:vAlign w:val="bottom"/>
            <w:gridSpan w:val="2"/>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03">
              <w:r>
                <w:rPr>
                  <w:rFonts w:ascii="Arial" w:cs="Arial" w:eastAsia="Arial" w:hAnsi="Arial"/>
                  <w:sz w:val="18"/>
                  <w:szCs w:val="18"/>
                  <w:color w:val="0000EE"/>
                  <w:w w:val="95"/>
                </w:rPr>
                <w:t>OTHER INFORMATION</w:t>
              </w:r>
            </w:hyperlink>
          </w:p>
        </w:tc>
        <w:tc>
          <w:tcPr>
            <w:tcW w:w="6660" w:type="dxa"/>
            <w:vAlign w:val="bottom"/>
            <w:gridSpan w:val="17"/>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101</w:t>
            </w:r>
          </w:p>
        </w:tc>
      </w:tr>
      <w:tr>
        <w:trPr>
          <w:trHeight w:val="412"/>
        </w:trPr>
        <w:tc>
          <w:tcPr>
            <w:tcW w:w="1960" w:type="dxa"/>
            <w:vAlign w:val="bottom"/>
            <w:gridSpan w:val="1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PART III</w:t>
              </w:r>
            </w:hyperlink>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04">
              <w:r>
                <w:rPr>
                  <w:rFonts w:ascii="Arial" w:cs="Arial" w:eastAsia="Arial" w:hAnsi="Arial"/>
                  <w:sz w:val="18"/>
                  <w:szCs w:val="18"/>
                  <w:color w:val="0000EE"/>
                  <w:w w:val="95"/>
                </w:rPr>
                <w:t>ITEM 10.</w:t>
              </w:r>
            </w:hyperlink>
          </w:p>
        </w:tc>
        <w:tc>
          <w:tcPr>
            <w:tcW w:w="900" w:type="dxa"/>
            <w:vAlign w:val="bottom"/>
            <w:gridSpan w:val="3"/>
          </w:tcPr>
          <w:p>
            <w:pPr>
              <w:spacing w:after="0"/>
              <w:rPr>
                <w:sz w:val="24"/>
                <w:szCs w:val="24"/>
                <w:color w:val="auto"/>
              </w:rPr>
            </w:pPr>
          </w:p>
        </w:tc>
        <w:tc>
          <w:tcPr>
            <w:tcW w:w="618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104">
              <w:r>
                <w:rPr>
                  <w:rFonts w:ascii="Arial" w:cs="Arial" w:eastAsia="Arial" w:hAnsi="Arial"/>
                  <w:sz w:val="18"/>
                  <w:szCs w:val="18"/>
                  <w:color w:val="0000EE"/>
                  <w:w w:val="95"/>
                </w:rPr>
                <w:t>DIRECTORS AND EXECUTIVE OFFICERS AND CORPORATE GOVERNANCE</w:t>
              </w:r>
            </w:hyperlink>
          </w:p>
        </w:tc>
        <w:tc>
          <w:tcPr>
            <w:tcW w:w="2360" w:type="dxa"/>
            <w:vAlign w:val="bottom"/>
            <w:gridSpan w:val="6"/>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196"/>
        </w:trPr>
        <w:tc>
          <w:tcPr>
            <w:tcW w:w="34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ITEM 11.</w:t>
              </w:r>
            </w:hyperlink>
          </w:p>
        </w:tc>
        <w:tc>
          <w:tcPr>
            <w:tcW w:w="920" w:type="dxa"/>
            <w:vAlign w:val="bottom"/>
            <w:gridSpan w:val="4"/>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04">
              <w:r>
                <w:rPr>
                  <w:rFonts w:ascii="Arial" w:cs="Arial" w:eastAsia="Arial" w:hAnsi="Arial"/>
                  <w:sz w:val="18"/>
                  <w:szCs w:val="18"/>
                  <w:color w:val="0000EE"/>
                  <w:w w:val="95"/>
                </w:rPr>
                <w:t>EXECUTIVE COMPENSATION</w:t>
              </w:r>
            </w:hyperlink>
          </w:p>
        </w:tc>
        <w:tc>
          <w:tcPr>
            <w:tcW w:w="6100" w:type="dxa"/>
            <w:vAlign w:val="bottom"/>
            <w:gridSpan w:val="14"/>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102</w:t>
            </w:r>
          </w:p>
        </w:tc>
      </w:tr>
      <w:tr>
        <w:trPr>
          <w:trHeight w:val="196"/>
        </w:trPr>
        <w:tc>
          <w:tcPr>
            <w:tcW w:w="340" w:type="dxa"/>
            <w:vAlign w:val="bottom"/>
          </w:tcPr>
          <w:p>
            <w:pPr>
              <w:spacing w:after="0"/>
              <w:rPr>
                <w:sz w:val="17"/>
                <w:szCs w:val="17"/>
                <w:color w:val="auto"/>
              </w:rPr>
            </w:pPr>
          </w:p>
        </w:tc>
        <w:tc>
          <w:tcPr>
            <w:tcW w:w="720" w:type="dxa"/>
            <w:vAlign w:val="bottom"/>
            <w:gridSpan w:val="7"/>
          </w:tcPr>
          <w:p>
            <w:pPr>
              <w:spacing w:after="0" w:line="196" w:lineRule="exact"/>
              <w:rPr>
                <w:rFonts w:ascii="Arial" w:cs="Arial" w:eastAsia="Arial" w:hAnsi="Arial"/>
                <w:sz w:val="18"/>
                <w:szCs w:val="18"/>
                <w:color w:val="0000EE"/>
                <w:w w:val="95"/>
              </w:rPr>
            </w:pPr>
            <w:hyperlink w:anchor="page104">
              <w:r>
                <w:rPr>
                  <w:rFonts w:ascii="Arial" w:cs="Arial" w:eastAsia="Arial" w:hAnsi="Arial"/>
                  <w:sz w:val="18"/>
                  <w:szCs w:val="18"/>
                  <w:color w:val="0000EE"/>
                  <w:w w:val="95"/>
                </w:rPr>
                <w:t>ITEM 12.</w:t>
              </w:r>
            </w:hyperlink>
          </w:p>
        </w:tc>
        <w:tc>
          <w:tcPr>
            <w:tcW w:w="900" w:type="dxa"/>
            <w:vAlign w:val="bottom"/>
            <w:gridSpan w:val="3"/>
          </w:tcPr>
          <w:p>
            <w:pPr>
              <w:spacing w:after="0"/>
              <w:rPr>
                <w:sz w:val="17"/>
                <w:szCs w:val="17"/>
                <w:color w:val="auto"/>
              </w:rPr>
            </w:pPr>
          </w:p>
        </w:tc>
        <w:tc>
          <w:tcPr>
            <w:tcW w:w="8540" w:type="dxa"/>
            <w:vAlign w:val="bottom"/>
            <w:gridSpan w:val="2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SECURITY OWNERSHIP OF CERTAIN BENEFICIAL OWNERS AND MANAGEMENT AND RELATED</w:t>
              </w:r>
            </w:hyperlink>
          </w:p>
        </w:tc>
        <w:tc>
          <w:tcPr>
            <w:tcW w:w="9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STOCKHOLDER MATTERS</w:t>
              </w:r>
            </w:hyperlink>
          </w:p>
        </w:tc>
        <w:tc>
          <w:tcPr>
            <w:tcW w:w="5620" w:type="dxa"/>
            <w:vAlign w:val="bottom"/>
            <w:tcBorders>
              <w:top w:val="single" w:sz="8" w:color="0000EE"/>
            </w:tcBorders>
            <w:gridSpan w:val="15"/>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102</w:t>
            </w:r>
          </w:p>
        </w:tc>
      </w:tr>
      <w:tr>
        <w:trPr>
          <w:trHeight w:val="196"/>
        </w:trPr>
        <w:tc>
          <w:tcPr>
            <w:tcW w:w="340" w:type="dxa"/>
            <w:vAlign w:val="bottom"/>
          </w:tcPr>
          <w:p>
            <w:pPr>
              <w:spacing w:after="0"/>
              <w:rPr>
                <w:sz w:val="17"/>
                <w:szCs w:val="17"/>
                <w:color w:val="auto"/>
              </w:rPr>
            </w:pPr>
          </w:p>
        </w:tc>
        <w:tc>
          <w:tcPr>
            <w:tcW w:w="720" w:type="dxa"/>
            <w:vAlign w:val="bottom"/>
            <w:gridSpan w:val="7"/>
          </w:tcPr>
          <w:p>
            <w:pPr>
              <w:spacing w:after="0" w:line="196" w:lineRule="exact"/>
              <w:rPr>
                <w:rFonts w:ascii="Arial" w:cs="Arial" w:eastAsia="Arial" w:hAnsi="Arial"/>
                <w:sz w:val="18"/>
                <w:szCs w:val="18"/>
                <w:color w:val="0000EE"/>
                <w:w w:val="95"/>
              </w:rPr>
            </w:pPr>
            <w:hyperlink w:anchor="page104">
              <w:r>
                <w:rPr>
                  <w:rFonts w:ascii="Arial" w:cs="Arial" w:eastAsia="Arial" w:hAnsi="Arial"/>
                  <w:sz w:val="18"/>
                  <w:szCs w:val="18"/>
                  <w:color w:val="0000EE"/>
                  <w:w w:val="95"/>
                </w:rPr>
                <w:t>ITEM 13.</w:t>
              </w:r>
            </w:hyperlink>
          </w:p>
        </w:tc>
        <w:tc>
          <w:tcPr>
            <w:tcW w:w="900" w:type="dxa"/>
            <w:vAlign w:val="bottom"/>
            <w:gridSpan w:val="3"/>
          </w:tcPr>
          <w:p>
            <w:pPr>
              <w:spacing w:after="0"/>
              <w:rPr>
                <w:sz w:val="17"/>
                <w:szCs w:val="17"/>
                <w:color w:val="auto"/>
              </w:rPr>
            </w:pPr>
          </w:p>
        </w:tc>
        <w:tc>
          <w:tcPr>
            <w:tcW w:w="8540" w:type="dxa"/>
            <w:vAlign w:val="bottom"/>
            <w:gridSpan w:val="2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102</w:t>
            </w:r>
          </w:p>
        </w:tc>
      </w:tr>
      <w:tr>
        <w:trPr>
          <w:trHeight w:val="196"/>
        </w:trPr>
        <w:tc>
          <w:tcPr>
            <w:tcW w:w="340" w:type="dxa"/>
            <w:vAlign w:val="bottom"/>
          </w:tcPr>
          <w:p>
            <w:pPr>
              <w:spacing w:after="0"/>
              <w:rPr>
                <w:sz w:val="17"/>
                <w:szCs w:val="17"/>
                <w:color w:val="auto"/>
              </w:rPr>
            </w:pPr>
          </w:p>
        </w:tc>
        <w:tc>
          <w:tcPr>
            <w:tcW w:w="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104">
              <w:r>
                <w:rPr>
                  <w:rFonts w:ascii="Arial" w:cs="Arial" w:eastAsia="Arial" w:hAnsi="Arial"/>
                  <w:sz w:val="18"/>
                  <w:szCs w:val="18"/>
                  <w:color w:val="0000EE"/>
                  <w:w w:val="95"/>
                </w:rPr>
                <w:t>ITEM 14.</w:t>
              </w:r>
            </w:hyperlink>
          </w:p>
        </w:tc>
        <w:tc>
          <w:tcPr>
            <w:tcW w:w="900" w:type="dxa"/>
            <w:vAlign w:val="bottom"/>
            <w:gridSpan w:val="3"/>
          </w:tcPr>
          <w:p>
            <w:pPr>
              <w:spacing w:after="0"/>
              <w:rPr>
                <w:sz w:val="17"/>
                <w:szCs w:val="17"/>
                <w:color w:val="auto"/>
              </w:rPr>
            </w:pPr>
          </w:p>
        </w:tc>
        <w:tc>
          <w:tcPr>
            <w:tcW w:w="39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PRINCIPAL ACCOUNTANT FEES AND SERVICES</w:t>
              </w:r>
            </w:hyperlink>
          </w:p>
        </w:tc>
        <w:tc>
          <w:tcPr>
            <w:tcW w:w="3680" w:type="dxa"/>
            <w:vAlign w:val="bottom"/>
            <w:tcBorders>
              <w:top w:val="single" w:sz="8" w:color="0000EE"/>
            </w:tcBorders>
            <w:gridSpan w:val="7"/>
          </w:tcPr>
          <w:p>
            <w:pPr>
              <w:spacing w:after="0"/>
              <w:rPr>
                <w:sz w:val="17"/>
                <w:szCs w:val="17"/>
                <w:color w:val="auto"/>
              </w:rPr>
            </w:pPr>
          </w:p>
        </w:tc>
        <w:tc>
          <w:tcPr>
            <w:tcW w:w="900" w:type="dxa"/>
            <w:vAlign w:val="bottom"/>
            <w:gridSpan w:val="4"/>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102</w:t>
            </w: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04">
              <w:r>
                <w:rPr>
                  <w:rFonts w:ascii="Arial" w:cs="Arial" w:eastAsia="Arial" w:hAnsi="Arial"/>
                  <w:sz w:val="18"/>
                  <w:szCs w:val="18"/>
                  <w:color w:val="0000EE"/>
                  <w:w w:val="94"/>
                </w:rPr>
                <w:t>PART IV</w:t>
              </w:r>
            </w:hyperlink>
          </w:p>
        </w:tc>
        <w:tc>
          <w:tcPr>
            <w:tcW w:w="128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412"/>
        </w:trPr>
        <w:tc>
          <w:tcPr>
            <w:tcW w:w="340" w:type="dxa"/>
            <w:vAlign w:val="bottom"/>
          </w:tcPr>
          <w:p>
            <w:pPr>
              <w:spacing w:after="0"/>
              <w:rPr>
                <w:sz w:val="24"/>
                <w:szCs w:val="24"/>
                <w:color w:val="auto"/>
              </w:rPr>
            </w:pPr>
          </w:p>
        </w:tc>
        <w:tc>
          <w:tcPr>
            <w:tcW w:w="1620" w:type="dxa"/>
            <w:vAlign w:val="bottom"/>
            <w:gridSpan w:val="10"/>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15.</w:t>
              </w:r>
            </w:hyperlink>
          </w:p>
        </w:tc>
        <w:tc>
          <w:tcPr>
            <w:tcW w:w="8540" w:type="dxa"/>
            <w:vAlign w:val="bottom"/>
            <w:gridSpan w:val="24"/>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EXHIBITS AND FINANCIAL STATEMENT SCHEDULES</w:t>
              </w:r>
            </w:hyperlink>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426"/>
        </w:trPr>
        <w:tc>
          <w:tcPr>
            <w:tcW w:w="3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60" w:type="dxa"/>
            <w:vAlign w:val="bottom"/>
            <w:tcBorders>
              <w:top w:val="single" w:sz="8" w:color="0000EE"/>
            </w:tcBorders>
            <w:gridSpan w:val="12"/>
          </w:tcPr>
          <w:p>
            <w:pPr>
              <w:ind w:left="370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Euronet Worldwide, Inc. (“Euronet” or the “Company”) is a leading electronic payments provider, offering automated teller machine (“ATM”) and point-of-sale (“POS”) operation and management services; card outsourcing services; software solutions; money transfer and bill payment services; and electronic prepaid top-up services to financial institutions, mobile operators and retailers. We operate and service the largest independent pan-European ATM network and the largest national private shared ATM network in India. We are also one of the largest providers of prepaid processing, or top-up services, for prepaid mobile airtime. We have processing centers in the U.S., Europe and Asia and have 17 principal offices in Europe, four in the Asia-Pacific region; four in the U.S. and one in the Middle East. We serve clients in approximately 100 countries. Our executive offices are located in Leawood, Kansas, U.S.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we operated in three principal business segments:</w:t>
      </w:r>
    </w:p>
    <w:p>
      <w:pPr>
        <w:spacing w:after="0" w:line="117" w:lineRule="exact"/>
        <w:rPr>
          <w:sz w:val="20"/>
          <w:szCs w:val="20"/>
          <w:color w:val="auto"/>
        </w:rPr>
      </w:pPr>
    </w:p>
    <w:p>
      <w:pPr>
        <w:ind w:left="220" w:right="40" w:hanging="212"/>
        <w:spacing w:after="0" w:line="259"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EFT Processing Segment, in which we process transactions for a network of 8,885 ATMs and more than 44,000 POS terminals across Europe, the Middle East, Africa and Asia Pacific. We provide comprehensive electronic payment and transaction processing solutions consisting of ATM network participation; outsourced ATM, POS and card management solutions; and electronic recharge services for prepaid mobile airtime purchases via an ATM or directly from the handset.</w:t>
      </w:r>
    </w:p>
    <w:p>
      <w:pPr>
        <w:spacing w:after="0" w:line="78" w:lineRule="exact"/>
        <w:rPr>
          <w:rFonts w:ascii="Arial" w:cs="Arial" w:eastAsia="Arial" w:hAnsi="Arial"/>
          <w:sz w:val="18"/>
          <w:szCs w:val="18"/>
          <w:b w:val="1"/>
          <w:bCs w:val="1"/>
          <w:color w:val="auto"/>
        </w:rPr>
      </w:pPr>
    </w:p>
    <w:p>
      <w:pPr>
        <w:ind w:left="220" w:right="180" w:hanging="212"/>
        <w:spacing w:after="0" w:line="273" w:lineRule="auto"/>
        <w:tabs>
          <w:tab w:leader="none" w:pos="22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A Prepaid Processing Segment, through which we provide distribution of prepaid mobile airtime and other prepaid products and collections services. Including terminals owned by unconsolidated subsidiaries, we operate a network of more than 296,000 POS terminals providing electronic processing of prepaid mobile airtime top-up services across more than 161,000 retail locations in the U.S., Europe, Africa and Asia Pacific. This segment also includes our money transfer and bill payment business, Euronet Payments &amp; Remittance, Inc. (“Euronet Payments &amp; Remittance”). We provide electronic consumer money transfer services from the U.S. to destinations in Latin America, China, India and the Philippines and most recently from the U.K. to India. We also offer bill payment services to customers within the U.S., the U.K. and Poland.</w:t>
      </w:r>
    </w:p>
    <w:p>
      <w:pPr>
        <w:spacing w:after="0" w:line="70" w:lineRule="exact"/>
        <w:rPr>
          <w:rFonts w:ascii="Arial" w:cs="Arial" w:eastAsia="Arial" w:hAnsi="Arial"/>
          <w:sz w:val="17"/>
          <w:szCs w:val="17"/>
          <w:b w:val="1"/>
          <w:bCs w:val="1"/>
          <w:color w:val="auto"/>
        </w:rPr>
      </w:pPr>
    </w:p>
    <w:p>
      <w:pPr>
        <w:ind w:left="220" w:right="120" w:hanging="212"/>
        <w:spacing w:after="0" w:line="286" w:lineRule="auto"/>
        <w:tabs>
          <w:tab w:leader="none" w:pos="22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A Software Solutions Segment, through which we offer a suite of integrated electronic financial transaction software solutions for electronic payment and transaction delivery systems. We have added a leading global credit card issuing and merchant acquiring system to our existing portfolio of software solutions through Euronet Essentis Ltd., which was formed upon the 2006 acquisition of U.K.-based Essentis Limited.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first company in the Euronet group was established in 1994 as a Hungarian limited liability company. We began operations in 1995, setting up a processing center and installing our first ATMs in Budapest, Hungary. We commenced operations in Poland and Germany in 1995 and 1996, respectively. The Euronet group was reorganized on March 6, 1997 in connection with its initial public offering, and at that time the operating entities of the Euronet group became wholly owned subsidiaries of Euronet Services Inc., a Delaware corporation. We changed our name from Euronet Services Inc. to Euronet Worldwide, Inc. in August 2001.</w:t>
      </w:r>
    </w:p>
    <w:p>
      <w:pPr>
        <w:spacing w:after="0" w:line="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Until December 1998, we devoted substantially all of our resources to establishing and expanding our ATM network and outsourced ATM management services business in Central Europe (including Hungary, Poland, the Czech Republic and Croatia) and Germany. In December 1998, we acquired Arkansas Systems, Inc. (now known as “Euronet USA”), a U.S.-based company that produces electronic payment systems software for retail financial institutions internationally and that was a leading electronic payment software system for the IBM iSeries (formerly AS/400) platform. As a result of this acquisition, we were able to offer a broader and more complete line of services and solutions to the retail banking market, including software solutions related not only to ATMs, but also to POS devices, credit and debit card operations, the Internet, and telephone and mobile banking. We have invested in software research, development and delivery capabilities and have integrated our EFT Processing Segment and Software Solutions Segment. These two complementary segments present cross-selling opportunities within our combined customer base. We also use the electronic payment software system owned by Euronet USA in our operations center, creating opportunities to leverage the core infrastructure and software to provide innovative value-added electronic commerce products and services.</w:t>
      </w:r>
    </w:p>
    <w:p>
      <w:pPr>
        <w:spacing w:after="0" w:line="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Between 1999 and 2001, we expanded our presence to Egypt, Greece, France and, in particular, the U.K., where we established a sizeable independent ATM network. We opened offices in each of these countries, and began to deploy Euronet-branded ATMs in addition to selling ATM outsourcing and network participation products and services.</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Throughout 2001 and 2002, Euronet focused on the development of products to enhance transaction functionality via new and existing products, including mobile banking and event messaging. Another new product line, Electronic Recharge, was added, which enabled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ind w:right="140"/>
        <w:spacing w:after="0" w:line="264" w:lineRule="auto"/>
        <w:rPr>
          <w:sz w:val="20"/>
          <w:szCs w:val="20"/>
          <w:color w:val="auto"/>
        </w:rPr>
      </w:pPr>
      <w:r>
        <w:rPr>
          <w:rFonts w:ascii="Arial" w:cs="Arial" w:eastAsia="Arial" w:hAnsi="Arial"/>
          <w:sz w:val="18"/>
          <w:szCs w:val="18"/>
          <w:color w:val="auto"/>
        </w:rPr>
        <w:t>customers to purchase prepaid mobile airtime from ATMs, POS terminals and directly from the mobile handset. Unlike in the U.S., where mobile phones companies have historically promoted postpaid plans, mobile phone companies in other countries generally promote prepaid plans. Thus, we saw processing prepaid transactions as an expansion opportunity.</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2002, we entered into ATM outsourcing agreements and established an office in Slovakia. We also initiated operations in India, one of the largest emerging markets for ATM and card growth, by establishing the first and now the largest national private shared ATM network, called Cashnet. In the Indian market, we are focusing on ATM outsourcing services and electronic recharge products for replenishing prepaid mobile airtime via ATMs.</w:t>
      </w:r>
    </w:p>
    <w:p>
      <w:pPr>
        <w:spacing w:after="0" w:line="5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Euronet has progressively shifted its strategy from operating Euronet-owned ATMs to managing outsourced ATMs for financial institutions. In January 2003, we sold our ATM network in the U.K. and simultaneously signed a five-year ATM outsourcing agreement with the buyer. Additionally, in September 2003, we sold 272 ATMs in Hungary to an established Hungarian financial institution. In connection with the sale, we concurrently entered into a long-term outsourcing agreement and cash sponsorship arrangement with the financial institution. Due to the imposition of stringent new safety requirements for the operation of ATMs in France, which made it difficult to operate ATMs profitably, in May 2002 we sold our ATM operations in France.</w:t>
      </w:r>
    </w:p>
    <w:p>
      <w:pPr>
        <w:spacing w:after="0" w:line="5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Also in 2003, Euronet complemented its existing two business segments by acquiring a third business, e-pay Limited (“e-pay”), which had offices in the U.K. and Australia. e-pay focuses on processing transactions for prepaid services, primarily prepaid mobile airtime. We started reporting e-pay’s results in a new segment called the Prepaid Processing Segment. With this acquisition, we added offices in Basildon, U.K. and Sydney, Australia. Subsequent to this acquisition, e-pay expanded its operations into New Zealand, Ireland, Spain and Poland. Additionally, e-pay U.K. owns 40% of the shares of e-pay Malaysia Sdn Bhd (“e-pay Malaysia”), a company that offers electronic top-up in Malaysia and Indonesia. e-pay has agreements with mobile operators in those markets under which it supports the distribution of airtime to their subscribers through POS terminals.</w:t>
      </w:r>
    </w:p>
    <w:p>
      <w:pPr>
        <w:spacing w:after="0" w:line="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Throughout 2003 and 2004, we expanded the Prepaid Processing Segment with acquisitions in Germany, Spain and the U.S. In November 2003, we acquired the German company, Transact Elektronische Zahlungssysteme GmbH (“Transact”), the market leader in electronic processing of prepaid mobile airtime top-up services in Germany. With this acquisition, we added an office in Martinsried, Germany. In November 2004, we established a Spanish entity, of which we hold an 80% interest, which purchased all of the prepaid processing and distribution assets of Grupo Meflur Corporacion (“Meflur”), a Spanish telecommunications distribution company. With this acquisition we added an office in Monzon, Spain. In the U.S. prepaid business, we enhanced our wholly owned subsidiary, PaySpot, Inc. (“PaySpot”), with four acquisitions of U.S.-based prepaid companies. In September 2003, we purchased all of the assets and assumed certain liabilities of Austin International Marketing and Investments, Inc. (“AIM”); in January 2004, PaySpot acquired 100% of the shares of Prepaid Concepts, Inc. (“Precept”); in May 2004, PaySpot acquired 100% of the assets of Electronic Payment Solutions (“EPS”); and in July 2004, PaySpot also acquired 100% of the shares of Call Processing, Inc (“CPI”).</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2004, we expanded our EFT Processing Segment by increasing our Romanian office to support ATM outsourcing services and by establishing small administrative offices in Bulgaria and Russia to evaluate market opportunities in those countries. In July 2005, we further expanded our EFT Segment with the formation of a joint venture, Euronet Middle East, in Bahrain with Arab Financial Services Company B.S.C (c) (“AFS”), a regional leader in card outsourcing business, to offer ATM outsourcing services to financial institutions across the Middle East, North Africa, Gulf region and Pakistan. We own 49% of the shares of Euronet Middle East. In October 2005, we acquired Instreamline S.A., a Greek company that provides credit card and POS outsourcing services in addition to debit card and transaction gateway switching services in Greece and the Balkan region.</w:t>
      </w:r>
    </w:p>
    <w:p>
      <w:pPr>
        <w:spacing w:after="0" w:line="70"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continued to focus on expanding our Prepaid Processing Segment in 2005. In March 2005, we acquired 100% of the assets of Telerecarga S.A. (“Telerecarga”), a Spanish prepaid wireless top-up company. With this acquisition, we added an office in Madrid, Spain. We also increased our ownership stake in ATX Software Ltd. (“ATX”), a U.K.-based provider of electronic prepaid voucher solutions in Europe, Africa and other regions, from 10% to 51%. At the same time, we acquired 100% of the assets of Dynamic Telecom, Inc. (“Dynamic”), a prepaid service provider in the U.S. In May 2005, we launched our money transfer and bill payment services with the acquisition of TelecommUSA. With this acquisition, we formed Euronet Payments &amp; Remittance and added an office in Charlotte, North Carolina, U.S. We now provide electronic consumer money transfer services from the U.S. to destinations in Latin America, China, India and the Philippines, and most recently, from the U.K. to India. We also offer bill payment services within the U.S., the U.K. and Poland. In two separate transactions, one in April 2005 and one in December 2005, we purchased an additional 64% of Europlanet a.d. (“Europlanet”), a Serbian company, increasing our share ownership in Europlanet to 100%. Europlanet is a debit card processor that owns, operates and manages a network of ATMs and POS terminals. Our initial 36% interest was acquired during 2002. For more information on these acquisitions see Note 4 — Acquisitions to the Consolidated Financial Statements.</w:t>
      </w:r>
    </w:p>
    <w:p>
      <w:pPr>
        <w:spacing w:after="0" w:line="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2006, through Jiayintong (Beijing) Technology Development Co. Ltd., our 75% owned joint venture with Ray Holdings in China, we entered into an ATM outsourcing pilot agreement with Postal Savings and Remittance Bureau (“PSRB” or “China Postal”), a financial institution located and organized in China. Under the pilot agreement we deployed and are providing all of the day-to-day outsourcing services for a total of 87 ATMs in Beijing, Shanghai and the Guangdong province, the three largest commercial centers in China. Additionally, during the third quarter 2006, we signed an ATM outsourcing agreement with a leading multinational bank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100"/>
        <w:spacing w:after="0" w:line="277" w:lineRule="auto"/>
        <w:rPr>
          <w:sz w:val="20"/>
          <w:szCs w:val="20"/>
          <w:color w:val="auto"/>
        </w:rPr>
      </w:pPr>
      <w:r>
        <w:rPr>
          <w:rFonts w:ascii="Arial" w:cs="Arial" w:eastAsia="Arial" w:hAnsi="Arial"/>
          <w:sz w:val="18"/>
          <w:szCs w:val="18"/>
          <w:color w:val="auto"/>
        </w:rPr>
        <w:t>deploy 50 ATMs in China beginning in January 2007. We are the first, and currently the only, provider of end-to-end ATM outsourcing services in China and we have established a technical processing and operations center in Beijing to operate these ATMs.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Also, in January 2006, we acquired the assets of Essentis Limited (“Essentis”), a U.K. company that developed a leading card issuing and merchant acquiring software system. With this acquisition, we added an office in Watford, U.K. The Essentis payment card issuing and merchant acquiring system is specifically designed to meet the needs of international institutions. Currently, institutions such as Bank of China, UBS, Moneris and ABN Amro, among others, are using Essentis Software. In addition to traditional software licensing, professional services and maintenance, we believe that the Essentis software will enable us to enter into and grow the card issuing and merchant acquiring business as an outsourcer and allow us to cross-sell our other EFT outsourcing offerings to Essentis customers.</w:t>
      </w:r>
    </w:p>
    <w:p>
      <w:pPr>
        <w:spacing w:after="0" w:line="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Also in 2006, we expanded our prepaid operations into Austria using our German prepaid platform, Transact. We are leveraging one hundred percent of Transact’s business resources to oversee the Austrian market, which is our eleventh prepaid market.</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2006, we successfully launched our EFT operations in Bulgaria and began deploying Euronet-branded ATMs. In April 2006, we opened an office in Kiev, Ukraine. We subsequently signed an ATM outsourcing agreement, which represents the first end-to-end ATM outsourcing agreement of its kind in Ukraine. We continue to be excited about the opportunities available in Central and Eastern European markets and our progress is indicative of the expansion opportunities available in these new markets.</w:t>
      </w:r>
    </w:p>
    <w:p>
      <w:pPr>
        <w:spacing w:after="0" w:line="7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November 2006, we signed a stock purchase agreement to acquire Los Angeles-based RIA Envia, Inc. (“RIA”), the third-largest global money transfer company. Established in 1987, RIA originates transactions through a network of over 10,000 sending agents and 98 company-owned stores located throughout 13 countries in North America, the Caribbean, Europe and Asia and terminates transactions through a payer network of over 32,000 locations across 82 countries. We expect the acquisition to create significant opportunities for us in the growing money transfer industry, including the opportunity to provide RIA’s money transfer services to many of our prepaid top-up locations and to provide our prepaid services through RIA’s stores and agents worldwide. We also believe the geographic, economic and relationship synergies between RIA and our business are substantial and position us to provide remittance services across many markets around the world. Subject to regulatory approvals and other customary closing conditions, we anticipate the transaction to close during the first half of 2007.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Developments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Agreement to acquire La Nacional</w:t>
      </w:r>
      <w:r>
        <w:rPr>
          <w:rFonts w:ascii="Arial" w:cs="Arial" w:eastAsia="Arial" w:hAnsi="Arial"/>
          <w:sz w:val="18"/>
          <w:szCs w:val="18"/>
          <w:color w:val="auto"/>
        </w:rPr>
        <w:t xml:space="preserve"> — During January 2007, we signed a stock purchase agreement to acquire La Nacional, subject to regulatory approvals and other customary closing conditions. La Nacional is a money transfer company originating transactions through a network of sending agents and company-owned stores, located primarily in the Northeastern U.S., and terminating transactions through a worldwide payer network, primarily in the Dominican Republic. In addition to gaining a significant share of the U.S. to Dominican Republic money transfer corridor, the La Nacional acquisition will strengthen our retail presence in the Northeastern U.S. In connection with signing the agreement, we deposited funds in an escrow account created for the proposed acquisition. The escrowed funds can only be released by mutual agreement of the Company and La Nacional or through legal remedies available in the agreement.</w:t>
      </w:r>
    </w:p>
    <w:p>
      <w:pPr>
        <w:spacing w:after="0" w:line="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become aware that on February 6, 2007, two employees of La Nacional working in different La Nacional stores were arrested for allegedly violating federal money laundering laws and certain state statutes. We are currently gathering additional information to assess the impact of these arrests on La Nacional and on our potential acquisition of that company. The outcome of our analysis is currently uncertain. No assurance can be given that we will close the La Nacional acquisition. See “Management Discussion and Analysis — Liquidity and Capital Resources — Other trends and uncertainties.”</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in January 2007, pursuant to a purchase agreement signed in August, 2006, we completed the acquisition of Brodos Romania SRL (“Brodos Romania”), a subsidiary of Brodos AG, a privately held German company providing retail and electronic distribution services to the mobile telephone industry. Brodos Romania is a leading electronic prepaid mobile airtime processor in Romania. Founded in 2001, Brodos Romania specializes in processing electronic purchases of prepaid mobile phone airtime primarily on POS terminals in Romania. The company also offers electronic recharge or top-up services for mobile airtime through ATMs, PC and electronic cash register systems. Brodos Romania marks our entry into the Romanian prepaid market, which is our twelfth prepaid market.</w:t>
      </w:r>
    </w:p>
    <w:p>
      <w:pPr>
        <w:spacing w:after="0" w:line="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February 2007, we completed the acquisition of the stock of Omega Logic, Ltd. (“Omega Logic”). Omega Logic is a prepaid top-up company based, and primarily operating, in the U.K. This acquisition will enhance our Prepaid Processing Segment business in the U.K.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BUSINESS SEGMENT OVERVIEW</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15 — Business Segment Information to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EFT Processing Segment provides outsourcing and network services to financial institutions and mobile phone companies, primarily in the developing markets of central, eastern and southern Europe (Hungary, Poland, the Czech Republic, Croatia, Romania, Slovakia, Albania, Serbia, Greece, Bulgaria and Ukraine), the Middle East, Africa and Asia Pacific (India and China), as well as in developed countries of Western Europe (Germany and the U.K.). We provide these services either through our Euronet-owned ATMs or through contracts under which we operate ATMs on behalf of financial institutions. Although all of these markets present opportunities for expanding the sales of our services, we believe opportunities for growth in the ATM services business are greater in our developing markets.</w:t>
      </w:r>
    </w:p>
    <w:p>
      <w:pPr>
        <w:spacing w:after="0" w:line="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major source of revenue generated by our ATM network is recurring monthly management fees and transaction-based fees. We receive fixed monthly fees under many of our outsourced management contracts. This element of revenue has been increasing over the last few years. Revenue sources of the EFT Processing Segment also include POS and credit and debit card network management revenue and prepaid mobile phone recharge revenue from ATMs or mobile phone handsets and ATM advertising revenue. The number of ATMs we operated increased from 7,211 at December 31, 2005 to 8,885 at December 31, 2006.</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monitor the number of transactions made by cardholders on our ATM network. These include cash withdrawals, balance inquiries, deposits, mobile phone airtime recharge purchases and certain denied (unauthorized) transactions. We do not bill certain transactions on our network to financial institutions, and we have excluded these transactions for reporting purposes. The number of transactions processed over our entire ATM network has increased over the last five years as indicated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20"/>
                <w:szCs w:val="20"/>
                <w:color w:val="auto"/>
              </w:rPr>
            </w:pPr>
            <w:r>
              <w:rPr>
                <w:rFonts w:ascii="Arial" w:cs="Arial" w:eastAsia="Arial" w:hAnsi="Arial"/>
                <w:sz w:val="14"/>
                <w:szCs w:val="14"/>
                <w:color w:val="auto"/>
              </w:rPr>
              <w:t>(in millions)</w:t>
            </w:r>
          </w:p>
        </w:tc>
        <w:tc>
          <w:tcPr>
            <w:tcW w:w="14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2002</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2003</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2004</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2005</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2006</w:t>
            </w:r>
          </w:p>
        </w:tc>
      </w:tr>
      <w:tr>
        <w:trPr>
          <w:trHeight w:val="224"/>
        </w:trPr>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EFT processing transactions per year</w:t>
            </w:r>
          </w:p>
        </w:tc>
        <w:tc>
          <w:tcPr>
            <w:tcW w:w="480" w:type="dxa"/>
            <w:vAlign w:val="bottom"/>
          </w:tcPr>
          <w:p>
            <w:pPr>
              <w:spacing w:after="0"/>
              <w:rPr>
                <w:sz w:val="19"/>
                <w:szCs w:val="19"/>
                <w:color w:val="auto"/>
              </w:rPr>
            </w:pPr>
          </w:p>
        </w:tc>
        <w:tc>
          <w:tcPr>
            <w:tcW w:w="9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79.2</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114.7</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232.5</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361.5</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463.6</w:t>
            </w:r>
          </w:p>
        </w:tc>
      </w:tr>
    </w:tbl>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processing centers for the EFT Processing Segment are located in Budapest, Hungary; Mumbai, India; Athens, Greece; Belgrade, Serbia; and Beijing, China. They are staffed 24 hours a day, seven days a week and consist of production IBM iSeries computers, which run the Euronet GoldNet ATM software package. Our significant processing centers in Budapest and Mumbai both have an off-site real-time back up iSeries computer. This backup serves to replicate our existing data center and in the event of failure, would be used to bring up our system using data from our principal processing center. The processing centers’ data backup systems are designed to prevent the loss of transaction records due to power failure and permit the orderly shutdown of the switch in an emergency. Our software package is state-of-the-art and conforms to all relevant industry standards. The processing centers’ computers operate our ATMs and interface with financial institutions and international transaction authorization centers, including over 80 host-to-host connections with financial institutions and card organizations. Our EFT processing centers have been certified by a number of transaction exchange entities, such as Visa, LINK (UK’s national ATM interchange network) and Europay/MasterCard.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Euronet offers outsourced management services to financial institutions and other organizations using our processing centers’ electronic financial transaction processing software. Our outsourced management services include management of existing ATM networks, development of new ATM networks, management of POS networks, management of credit and debit card databases and other financial processing services. These services include 24-hour monitoring of each ATM’s status and cash condition, coordinating the cash delivery and management of cash levels in each ATM and providing automatic dispatches for necessary service calls. We also provide real-time transaction authorization, advanced monitoring, network gateway access, network switching, 24-hour customer service, maintenance, and cash settlement, forecasting and reporting. Since our infrastructure is sufficiently robust to support a significant increase in transactions, any new outsourced management services agreements should provide additional revenue with lower incremental cost.</w:t>
      </w:r>
    </w:p>
    <w:p>
      <w:pPr>
        <w:spacing w:after="0" w:line="5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outsourced management agreements generally provide for fixed monthly management fees and, in most cases, fees payable for each transaction. The transaction fees under these agreements are generally lower than card acceptance agreements, described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Euronet-branded ATM network in central Europe is managed by an operations center that uses the Software Solutions Segment’s Integrated Transaction Management (“ITM”) core software solution. The ATMs in our networks are able to process transactions for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ind w:right="20"/>
        <w:spacing w:after="0" w:line="264" w:lineRule="auto"/>
        <w:rPr>
          <w:sz w:val="20"/>
          <w:szCs w:val="20"/>
          <w:color w:val="auto"/>
        </w:rPr>
      </w:pPr>
      <w:r>
        <w:rPr>
          <w:rFonts w:ascii="Arial" w:cs="Arial" w:eastAsia="Arial" w:hAnsi="Arial"/>
          <w:sz w:val="18"/>
          <w:szCs w:val="18"/>
          <w:color w:val="auto"/>
        </w:rPr>
        <w:t>holders of credit and debit cards issued by or bearing the logos of financial institutions and international card organizations such as American Express, Diners Club International, Visa, MasterCard/Europay and China Union Pay organizations. This ability is accomplished through our agreements and relationships with these institutions, international credit and debit card issuers and international associations of card issuers.</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 typical ATM transaction, the transaction is routed from the ATM to our processing center, and then to the card issuer for authorization. Once authorization is received, the authorization message is routed back to the ATM and the transaction is completed. The card issuer is responsible for authorizing ATM transactions processed on our ATMs. This process normally takes less than 30 seconds.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a bank cardholder conducts a transaction on a Euronet-owned ATM,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We do not charge cardholders a transaction or access fee for using our ATMs.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from our customers for four types of ATM transactions:</w:t>
      </w:r>
    </w:p>
    <w:p>
      <w:pPr>
        <w:spacing w:after="0" w:line="117" w:lineRule="exact"/>
        <w:rPr>
          <w:sz w:val="20"/>
          <w:szCs w:val="20"/>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cash withdrawals,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balance inquiries,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transactions not completed because the relevant card issuer does not give authorization,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prepaid telecommunication recharges.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customer financial institution or organization may be used at all ATM machines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 Our agreements generally provide for a term of three to seven years and are automatically renewed unless either party provides notice of non-renewal prior to the termination date. In some cases, the agreements are terminable by either party upon six months notice. We are generally able to connect an institution to our network within 30 to 90 days of signing a card acceptance agreement. Generally, the financial institution provides the cash needed to complete transactions on the ATM, although we have contracted with a financial institution for cash supply in the Czech Republic. 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U.S. dollars or are adjusted for inflation. Transaction fees are billed to financial institutions and card organizations with payment terms typically no longer than one month.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network of owned or operated ATMs allows for the sale of financial and other products or services at a low incremental cost. We have developed value-added services in addition to basic cash withdrawal and balance inquiry transactions. These value added services include electronic bill payment, ATM advertising and the sale of prepaid mobile airtime recharge services from ATMs or mobile phone devices. We are committed to the ongoing development of innovative new products and services to offer our EFT processing customers and intend to implement additional services as markets develop.</w:t>
      </w:r>
    </w:p>
    <w:p>
      <w:pPr>
        <w:spacing w:after="0" w:line="4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Poland, Hungary, Croatia, Romania, Czech Republic, Slovakia, India and the U.K., we have established electronic connections to some or all of the major mobile phone operators. These connections permit us to transmit to them electronic requests to recharge mobile phone accounts. We operate networks of ATMs in these markets to offer customers of the mobile operators the ability to credit their prepaid mobile phone accounts. We began to distribute prepaid mobile telephone vouchers on our networks in Hungary and Poland in November 1999. In May and October 2000, we added this service to our Czech Republic and Croatian ATM networks, respectively. In Poland, Hungary and Croatia, we have contracts with all of the local mobile operators.</w:t>
      </w:r>
    </w:p>
    <w:p>
      <w:pPr>
        <w:spacing w:after="0" w:line="5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have expanded our outsourced management solutions beyond ATMs to include credit and debit card and POS terminal management and additional services, such as bill payment and prepaid mobile operator solutions. We support these services using our proprietary software products.</w:t>
      </w:r>
    </w:p>
    <w:p>
      <w:pPr>
        <w:spacing w:after="0" w:line="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Since 1996, we have sold advertising on our network. Clients can display their advertisements on our ATM video screens, on the ATM receipts and on coupons dispensed with cash from the ATMs.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financial institutions in both developing and developed markets are becoming more receptive to outsourcing the operation of their ATM, POS and card networks. The operation of these devices requires expensive hardware and software and specialized personnel. These resources are available to us and we offer them to financial institutions under outsourcing contracts. The expansion and enhancement of our outsourced management solutions in new and existing markets will remain an important business opportunity for Euronet. Increasing the number of non-owned ATMs that we operate under management agreements and continued development of our credit and debit card outsourcing business should provide continued growth while minimizing our capital investment.</w:t>
      </w:r>
    </w:p>
    <w:p>
      <w:pPr>
        <w:spacing w:after="0" w:line="8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continually strive to make our own ATM networks more efficient by eliminating the underperforming ATMs and installing ATMs in more desirable locations. Moreover, we will make selective additions to our own ATM network if we see market demand and profit opportunities.</w:t>
      </w:r>
    </w:p>
    <w:p>
      <w:pPr>
        <w:spacing w:after="0" w:line="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EFT Segment’s ATM and Mobile Recharge line of services was substantially strengthened through complementary services offered by our Prepaid Processing Segment, where we provide top-up services through POS terminals. We intend to expand our technology and business methods into other markets where we operate and expect to leverage our relationships with mobile operators and financial institutions to facilitate expansion.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significantly impacted by seasonality. We normally experience our highest revenue level during the fourth quarter of each year, followed in order by the second quarter, third quarter and first quarter. We have estimated that, absent unusual circumstances (such as the impact of new acquisitions or unusually high levels of growth due to market factors), the overall revenue realized from our three business segments is likely to be approximately 5% to 10% lower during the first quarter of each year than in the fourth quarter of the year. We have historically experienced a less than 5% difference between the second and third quarters of each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Significant Customers and Government Contracts</w:t>
      </w:r>
    </w:p>
    <w:p>
      <w:pPr>
        <w:spacing w:after="0" w:line="12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No individual customer makes up greater than 10% of consolidated total revenue, and we do not have any government contracts in the EFT Processing Segment. Our outsourcing contracts generally provide for a term of three to seven years and are automatically renewed unless either party provides written notice of non-renewal prior to the termination date. In some cases, the contracts are terminable by either party upon six months notice.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None of these competitors have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Certain independent (non bank-owned) companies provide electronic recharge on ATMs in individual markets in which we provide this service. We are not aware of any independent companies providing electronic recharge on ATMs across multiple markets in which we provide this service. In this area, we believe competition will come principally from banks providing such services on their own ATMs through relationships with mobile operators or from card transaction switching networks that add recharge transaction capabilities to their offerings (as is the case in the U.K. through the LINK network).</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currently offer prepaid mobile phone top-up services in the U.S., Europe, Africa and Asia Pacific, money transfer services to customers from the U.S. to destinations in Latin America, China, India and the Philippines, and bill payment services to customers within the U.S., U.K. and Poland. We are one of the largest providers of prepaid processing, or “top-up” services, for prepaid mobile airtime. We provide electronic top-up services for prepaid mobile airtime primarily in the U.K., Germany, Austria, Spain, Poland, Ireland, Australia, New Zealand, Malaysia, Indonesia and the U.S. on a network of more than 296,000 POS terminals across more than 161,000 retailer locations.</w:t>
      </w:r>
    </w:p>
    <w:p>
      <w:pPr>
        <w:spacing w:after="0" w:line="8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began reporting the results of this segment in the first quarter 2003 after we acquired e-pay. As discussed above, we have continually expanded this business and plan to further expand our top-up business in our existing markets and other markets by taking advantage of our existing expertise together with relationships with mobile operators and retailers. For more details on our Prepaid acquisitions, see “General Overview—Historical Perspective.”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 w:name="page10"/>
    <w:bookmarkEnd w:id="9"/>
    <w:p>
      <w:pPr>
        <w:ind w:right="40"/>
        <w:spacing w:after="0" w:line="302" w:lineRule="auto"/>
        <w:rPr>
          <w:sz w:val="20"/>
          <w:szCs w:val="20"/>
          <w:color w:val="auto"/>
        </w:rPr>
      </w:pPr>
      <w:r>
        <w:rPr>
          <w:rFonts w:ascii="Arial" w:cs="Arial" w:eastAsia="Arial" w:hAnsi="Arial"/>
          <w:sz w:val="16"/>
          <w:szCs w:val="16"/>
          <w:color w:val="auto"/>
        </w:rPr>
        <w:t>In May 2005, we launched our money transfer and bill payment services, Euronet Payments &amp; Remittance, with the acquisition of TelecommUSA, a licensed money transfer and bill payment company in the U.S. Our patented card-based money transfer and bill payment system allows transactions to be initiated primarily through POS terminals and Integrated Cash Register Systems (“ICR”). Transactions can also be initiated through PC, fax or telephone. We plan to expand our money transfer and bill payment services by offering the product on many of our existing POS terminals in the U.S. and internationally.</w:t>
      </w:r>
    </w:p>
    <w:p>
      <w:pPr>
        <w:spacing w:after="0" w:line="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processing centers for the Prepaid Processing Segment are located in Basildon, U.K.; Martinsried, Germany; Madrid, Spain; and Leawood, Kansas, U.S. The Basildon and Martinsried processing centers have off-site real time backup processing centers that are capable of providing high availability in the event of failure of the primary processing centers. Our processing centers in the U.S. and Madrid have on-site backup system designed to prevent the loss of transaction records due to power failure.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major source of revenue generated by our Prepaid Processing Segment is commissions or processing fees received from mobile operators and other telecommunications service providers or from distributors of prepaid wireless products for the distribution and/or processing of prepaid mobile airtime and other telecommunication products. The Prepaid Processing Segment also includes transaction fee revenue earned in the money transfer and bill payment business, as well as the difference between purchasing currency at wholesale exchange rates and selling the currency to consumers at retail exchange rates. We have origination and distribution agents in place for our money transfer services, which each earn a fee for the cash collection and distribution services. These fees are recognized as direct operating costs at the time of sale.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pay for their usage in two ways:</w:t>
      </w:r>
    </w:p>
    <w:p>
      <w:pPr>
        <w:spacing w:after="0" w:line="117"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through “postpaid” accounts, where usage is billed at the end of each billing period,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through “prepaid” accounts, where customers pay in advance by crediting their accounts prior to usage.</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Although mobile operators in the U.S. and certain European countries have provided service principally through postpaid accounts, the trend in most European and other countries offering wireless services has shifted toward prepaid accounts. This shift is driven, according to Ofcom, formerly Oftel (the U.K. telecommunications regulator) surveys, by customers’ belief that prepaid products better meet their needs and enable them to better control their monthly wireless expenditures.</w:t>
      </w:r>
    </w:p>
    <w:p>
      <w:pPr>
        <w:spacing w:after="0" w:line="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Currently, two principal methods are available to credit prepaid accounts (referred to as “top-up” of accounts). The first is through the purchase of “scratch cards” bearing a PIN (personal identification number) that, when entered into a customer’s mobile phone account, credits the account by the value of airtime purchased. Scratch cards are sold predominantly through retail outlets. The second is through various electronic means of crediting accounts using POS terminals. Electronic top-up (or “e-top-up”) methods have several advantages over scratch cards, primarily because electronic methods do not require the cost of creation, distribution and management of a physical inventory of cards or involve the risk of losses stemming from fraud, theft and mismanagement.</w:t>
      </w:r>
    </w:p>
    <w:p>
      <w:pPr>
        <w:spacing w:after="0" w:line="5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Prior to 2004, scratch cards were the predominant method of crediting mobile phone accounts in most developed markets. However, a shift has occurred in these markets away from usage of scratch cards to more efficient e-top-up methods. In the U.K., for example, we estimate that in early 2000 approximately 10% of all top-ups were performed through e-top-ups and 90% through scratch cards. By December 2006, we estimate that as much as 97% of all U.K. top-ups in the retail channel were performed through e-top-ups and only 3% through scratch cards. This estimation excludes other methods of top-up through channels such as ATMs and/or directly with a mobile network operator.</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Prepaid Processing Segment processes the sale of prepaid mobile phone minutes to consumers through networks of POS terminals and direct connections to the electronic payment systems of retailers. In some markets, we enter into agreements with mobile phone operators and connect directly to their back-office systems. In other markets, we distribute mobile phone time by connecting directly to the mobile operators or by purchasing PINs that enable airtime top-up. We then distribute the mobile phone time electronically through POS terminals, either via a direct credit from the mobile operator to the mobile phone, or via the sales of PINs. The business has grown rapidly over the past few years as new retailers have been added and prepaid airtime distribution has switched from scratch cards to electronic means.</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our prepaid markets, we expand our distribution networks through the signing of new contracts with retailers, and in some markets, through acquisition of existing networks. We also seek to improve the results of our existing networks through the addition of new mobile operators in markets where we do not already distribute all of the available prepaid time and the addition of other prepaid products not necessarily related to the mobile operators. In addition, in the U.S. we are expanding our sales presence in all sales segments. We are continuing to focus on our growing network of distributors, generally referred to as Independent Sales Organizations (“ISOs”) that are paid a commission for delivering us contracts with retailers in their network to distribute PINs from their terminals. In addition, we are increasing our focus on direct relationships with independent convenience store retailers and chains, where we can negotiate agreements with the merchant on a multiyear basis.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18"/>
          <w:szCs w:val="18"/>
          <w:color w:val="auto"/>
        </w:rPr>
        <w:t>To distribute PINs, we establish an electronic connection with the POS terminals and maintain systems that monitor transaction levels at each terminal. As sales to customers of mobile airtime are completed, the customer pays the retailer and the retailer becomes obligated to make settlement to us of the principal amount of the phone time sold. We maintain systems that enable us to monitor the payment practices of each retailer. In the U.K. and Australia, these amounts are deposited in accounts that are held in trust for the mobile operators. In other countries, trust arrangements are not required and retailer accounts are directly debited on a contractually defined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process prepaid mobile airtime top-up transactions on our POS network across the U.S., Europe, Africa and Asia Pacific for two types of clients: distributors and retailers. Both types of client transactions start with a consumer in a retail store. The retailer uses a specially programmed POS terminal in the store or the retailer’s electronic cash register (“ECR”) system that is connected to our network to buy prepaid airtime. The customer will select a predefined amount of prepaid airtime from the carrier of his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operator or drawing from our inventory of PINs, the purchased amount of airtime will be either credited to the consumer’s account or delivered via a PIN printed by the terminal and given to the consumer. In the case of PINs printed by the terminal, the consumer must then call a mobile operator’s toll free number to activate the purchased airtime to this consumer’s mobile account.</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One difference in our relationships with various retailers and distributors is how we charge for our services. For distributors and certain very large retailers we charge a processing fee. However, the majority of our transactions occur with smaller retailer clients. With these clients, we receive a commission on each transaction that is withheld from the payments made to the mobile operator, and we share that commission with the retailers.</w:t>
      </w:r>
    </w:p>
    <w:p>
      <w:pPr>
        <w:spacing w:after="0" w:line="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monitor the number of transactions made on our prepaid networks. The number of transactions processed on our entire POS network has increased over the last four years as indicated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20"/>
                <w:szCs w:val="20"/>
                <w:color w:val="auto"/>
              </w:rPr>
            </w:pPr>
            <w:r>
              <w:rPr>
                <w:rFonts w:ascii="Arial" w:cs="Arial" w:eastAsia="Arial" w:hAnsi="Arial"/>
                <w:sz w:val="14"/>
                <w:szCs w:val="14"/>
                <w:color w:val="auto"/>
              </w:rPr>
              <w:t>(in millions)</w:t>
            </w:r>
          </w:p>
        </w:tc>
        <w:tc>
          <w:tcPr>
            <w:tcW w:w="15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2003</w:t>
            </w:r>
          </w:p>
        </w:tc>
        <w:tc>
          <w:tcPr>
            <w:tcW w:w="15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2004</w:t>
            </w:r>
          </w:p>
        </w:tc>
        <w:tc>
          <w:tcPr>
            <w:tcW w:w="15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2005</w:t>
            </w:r>
          </w:p>
        </w:tc>
        <w:tc>
          <w:tcPr>
            <w:tcW w:w="15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2006</w:t>
            </w:r>
          </w:p>
        </w:tc>
      </w:tr>
      <w:tr>
        <w:trPr>
          <w:trHeight w:val="224"/>
        </w:trPr>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Prepaid processing transactions per year</w:t>
            </w:r>
          </w:p>
        </w:tc>
        <w:tc>
          <w:tcPr>
            <w:tcW w:w="500" w:type="dxa"/>
            <w:vAlign w:val="bottom"/>
          </w:tcPr>
          <w:p>
            <w:pPr>
              <w:spacing w:after="0"/>
              <w:rPr>
                <w:sz w:val="19"/>
                <w:szCs w:val="19"/>
                <w:color w:val="auto"/>
              </w:rPr>
            </w:pPr>
          </w:p>
        </w:tc>
        <w:tc>
          <w:tcPr>
            <w:tcW w:w="1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102.1</w:t>
            </w:r>
          </w:p>
        </w:tc>
        <w:tc>
          <w:tcPr>
            <w:tcW w:w="520" w:type="dxa"/>
            <w:vAlign w:val="bottom"/>
          </w:tcPr>
          <w:p>
            <w:pPr>
              <w:spacing w:after="0"/>
              <w:rPr>
                <w:sz w:val="19"/>
                <w:szCs w:val="19"/>
                <w:color w:val="auto"/>
              </w:rPr>
            </w:pPr>
          </w:p>
        </w:tc>
        <w:tc>
          <w:tcPr>
            <w:tcW w:w="1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228.6</w:t>
            </w:r>
          </w:p>
        </w:tc>
        <w:tc>
          <w:tcPr>
            <w:tcW w:w="520" w:type="dxa"/>
            <w:vAlign w:val="bottom"/>
          </w:tcPr>
          <w:p>
            <w:pPr>
              <w:spacing w:after="0"/>
              <w:rPr>
                <w:sz w:val="19"/>
                <w:szCs w:val="19"/>
                <w:color w:val="auto"/>
              </w:rPr>
            </w:pP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348.1</w:t>
            </w:r>
          </w:p>
        </w:tc>
        <w:tc>
          <w:tcPr>
            <w:tcW w:w="520" w:type="dxa"/>
            <w:vAlign w:val="bottom"/>
          </w:tcPr>
          <w:p>
            <w:pPr>
              <w:spacing w:after="0"/>
              <w:rPr>
                <w:sz w:val="19"/>
                <w:szCs w:val="19"/>
                <w:color w:val="auto"/>
              </w:rPr>
            </w:pP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458.1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provide our prepaid services through POS terminals installed in retail outlets or, in the case of major retailers, through direct connections between their ECR systems and our processing centers. In markets where we operate e-pay technology (the U.K., Australia, Poland, Ireland, New Zealand, Spain and the U.S.), we generally own and maintain the POS terminals. In Germany, Austria and Romania, the terminals are sold to the retailers or to distributors who service the retailer. In all cases, we have contracts with the retailers.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5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Germany, distributors have historically controlled the sale of mobile phone scratch cards, and they now are key intermediaries in the sale of e-top-up. Our business in Germany is substantially concentrated in and dependent upon relationships with our major distributors. The termination of any of our agreements with major distributors could materially and adversely affect our business in Germany. However, we have been establishing agreements with independent retailers in order to diversify our exposure to such distributors.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Money Transfer and Bill Payment Transaction Processing</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patented card-based money transfer and bill payment system allows transactions to be initiated primarily through POS terminals and ECRs at retail locations. We currently provide money transfer services from the U.S. to destinations in Latin America, China, India and the Philippines, and most recently, from the U.K. to India, and bill payment services within the U.S., where we process POS and ECR transactions through retail stores. Both types of transaction services start with a consumer in a retail store. The retailer uses the consumer’s card or accepts cash to process a money transfer or bill payment transaction. The retailer swipes the card on a specially programmed POS terminal in the shop or the retailer’s ECR system that is connected to our network, enters the beneficiary number available on the back of the card, dollar amount of the transaction and finally the retailer’s PIN number. The POS device or ECR system then transmits the selected transaction to our processing center and we approve the transaction using the electronic connection we maintain with the retailer, which enables the retailer to generate two receipts. The retailer returns the consumer’s card and the first receipt and keeps the second one for his records to show the transaction was completed. It takes approximately 30 seconds to originate a money transfer or bill payment transaction with our patented card-based system.</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We also offer bill payment services to our Prepaid merchant base in Poland and the U.K., where we process POS transactions through retail stores.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POS network can be used for the distribution of other products and services. Although prepaid mobile airtime, money transfer and bill payment are the primary products distributed through our Prepaid Processing Segment, additional products include prepaid long distance calling card plans, prepaid Internet plans, prepaid debit cards, prepaid gift cards and prepaid mobile content such as ring tones and games. In certain locations, the terminals used for prepaid services can also be used for electronic funds transfer (“EFT”) to process credit and debit card payments for retail merchandise.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 Strategy</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plan to expand our prepaid processing business in our existing markets and new markets by taking advantage of our existing relationships with mobile phone operators and retailers. Although all of these markets present opportunities for expanding the sales of our services, we believe opportunities for transaction growth in the Prepaid Processing Segment are greater in Poland, Germany and the U.S., where there is significant organic growth in the prepaid markets or a shift is occurring from scratch cards to electronic top-up.</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Growth in our money transfer and bill payment services business will be driven by the continuation of global worker migration patterns; our ability to manage rapid growth; our ability to maximize the opportunity to sell our card-based product over our existing POS terminals in the U.S. and internationally; and our ability to obtain licenses to operate in many of the states within the U.S. as well as other countries. Currently, we are primarily focused on the U.S. to Latin America market and mostly recently, we expanded our money transfer services to China, India and the Philippines from the U.S and to India from the U.K. We also have plans to expand our money transfer services to other markets internationally. Within the U.S., we are focusing on increasing our sending locations in existing licensed states by leveraging our access to over 20,000 terminals, and obtaining licenses to operate in certain key states. Expansion of our money transfer business internationally will require resolution of numerous licensing and regulatory issues in each of the sending markets we intend to develop.</w:t>
      </w:r>
    </w:p>
    <w:p>
      <w:pPr>
        <w:spacing w:after="0" w:line="8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Additionally, we expect the potential completion of the acquisition of RIA to enable us to significantly expand our money transfer sending and receiving locations worldwide. RIA has established high-potential money transfer corridors from the U.S. and internationally beyond the traditional U.S. to Mexico corridor. We see this as a strong advantage to growing our market share in other key regions.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business is significantly impacted by seasonality. We normally experience our highest revenue level during the fourth quarter of each year, followed in order by the second quarter, third quarter and first quarter. We have estimated that, absent unusual circumstances (such as the impact of new acquisitions or unusually high levels of growth due to market factors), the overall revenue realized from our three business segments is likely to be approximately 5% to 10% lower during the first quarter of each year than in the fourth quarter of the year. We have historically experienced a less than 5% difference between the second and third quarters of each year. The impact of seasonality has been masked for the last two years due to significant growth rates resulting from continued shifts from scratch cards to electronic top-up and acquisitions. There can be no assurance that this will be the case for future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 individual customer makes up greater than 10% of consolidated total revenue and we do not have any government contracts in any country within the Prepaid Processing Segment.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face competition in the prepaid business in all of our markets. We compete with a few multinational companies that operate in several of our markets. In other markets, our competition is from smaller, local companies. None of these companies is dominant in any of the markets where we do business.</w:t>
      </w:r>
    </w:p>
    <w:p>
      <w:pPr>
        <w:spacing w:after="0" w:line="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however, that we currently have a competitive advantage due to various factors. First, in the U.K., Germany and Australia, our acquired subsidiaries have been concentrating on the sale of electronic prepaid mobile airtime for longer than most of our competitors and have significant market presence in those markets. In addition, we offer complementary ATM and mobile recharge solutions through our EFT processing centers. We believe this improves our ability to solicit the use of networks of devices owned by third parties (for example, banks and switching networks) to deliver recharge services. In selected developing markets, we expect to establish a first to market advantage by rolling out terminals rapidly before competition is established. We also have an extremely flexible technical platform that enables us to tailor POS solutions to individual merchant and mobile operator requirements where appropriate. The GPRS (wireless) technology, designed by our Transact subsidiary, will also give us an advantage in remote areas where landline phone lines are of lesser quality or nonexistent.</w:t>
      </w:r>
    </w:p>
    <w:p>
      <w:pPr>
        <w:spacing w:after="0" w:line="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principal competitive factors in this area include price (that is, the level of commission paid to retailers for each recharge transaction), breadth of mobile operator product and up-time offered on the system. Major retailers with high volumes are in a position to demand a larger share of the commission, which increases the amount of competition among service providers. Recently, we are seeing signs that mobile operators may wish to take over and expand their own distribution networks of prepaid time, and in doing so, they may become our competitors.</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primary competitors in the money transfer and bill payment business include other independent processors and electronic money transmitters, as well as certain major national and regional financial institutions and independent sales organizations.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Through our Software Solutions Segment, we offer an integrated suite of card and retail transaction delivery applications for the IBM iSeries platform and a mainframe suite of applications serving card issuing and merchant acquiring needs. These applications are generally referred to as Euronet Software.</w:t>
      </w:r>
    </w:p>
    <w:p>
      <w:pPr>
        <w:spacing w:after="0" w:line="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“Integrated Transaction Management” (“ITM”), our core system i-Series solution, provides for transaction identification, transaction routing, security, transaction detail logging, network connections, authorization interfaces and settlement. Front-end systems in this product support ATM and POS management, telephone banking, internet banking, mobile banking and event messaging. These systems provide a comprehensive solution for ATM, debit or credit card management and bill payment facilities. We also offer increased functionality to authorize, switch and settle transactions for multiple financial institutions through our GoldNet module. We use GoldNet for our own EFT requirements to process transactions across multiple countries in Europe and the Asia-Pacific.</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January 2006, we added a world-class back-office credit and debit card issuing and merchant acquiring system to our existing portfolio of software solutions through the acquisition of Essentis. The Euronet Essentis solution is designed specifically to meet the specialized needs of large or complex multinational card issuers and acquirers. A modern layered architecture with full XML connectivity, this solution also allows the integration with multiple delivery channels, such as the Internet, mobile devices and voice recognition systems. The Euronet Essentis solution is compliant with international payment scheme regulations, supports EMV (Europay/MasterCard and Visa), offers clearing and settlement interfaces and has the capability to maintain regional compliance.</w:t>
      </w:r>
    </w:p>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our Software Solutions Segment is headquartered in the U.S., the majority of our software customer base is international and, in particular, located in developing markets. This international customer mix is largely because our ITM software products consist of relatively small and inexpensive solutions that are appropriate for smaller financial institutions with up to $10 billion in assets and various transaction processing needs. Euronet ITM Software is the preferred transaction-processing software for institutions that operate their back office using the IBM iSeries platform, which is also a relatively inexpensive, expandable hardware platform. Our Essentis product line is targeted to large financial institutions operating in a mainframe environment. We believe demand will continue for our software from financial institutions in many markets and throughout the developing world as new financial institutions are established. Once a customer purchases our ITM or Essentis software and installs the core system, we provide a series of modules, upgrades and maintenance services that often result in recurring revenues.</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customer services support “follow-the-sun” initiatives, which represent the Company’s commitment to providing same time zone support for our customers worldwide. We have one center covering Europe, the Middle East and Africa (“EMEA”); one center covering the Americas; and one center covering the Asia-Pacific region. This coverage presents several benefits to our customers, including immediate access to live technical support, infrastructure expansion to aid in faster problem resolution and in-depth knowledge of the uniqueness of conducting business in the various regions.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Software Solutions Segment Strategy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Software products are an integral part of our product lines, and our investment in research, development, delivery and customer support reflects our ongoing commitment to an expanded customer base. We have identified opportunities to provide processing services to our software solutions customers and our ability to develop, adapt and control our own software gains us credibility with our processing services customers. We have been able to enter into agreements under which we use our ITM software in lieu of cash as our initial capital contributions to new transaction processing joint ventures. Such contribution permits us to enter new markets without significant cash outlay. Our ITM software is used by our Budapest, Mumbai, Athens, Beijing and Belgrade operations centers in our EFT Processing Segment, including our Euronet Middle East JV processing center in Bahrain, resulting in cost savings and added value compared to third-party license and maintenance options.</w:t>
      </w:r>
    </w:p>
    <w:p>
      <w:pPr>
        <w:spacing w:after="0" w:line="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Additionally, since the acquisition of Essentis in January 2006, our market position has strengthened significantly. The Essentis product range allows us to offer the mainframe as an additional processing platform to provide an end-to-end solution to both card issuers and merchant acquirers.</w:t>
      </w:r>
    </w:p>
    <w:p>
      <w:pPr>
        <w:spacing w:after="0" w:line="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strategy in the Software Solutions Segment in 2006 continued to include improvement of the application functionality for our core debit and credit solutions, prepaid solutions and our user interfaces to our product solutions. Additionally, we continued to focus on expanding our point release process with significant adoption from our customer base. This process allows existing customers to annually upgrade their systems to current versions of software components, adding new features and functionality and improving the process of installing new products. Our software continues to be upgraded as new compliance mandates are announced by international card organizations involving initiatives such as EMV chip card support. In 2006, we added several new customers including one leading financial institution for Essentis software.</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last six years, we have continued our strategy of signing customers to extended long-term software maintenance agreements. We continue to invest in emerging markets and technologies that complement our processing and software solutions.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Software Solutions Segment is not materially affected by seasonality.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individual consumer makes up greater than 10% of consolidated total revenue and there are no government contracts with any country within the Software Solutions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define “software sales backlog” as fees specified in contracts, which have been executed by us and for which we expect recognition of the related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within one year. At December 31, 2006, the revenue backlog was $9.2 million, compared to $4.2 million at December 31, 2005. The average backlog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 million in 2006 and $4.0 million for 2005. We intend to continue expediting the delivery and implementation of software in an effort to maintain backlog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while simultaneously replenishing the backlog through continuing product sales growth.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our ITM product line, we are the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 For Essentis, we are a strong supplier of electronic payment processing software for card issuers and merchant acquirers on a mainframe platform. Our competition includes products owned and marketed by other software companies as well as large well-financed companies that offer outsourcing and credit card services to financial institutions. We believe our Essentis offering is one of the few software solutions in this product area that has been developed as a completely new system, as opposed to a re-engineered legacy system, taking full advantage of the latest technology and business strategies available.</w:t>
      </w:r>
    </w:p>
    <w:p>
      <w:pPr>
        <w:spacing w:after="0" w:line="74"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The Software Solutions Segment has different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Competitive factors in the Software Solutions business include price, technology development and the ability of software systems to interact with other leading products.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have made an ongoing commitment to the maintenance and improvement of our products and services. We regularly engage in product development and enhancement activities in each of our business segments aimed at the development and delivery of new products, services and processes to our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ITM, these include:</w:t>
      </w:r>
    </w:p>
    <w:p>
      <w:pPr>
        <w:spacing w:after="0" w:line="117"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prepaid,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bill payment and presentment,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ATM monitoring,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applications for mobile devices,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wireless banking software products,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user interfaces.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Essentis, these include:</w:t>
      </w:r>
    </w:p>
    <w:p>
      <w:pPr>
        <w:spacing w:after="0" w:line="117"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SEPA (Single European Payments Area),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prepaid,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service oriented architecture,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user interfaces.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also engage in research and development activities in our Software Solutions Segment to continually improve our core software products.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research and development costs for software products to be sold, leased or otherwise marketed totaled $7.3 million in 2006 and $2.7 million in 2005 and 2004. Amounts capitalized were $3.2 million, $0.8 million and $0.7 million in the years ended December 31, 2006, 2005 and 2004, respectively. The increase for 2006 as compared to 2005 is primarily a result of our acquisition of Essentis in January 2006 as discussed in Note 4 — Acquisitions to the Consolidated Financial Statements. Amounts capitalized are included on our Consolidated Balance Sheets in other long-term assets. These costs were capitalized under our accounting policy requiring the capitalization of development costs on a product-by-product basis once technological feasibility is established through the completion of a detailed program design or the creation of a working model of the product. Technological feasibility of computer software products is established when we have completed all planning, designing, coding, and testing activities necessary to establish that the product can be produced to meet its design specifications including functions, features and technical performance requirements. See Note 17 — Research and Development to the Consolidated Financial Statements for a more detailed summary of the prior three years research and development capitalized costs and related amortization expense.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a discussion of results from operations, property and equipment, and total assets by geographic location, please see Note 15 — Business Segment Information to the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business is highly automated and we outsource many specialized, repetitive functions such as ATM maintenance and installation, cash delivery and security. As a result, our labor requirements for ongoing operation of our EFT and prepaid networks are relatively small and are centered on monitoring activities to ensure service quality and cash reconciliation and control. We also have customer service departments in all divisions to investigate and resolve reported problems in processing transactions. We have technical service departments to implement new connections with financial institutions and mobile operators and adapt POS terminals to our central processing centers.</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had 1,098, 926 and 651 employees as of December 31, 2006, 2005 and 2004, respectively. We believe our future success will depend in part on our ability to continue to recruit, retain and motivate qualified management, technical and administrative employees. Currently, no union represents any of our employees and we have never experienced any work stoppages or strikes by our workforce.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With the exception of our money transfer business, our business activities do not constitute “financial activities” subject to licensing in any of our current markets. Our money transfer business is subject to licensing in all U.S. states and foreign markets where we operate. Any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5" w:name="page16"/>
    <w:bookmarkEnd w:id="15"/>
    <w:p>
      <w:pPr>
        <w:ind w:right="120"/>
        <w:spacing w:after="0" w:line="271" w:lineRule="auto"/>
        <w:rPr>
          <w:sz w:val="20"/>
          <w:szCs w:val="20"/>
          <w:color w:val="auto"/>
        </w:rPr>
      </w:pPr>
      <w:r>
        <w:rPr>
          <w:rFonts w:ascii="Arial" w:cs="Arial" w:eastAsia="Arial" w:hAnsi="Arial"/>
          <w:sz w:val="17"/>
          <w:szCs w:val="17"/>
          <w:color w:val="auto"/>
        </w:rPr>
        <w:t>Under German law, only licensed financial institutions may operate ATMs in Germany. Therefore, we may not operate our own ATM network in Germany without a sponsor. In that market, we act only as a subcontractor providing certain ATM-related services to a sponsor financial institution. As a result, our activities in the German market currently are entirely dependent upon the continuance of our agreement with our sponsor institution, or the ability to enter into a similar agreement with another institution in the event of the termination of such agreement. In January 2004, we entered into a new sponsorship agreement with Bankhaus August Lenz (“BAL”) canceling an agreement with DiBa Bank, our previous sponsor. While we believe, based on our experience, we should be able to find a replacement for BAL if the agreement with BAL is terminated for any reason, the inability to maintain the BAL agreement or to enter into a similar agreement with another institution upon a termination of the BAL agreement could have a material adverse effect on our operations in Germany. For further information, see Item 1A — Risk Factors.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registered or applied for registration of our trademarks including the names “Euronet” and “Bankomat” and/or the blue diamond logo in most markets in which we use those trademarks.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purchased a registration of the “Euronet” trademark in the class of ATM machines in Germany, the U.K. and certain other Western European countries. We have registered the “e-pay” logo trademark in the U.K. and Australia and will be extending such registration as we expand that business to new markets. We cannot be sure that we will be entitled to use the e-pay trademark in any markets other than those in which we have registered the trademark. Other trademarks Euronet has registered or has registrations pending in various countries include Integrated Transaction Management; ITM; PaySpot; Arksys; Cashnet; Bank24 and Bank Access 24.</w:t>
      </w:r>
    </w:p>
    <w:p>
      <w:pPr>
        <w:spacing w:after="0" w:line="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2000 and 2001, we filed patent applications for a number of our new software products and our new processing technology, including our recharge services and a browser-based ATM operating system. In 2003, we filed a patent application with the U.S. Patent Office for our POS recharge products in support of e-pay and PaySpot technology. As of the date of this report, these patents are still pending. Our wholly-owned subsidiary, Euronet Payments &amp; Remittance, has a patent on a card-based money transfer and bill payment system that allows transactions to be initiated primarily through POS terminals and integrated cash register systems. Technology in the areas in which we operate is developing very rapidly and we are aware that many other companies have filed patent applications for similar products. The procedures of the U.S. patent office make it impossible for us to predict whether our patent applications will be approved or will be granted priority dates that are earlier than other patents that have been filed for similar products or services. Moreover, the Prepaid Processing business is an area in which many “process patents” have been filed in the U.S. over recent years covering processes that are in wide used in the industry. If their patents are considered to cover technology that has been incorporated into our systems, we may be required to obtain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28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28, 2007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Served Since</w:t>
            </w:r>
          </w:p>
        </w:tc>
        <w:tc>
          <w:tcPr>
            <w:tcW w:w="320" w:type="dxa"/>
            <w:vAlign w:val="bottom"/>
          </w:tcPr>
          <w:p>
            <w:pPr>
              <w:spacing w:after="0"/>
              <w:rPr>
                <w:sz w:val="14"/>
                <w:szCs w:val="14"/>
                <w:color w:val="auto"/>
              </w:rPr>
            </w:pPr>
          </w:p>
        </w:tc>
        <w:tc>
          <w:tcPr>
            <w:tcW w:w="718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Position Held</w:t>
            </w:r>
          </w:p>
        </w:tc>
      </w:tr>
      <w:tr>
        <w:trPr>
          <w:trHeight w:val="210"/>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Michael J. Brown</w:t>
            </w:r>
          </w:p>
        </w:tc>
        <w:tc>
          <w:tcPr>
            <w:tcW w:w="74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50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7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Chairman, Chief Executive Officer and President</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Jeffrey B. Newman</w:t>
            </w:r>
          </w:p>
        </w:tc>
        <w:tc>
          <w:tcPr>
            <w:tcW w:w="74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52</w:t>
            </w:r>
          </w:p>
        </w:tc>
        <w:tc>
          <w:tcPr>
            <w:tcW w:w="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December 1996</w:t>
            </w: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Executive Vice President — General Counsel</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Rick L. Weller</w:t>
            </w:r>
          </w:p>
        </w:tc>
        <w:tc>
          <w:tcPr>
            <w:tcW w:w="74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49</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2002</w:t>
            </w:r>
          </w:p>
        </w:tc>
        <w:tc>
          <w:tcPr>
            <w:tcW w:w="7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Executive Vice President — Chief Financial Officer</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Miro I. Bergman</w:t>
            </w:r>
          </w:p>
        </w:tc>
        <w:tc>
          <w:tcPr>
            <w:tcW w:w="74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January 2001</w:t>
            </w: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Executive Vice President — Chief Operations Officer, Prepaid Processing Segment</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John Romney</w:t>
            </w:r>
          </w:p>
        </w:tc>
        <w:tc>
          <w:tcPr>
            <w:tcW w:w="74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40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2005</w:t>
            </w:r>
          </w:p>
        </w:tc>
        <w:tc>
          <w:tcPr>
            <w:tcW w:w="7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Executive Vice President — Managing Director, EMEA EFT Division</w:t>
            </w:r>
          </w:p>
        </w:tc>
      </w:tr>
    </w:tbl>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MICHAEL J. BROWN is one of the founders of Euronet and has served as our Chairman of the Board and Chief Executive Officer since 1996. He also founded our predecessor in 1994 with Daniel R. Henry.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 Mr. Brown is married to the sister of the wife of Daniel R. Henry.</w:t>
      </w:r>
    </w:p>
    <w:p>
      <w:pPr>
        <w:spacing w:after="0" w:line="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right="140"/>
        <w:spacing w:after="0" w:line="264" w:lineRule="auto"/>
        <w:rPr>
          <w:sz w:val="20"/>
          <w:szCs w:val="20"/>
          <w:color w:val="auto"/>
        </w:rPr>
      </w:pPr>
      <w:r>
        <w:rPr>
          <w:rFonts w:ascii="Arial" w:cs="Arial" w:eastAsia="Arial" w:hAnsi="Arial"/>
          <w:sz w:val="18"/>
          <w:szCs w:val="18"/>
          <w:color w:val="auto"/>
        </w:rPr>
        <w:t>practiced law with the Washington D.C. based law firm of Arent Fox Kintner Plotkin &amp; Kahn and the Paris based law firm of Salans Hertzfeld &amp; Heilbronn. He is a member of District of Columbia and Paris bars. He received a B.A. in Political Science and French from Ohio University in 1976 and law degrees from Ohio State University and the University of Paris.</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RICK L. WELLER, Executive Vice President, Chief Financial Officer. Mr. Weller has been Executive Vice President and Chief Financial Officer of Euronet since he joined Euronet in November 2002, when he joined the company.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University of Central Missouri.</w:t>
      </w:r>
    </w:p>
    <w:p>
      <w:pPr>
        <w:spacing w:after="0" w:line="8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MIRO I. BERGMAN, Executive Vice President, Chief Operating Officer — Prepaid Processing Segment. Mr. Bergman joined the company in March 1997 and has been Executive Vice President and Chief Operating Officer — Prepaid Processing Division since April 2005. He has been an Executive Vice President since January 2001. He served as Country Manager for the Czech Republic from 1997 to 1999 and then became area manager responsible for our operations in Central Europe. From 2000 until 2005, he served as Managing Director of the EFT Division for the Europe, Middle East, and Africa (EMEA) region. Mr. Bergman received his B.S. in Business Administration from the University of New York at Albany and an M.B.A. from Cornell University.</w:t>
      </w:r>
    </w:p>
    <w:p>
      <w:pPr>
        <w:spacing w:after="0" w:line="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JOHN ROMNEY, Executive Vice President, Managing Director, EMEA EFT Division. Mr. Romney has been Executive Vice President and Managing Director of the EMEA EFT Division since April 2005. Mr. Romney joined Euronet in February of 1997. He served in various positions in the EFT Division, including Senior Vice President and Regional Director for Central EMEA (from 2002 to 2004), Regional Manager: Southern Europe and Middle East (from 2000 to 2002) and Managing Director of our Croatian subsidiary (from 1997 to 1999). Mr. Romney received a B.S. degree in Finance from the University of Notre Dame.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Executive Officer</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DANIEL R. HENRY, one of the founders of Euronet, resigned his role as Chief Operating Officer and President with the Company effective December 31, 2006. Mr. Henry co-founded our predecessor in 1994 with Michael J. Brown, who serves as the Company’s Chairman and Chief Executive Officer. Mr. Henry has played a key role in shaping Euronet’s strategy and success over the years and served as the Company’s COO since 1996 and as President since 2001. Mr. Henry will continue to serve as a director of the Company for at least the remainder of his three-year term ending in 2009. We do not plan to replace Mr. Henry immediately and will divide his day-to-day responsibilities among CEO Mike Brown and other key executives. Our Board of Directors elected Michael J. Brown to the additional position of President, effective December 31, 2006. Mr. Henry will continue to work closely with the Company and support it in an advisory role as needed on special projects. Mr. Henry is married to the sister of the wife of Michael J. Brown.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Our website addresses are </w:t>
      </w:r>
      <w:r>
        <w:rPr>
          <w:rFonts w:ascii="Arial" w:cs="Arial" w:eastAsia="Arial" w:hAnsi="Arial"/>
          <w:sz w:val="18"/>
          <w:szCs w:val="18"/>
          <w:u w:val="single" w:color="auto"/>
          <w:color w:val="auto"/>
        </w:rPr>
        <w:t>www.euronetworldwide.com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www.eeft.com.</w:t>
      </w:r>
      <w:r>
        <w:rPr>
          <w:rFonts w:ascii="Arial" w:cs="Arial" w:eastAsia="Arial" w:hAnsi="Arial"/>
          <w:sz w:val="18"/>
          <w:szCs w:val="18"/>
          <w:color w:val="auto"/>
        </w:rPr>
        <w:t xml:space="preserve"> We make all Securities and Exchange Commission (“SEC”) public filings, including our annual reports on Form 10-K, quarterly reports on Form 10-Q, current reports on Form 8-K, and all amendments to those reports filed or furnished pursuant to Sections 13(a) or 15(d) of the Exchange Act available on our website free of charge as soon as reasonably practicable after these documents are electronically filed with, or furnished to, the SEC. The information on our website is not, and shall not be deemed to be a part of this report or incorporated into any other filings we make with the SEC. In addition, the SEC maintains an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Euronet.</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charters for our Audit, Compensation, and Corporate Governance and Nominating Committees, as well as the Code of Business Conduct &amp; Ethics for our employees, including our Chief Executive Officer and Chief Financial Officer, are available on our website at </w:t>
      </w:r>
      <w:r>
        <w:rPr>
          <w:rFonts w:ascii="Arial" w:cs="Arial" w:eastAsia="Arial" w:hAnsi="Arial"/>
          <w:sz w:val="18"/>
          <w:szCs w:val="18"/>
          <w:u w:val="single" w:color="auto"/>
          <w:color w:val="auto"/>
        </w:rPr>
        <w:t>www.euronetworldwide.com</w:t>
      </w:r>
      <w:r>
        <w:rPr>
          <w:rFonts w:ascii="Arial" w:cs="Arial" w:eastAsia="Arial" w:hAnsi="Arial"/>
          <w:sz w:val="18"/>
          <w:szCs w:val="18"/>
          <w:color w:val="auto"/>
        </w:rPr>
        <w:t xml:space="preserve"> in the “Investors” section.</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will also provide printed copies of these materials to any stockholders, upon request to Euronet Worldwide, Inc., 4601 College Boulevard, Suite 300, Leawood, Kansas, U.S.A. 66211, Attention: Investor Relations.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w:t>
      </w:r>
    </w:p>
    <w:p>
      <w:pPr>
        <w:spacing w:after="0" w:line="5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have a substantial amount of indebtedness. As of December 31, 2006, our total liabilities were $819.8 million and our total assets were $1,108.1 million. Of the total liabilities, $315.0 million is comprised of contingently convertible debentures that may be settled in stock. Additionally, subject to regulatory approvals and other customary closing conditions, we have agreed to acquire RIA Envia, Inc. (“RIA”), for which we expect to incur approximately</w:t>
      </w:r>
    </w:p>
    <w:p>
      <w:pPr>
        <w:ind w:right="60"/>
        <w:spacing w:after="0" w:line="252" w:lineRule="auto"/>
        <w:rPr>
          <w:sz w:val="20"/>
          <w:szCs w:val="20"/>
          <w:color w:val="auto"/>
        </w:rPr>
      </w:pPr>
      <w:r>
        <w:rPr>
          <w:rFonts w:ascii="Arial" w:cs="Arial" w:eastAsia="Arial" w:hAnsi="Arial"/>
          <w:sz w:val="18"/>
          <w:szCs w:val="18"/>
          <w:color w:val="auto"/>
        </w:rPr>
        <w:t>$180 million in additional long-term debt. See “Item 7: Management’s Discussion and Analysis of Financial Conditions and Results of Operations — Liquidity — Other trends and uncertainties.”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which we may not be able to obtain. The level of our indebtedness could have important consequences to investors, including the following:</w:t>
      </w:r>
    </w:p>
    <w:p>
      <w:pPr>
        <w:spacing w:after="0" w:line="86" w:lineRule="exact"/>
        <w:rPr>
          <w:sz w:val="20"/>
          <w:szCs w:val="20"/>
          <w:color w:val="auto"/>
        </w:rPr>
      </w:pPr>
    </w:p>
    <w:p>
      <w:pPr>
        <w:ind w:left="660" w:right="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75" w:lineRule="exact"/>
        <w:rPr>
          <w:rFonts w:ascii="Arial" w:cs="Arial" w:eastAsia="Arial" w:hAnsi="Arial"/>
          <w:sz w:val="18"/>
          <w:szCs w:val="18"/>
          <w:b w:val="1"/>
          <w:bCs w:val="1"/>
          <w:color w:val="auto"/>
        </w:rPr>
      </w:pPr>
    </w:p>
    <w:p>
      <w:pPr>
        <w:ind w:left="660" w:right="10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substantial portion of our cash flows must be dedicated to the payment of principal and interest on our indebtedness and other obligations and will not be available for use in our business;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142" w:lineRule="exact"/>
        <w:rPr>
          <w:rFonts w:ascii="Arial" w:cs="Arial" w:eastAsia="Arial" w:hAnsi="Arial"/>
          <w:sz w:val="17"/>
          <w:szCs w:val="17"/>
          <w:b w:val="1"/>
          <w:bCs w:val="1"/>
          <w:color w:val="auto"/>
        </w:rPr>
      </w:pPr>
    </w:p>
    <w:p>
      <w:pPr>
        <w:ind w:left="660" w:right="4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high degree of indebtedness will make us more vulnerable to changes in general economic conditions and/or a downturn in our business, thereby making it more difficult for us to satisfy our obligations; and</w:t>
      </w:r>
    </w:p>
    <w:p>
      <w:pPr>
        <w:spacing w:after="0" w:line="75" w:lineRule="exact"/>
        <w:rPr>
          <w:rFonts w:ascii="Arial" w:cs="Arial" w:eastAsia="Arial" w:hAnsi="Arial"/>
          <w:sz w:val="18"/>
          <w:szCs w:val="18"/>
          <w:b w:val="1"/>
          <w:bCs w:val="1"/>
          <w:color w:val="auto"/>
        </w:rPr>
      </w:pPr>
    </w:p>
    <w:p>
      <w:pPr>
        <w:ind w:left="660" w:right="40" w:hanging="314"/>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because a portion of our indebtedness and other obligations are denominated in foreign currencies, and because a portion of our debt bears interest at a variable rate of interest, our actual debt service obligations could increase as a result of adverse changes in foreign currency exchange rates and/or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Restrictive covenants in our credit facilities may adversely affect us.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7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credit facilities contain a variety of restrictive covenants that limit our ability to incur debt, make investments, pay dividends and sell assets. In addition, these facilities require us to maintain specified financial ratios (as defined), including Debt to earnings before interest, taxes, depreciation and amortization (“EBITDA”) and earnings before interest, taxes, depreciation, amortization and rent (“EBITDAR”) to fixed charges, and satisfy other financial condition tests, including a minimum EBITDA test. Our ability to meet those financial ratios and tests can be affected by events beyond our control, and we cannot assure you that we will meet those tests. A breach of any of these covenants could result in a default under our credit facilities. Upon the occurrence of an event of default under our credit facilities, the lenders could elect to declare all amounts outstanding under the credit facilities to be immediately due and payable and terminate all commitments to extend further credit. If we were unable to repay those amounts, the lenders could proceed against the collateral granted to them to secure that indebtedness. We have pledged a substantial portion of our assets as security under the credit facilities. If the lenders under either credit facility accelerate the repayment of borrowings, we cannot assure you that we will have sufficient assets to repay our credit facilities and our other indebtedness.</w:t>
      </w:r>
    </w:p>
    <w:p>
      <w:pPr>
        <w:spacing w:after="0" w:line="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business may suffer from risks related to our recent acquisitions and potential future acquisitions, including our agreement to acquire RIA, and subsequent to December 31, 2006, our agreement to acquire La Nacional.</w:t>
      </w:r>
    </w:p>
    <w:p>
      <w:pPr>
        <w:spacing w:after="0" w:line="5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 substantial portion of our recent growth is due to acquisitions, and we continue to evaluate and engage in discussions concerning potential acquisition opportunities, some of which could be material. During the fourth quarter 2006, subject to regulatory approvals and customary closing conditions, we agreed to acquire RIA. If completed, this will be our largest acquisition to date. Also, during January 2007, subject to regulatory approvals and customary closing conditions, we agreed to acquire La Nacional. No assurance can be given that these acquisitions will close. See "Item 7: Management's Discussion and Analysis of Financial Condition and Results of Operations — Liquidity and Capital Resources — Other trends and uncertainties." We cannot assure you that we will be able to successfully integrate, or otherwise realize anticipated benefits from, our recent acquisitions or any future acquisitions. Failure to close, successfully integrate or otherwise realize the anticipated benefits of those acquisitions could adversely impact our long-term competitiveness and profitability. The integration of our recent acquisitions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780"/>
        <w:spacing w:after="0" w:line="277" w:lineRule="auto"/>
        <w:rPr>
          <w:sz w:val="20"/>
          <w:szCs w:val="20"/>
          <w:color w:val="auto"/>
        </w:rPr>
      </w:pPr>
      <w:r>
        <w:rPr>
          <w:rFonts w:ascii="Arial" w:cs="Arial" w:eastAsia="Arial" w:hAnsi="Arial"/>
          <w:sz w:val="18"/>
          <w:szCs w:val="18"/>
          <w:color w:val="auto"/>
        </w:rPr>
        <w:t>and any future acquisitions will involve a number of risks that could harm our financial condition, results of operations and competitive position. In particular:</w:t>
      </w:r>
    </w:p>
    <w:p>
      <w:pPr>
        <w:spacing w:after="0" w:line="62" w:lineRule="exact"/>
        <w:rPr>
          <w:sz w:val="20"/>
          <w:szCs w:val="20"/>
          <w:color w:val="auto"/>
        </w:rPr>
      </w:pPr>
    </w:p>
    <w:p>
      <w:pPr>
        <w:ind w:left="660" w:right="240" w:hanging="314"/>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integration plan for our acquisitions are based on benefits that involve assumptions as to future events, including leveraging our existing relationships with mobile phone operators and retailers as well as general business and industry conditions, many of which are beyond our control and may not materialize. Unforeseen factors may offset components of our integration plan in whole or in part. As a result, our actual results may vary considerably, or be considerably delayed, compared to our estimates;</w:t>
      </w:r>
    </w:p>
    <w:p>
      <w:pPr>
        <w:spacing w:after="0" w:line="92" w:lineRule="exact"/>
        <w:rPr>
          <w:rFonts w:ascii="Arial" w:cs="Arial" w:eastAsia="Arial" w:hAnsi="Arial"/>
          <w:sz w:val="18"/>
          <w:szCs w:val="18"/>
          <w:b w:val="1"/>
          <w:bCs w:val="1"/>
          <w:color w:val="auto"/>
        </w:rPr>
      </w:pPr>
    </w:p>
    <w:p>
      <w:pPr>
        <w:ind w:left="660" w:right="40" w:hanging="314"/>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We may assume unanticipated liabilities and contingencies; or</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recognize impairment charges related to long-lived assets and goodwill recorded in connection with our acquisitions.</w:t>
      </w:r>
    </w:p>
    <w:p>
      <w:pPr>
        <w:spacing w:after="0" w:line="13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total assets include approximately $326.3 million, or 29%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If operating results in any of our key markets, including the U.K., Germany, Spain, Australia, New Zealand or the U.S. deteriorate or our plans do not progress as expected when we acquired these entities, we may be required to record an impairment write-down of goodwill, intangible assets or other long-lived assets. As previously disclosed, we have experienced a loss of revenues and profits in Spain due to a reduction of certain exclusive commission arrangements that were in effect until May 2006. Also, during the second quarter 2006, we entered into distribution agreements for additional products and prepaid airtime from the two other primary mobile operators in Spain. The projections that support goodwill from our Spanish acquisitions include growth in profitability that is dependent on a number of factors. These factors include: our ability to maintain or increase the level of gross margin that we earn with each transaction; our ability to increase transaction levels through sale of the prepaid mobile airtime of the two other major mobile operators; our ability to increase the quantity of product offerings included on our network of POS terminals, including money transfer, bill payment and other prepaid products; and our ability to avoid additional investments. If operating results do not progress as expected, or if we are required to make additional investments, we may be required to record an impairment write-down of goodwill, intangible assets or other long-lived assets associated with our Spanish business. Impairment charges would reduce reported earnings for the periods in which they are recorded. This could have a material adverse effect on our results of operations and financial condition.</w:t>
      </w:r>
    </w:p>
    <w:p>
      <w:pPr>
        <w:spacing w:after="0" w:line="7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5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expansion plans and opportunities are focused on four separate areas: (i) our network of owned and operated ATMs; (ii) outsourced ATM management contracts; (iii) our prepaid mobile airtime services; and (iv) our money transfer and bill payment services. The continued expansion and development of our ATM business will depend on various factors including the following:</w:t>
      </w:r>
    </w:p>
    <w:p>
      <w:pPr>
        <w:spacing w:after="0" w:line="73"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demand for our ATM services in our current target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locate appropriate ATM sites and obtain necessary approvals for the installation of ATMs;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install ATMs in an efficient and timely manner;</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expansion of our business into new countries as currently planned;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entering into additional card acceptance and ATM outsourcing agreements with banks;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obtain sufficient numbers of ATMs on a timely basis;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the expansion.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predict the increase or decrease in the number of ATMs we manage under outsourcing agreements, because this depends largely on the willingness of banks to enter into or maintain outsourcing contracts with us. Banks are very deliberate in negotiating these agreements and the process of negotiating and signing outsourcing agreements typically takes six to twelve months or longer. Moreover, banks evaluate a wide range of matters when deciding to choose an outsource vendor and generally this decision is subject to extensive management analysis and approvals. The process is also affected by the legal and regulatory considerations of local countries, as well as local language complexities. These agreements tend to cover large numbers of ATMs, so significant increases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160"/>
        <w:spacing w:after="0" w:line="342" w:lineRule="auto"/>
        <w:rPr>
          <w:sz w:val="20"/>
          <w:szCs w:val="20"/>
          <w:color w:val="auto"/>
        </w:rPr>
      </w:pPr>
      <w:r>
        <w:rPr>
          <w:rFonts w:ascii="Arial" w:cs="Arial" w:eastAsia="Arial" w:hAnsi="Arial"/>
          <w:sz w:val="16"/>
          <w:szCs w:val="16"/>
          <w:color w:val="auto"/>
        </w:rPr>
        <w:t>decreases in our pool of managed ATMs could result from entry into or termination of these management contracts. In this regard, the timing of both current and new contract revenues is uncertain and unpredictable. Increasing consolidation in the banking industry could make this process less predictable.</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offer prepaid mobile airtime top-up services in the U.S., Europe, Africa and Asia Pacific and we currently offer money transfer services from the U.S. to Latin America and from the U.K. to India, and bill payment services within the U.S. We plan to expand in these and other markets by taking advantage of our existing relationships with mobile phone operators, banks and retailers. This expansion will depend on various factors, including the following:</w:t>
      </w:r>
    </w:p>
    <w:p>
      <w:pPr>
        <w:spacing w:after="0" w:line="79"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these markets with mobile phone operators, banks and retailers;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prepaid mobile airtime among mobile phone users;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among immigrant workers;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increase in the number of prepaid mobile phone users;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the expansion.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continued expansion may involve acquisitions that could divert our resources and management time and require integration of new assets with our existing networks and services and could require financing that we may not be able to obtain. Our ability to manage our rapid expansion effectively will require us eventually to expand our operating systems and employee base. An inability to do this could have a material adverse effect on our business, growth, financial condition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and other outside factors that may negatively affect our business.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recessionary economic environment or other outside factors could have a negative impact on mobile phone operators, retailers and our customers and could reduce the level of transactions, which could, in turn, negatively impact our financial results. If mobile phone operators experience decreased demand for their prepaid products and services (including due to increasing usage of postpaid services) or if the retail locations where we provide POS top-up services decrease in number, we will process fewer transactions, resulting in lower revenue. In addition, a recessionary economic environment could result in a higher rate of bankruptcy filings by mobile phone operators, retailers and our customers and could reduce the level of ATM transactions, which will have a negative impact on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growth and profitability of our prepaid business is dependent on certain factors that vary from market to market.</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Prepaid Processing Segment derives revenues based on processing fees and commissions from mobile and other telecommunication operators and distributors of prepaid wireless products. Growth in our prepaid business in any given market is driven by a number of factors, including the extent to which conversion from scratch cards to electronic distribution solutions is occurring or has been completed, the overall pace of growth in the prepaid mobile phone market, our market share of the retail distribution capacity and the level of commission that is paid to the various intermediaries in the prepaid mobile airtime distribution chain. In mature markets, such as the U.K., Australia, Spain and Ireland, the conversion from scratch cards to electronic forms of distribution is either complete or nearing completion. Therefore, these factors will cease to provide the organic increases in the number of transactions per terminal that we have experienced historically. Also, competition among prepaid distributors results in retailer churn and the reduction of commissions paid by mobile operators, although a portion of such reductions can be passed along to retailers. In the last year, processing fees and commissions per transaction have declined in most markets, and we expect that trend to continue. We have been able to improve our results despite that trend due to substantial growth in transactions, driven by acquisitions and organic growth. We do not expect to continue this rate of growth. If we cannot continue to increase our transaction levels and per-transaction fees and commissions continue to decline, the combined impact of these factors could adversely impact our financial results.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prepaid mobile airtime top-up business may be susceptible to fraud occurring at the retailer level.</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our Prepaid Processing Segment, we contract with retailers that accept payment on our behalf, which we then transfer to a trust or other operating account for payment to mobile phone operators. In the event a retailer does not transfer to us payments that it receives for mobile airtime, we are responsible to the mobile phone operator for the cost of the airtime credited to the customer’s mobile phone. We can provide no assurance that retailer fraud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6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mobile phone operators and retailers, our top-up business is subject to the risk of non-renewal of those contracts, or renewal under less favorable terms.</w:t>
      </w:r>
    </w:p>
    <w:p>
      <w:pPr>
        <w:spacing w:after="0" w:line="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contracts with mobile phone operators to process prepaid mobile airtime recharge services typically have terms of less than three years. Many of those contracts may be canceled by either party upon three months’ notice. Our contracts with mobile phone operators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20"/>
        <w:spacing w:after="0" w:line="291" w:lineRule="auto"/>
        <w:rPr>
          <w:sz w:val="20"/>
          <w:szCs w:val="20"/>
          <w:color w:val="auto"/>
        </w:rPr>
      </w:pPr>
      <w:r>
        <w:rPr>
          <w:rFonts w:ascii="Arial" w:cs="Arial" w:eastAsia="Arial" w:hAnsi="Arial"/>
          <w:sz w:val="16"/>
          <w:szCs w:val="16"/>
          <w:color w:val="auto"/>
        </w:rPr>
        <w:t>are not exclusive, so these operators may enter into top-up contracts with other service providers. In addition, our top-up service contracts with major retailers typically have terms of one to three years and our contracts with smaller retailers typically may be canceled by either party upon three to six months’ notice. The cancellation or non-renewal of one or more of our significant mobile phone operator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mobile phone operators could also have a material adverse effect on our business, financial condition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processes and systems we employ may be subject to patent protection by other parties.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patents that cover some of the processes and systems employed in the prepaid processing industry in the U.S. and elsewhere. We believe the processes and systems we use have been in the public domain prior to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5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level of transactions on our ATM and prepaid processing networks is subject to substantial seasonal variation, which may cause our quarterly results to fluctuate materially and create volatility in the price of our shares.</w:t>
      </w:r>
    </w:p>
    <w:p>
      <w:pPr>
        <w:spacing w:after="0" w:line="5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experience is that the level of transactions on our networks is subject to substantial seasonal variation. Transaction levels have consistently been much higher in the fourth quarter of the fiscal year due to increased use of ATMs and prepaid mobile airtime top-ups during the holiday season. The level of transactions drops in the first quarter, during which transaction levels are generally the lowest we experience during the year. Since revenues of the EFT Processing and Prepaid Processing Segments have transaction-based components, these segments are directly affected by this seasonality. As a result of these seasonal variations, our quarterly operating results may fluctuate materially and could lead to volatility in the price of our shares.</w:t>
      </w:r>
    </w:p>
    <w:p>
      <w:pPr>
        <w:spacing w:after="0" w:line="46"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The stability and growth of our EFT Processing Segment depend on maintaining our current card acceptance and ATM management agreements with banks and international card organizations, and on securing new arrangements for card acceptance and ATM management.</w:t>
      </w:r>
    </w:p>
    <w:p>
      <w:pPr>
        <w:spacing w:after="0" w:line="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stability and future growth of our EFT Processing Segment depend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our ATM business.</w:t>
      </w:r>
    </w:p>
    <w:p>
      <w:pPr>
        <w:spacing w:after="0" w:line="7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In some cases, banks may terminate their contracts prior to the expiration of their terms. We cannot assure you that we will be able to continue to sign or maintain these agreements on terms and conditions acceptable to us or whether those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4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development and implementation of our strategy through December 31, 2006 has depended in large part on the founders of our company, Michael J. Brown and Daniel R. Henry. The retention of Mr. Brown is important to our continued success. In addition, the success of the expansion of businesses that we acquire may depend in large part upon the retention of the founders of those businesses. Our success also depends in part on our ability to hire and retain highly skilled and qualified management, operating, marketing,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460"/>
        <w:spacing w:after="0" w:line="277" w:lineRule="auto"/>
        <w:rPr>
          <w:sz w:val="20"/>
          <w:szCs w:val="20"/>
          <w:color w:val="auto"/>
        </w:rPr>
      </w:pPr>
      <w:r>
        <w:rPr>
          <w:rFonts w:ascii="Arial" w:cs="Arial" w:eastAsia="Arial" w:hAnsi="Arial"/>
          <w:sz w:val="18"/>
          <w:szCs w:val="18"/>
          <w:color w:val="auto"/>
        </w:rPr>
        <w:t>financial and technical personnel. The competition for qualified personnel in the markets where we conduct our business is intense and, accordingly, we cannot assure you that we will be able to continue to hire or retain the required personnel.</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7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Transaction fees from banks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73"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increased issuance of credit and debit cards;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increased acceptance of our ATM processing and management services in our target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maintenance of the level of transaction fees we receive;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installation of larger numbers of ATMs;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continued use of our ATMs by credit and debit cardholders.</w:t>
      </w:r>
    </w:p>
    <w:p>
      <w:pPr>
        <w:spacing w:after="0" w:line="11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to the sets of transactions that are available on our ATMs. However, we may not be successful in materially increasing transaction levels through these measures. Per-transaction fees have declined in certain markets in recent years. If we cannot continue to increase our transaction levels and per-transaction fees generally decline, our results would be adversely affected.</w:t>
      </w:r>
    </w:p>
    <w:p>
      <w:pPr>
        <w:spacing w:after="0" w:line="66"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and Patriot Act regulations.</w:t>
      </w:r>
    </w:p>
    <w:p>
      <w:pPr>
        <w:spacing w:after="0" w:line="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money transfer business primarily focuses on customers who immigrate to the United States from Latin American countries in search of employment and then send a portion of their earnings to family members in Latin America. Our ability to continue complying with the requirements of OFAC, BSA, FINCEN and the Patriot Act will be important to our success in achieving growth and an inability to do this could have an adverse impact on our revenue and earnings. Changes in government policies or enforcement toward immigration may have a negative affect on immigration in the U.S. and other countries, which could also have an adverse impact on our money transfer revenues.</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Future growth and profitability depend upon expansion within the markets in which we currently operate and the development of new markets for our money transfer services through the expected RIA acquisition. In addition, to achieve this expansion, we plan to initially focus on growth in the U.S. and Latin America market by increasing our sending locations in existing states and then expanding into other states by leveraging our prepaid processing terminal base. Expansion of our money transfer business to other states in the U.S. and internationally will require resolution of numerous licensing and regulatory issues in each of the sending markets we intend to develop. If we are unable to successfully apply the money transfer product to our existing terminal base or obtain the necessary licensing and other regulatory approvals, we may not realize expected results.</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expansion into new markets is dependent upon our ability to apply our existing technology or to develop new applications to satisfy market demand or, following closing of the RIA acquisition, adapting RIA’s technology to ours.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7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w:t>
      </w:r>
    </w:p>
    <w:p>
      <w:pPr>
        <w:spacing w:after="0" w:line="5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are subject to regulation by the states in which we operate, by the federal government and by the governments of the countries in which we operate. Changes in the laws, rules and regulations or these governmental entities could have a material adverse impact on our results of operations, financial condition and cash flow.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Changes in banking industry regulation and practice could make it more difficult for us and our agents to maintain depository accounts with banks.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banking industry, in light of increased regulatory oversight, is continually examining its business relationships with companies who offer money transfer services and with retail agents who collect and remit cash collected from end consumers. Should banks decide to not offer depository services to companies engaged in processing money transfer transactions, or to retail agents who collect and remit cash from end customers, our ability to administer and collect fees from money transfer transactions could be adversely impacted.</w:t>
      </w:r>
    </w:p>
    <w:p>
      <w:pPr>
        <w:spacing w:after="0" w:line="75"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Developments in electronic financial transactions, such as the increased use of debit cards by customers and pass-through of ATM transaction fees by banks to customers or developments in the mobile phone industry, could materially reduce ATM transaction levels and our revenues.</w:t>
      </w:r>
    </w:p>
    <w:p>
      <w:pPr>
        <w:spacing w:after="0" w:line="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developments in the field of electronic financial transactions may reduce the amount of cash that individuals need on a daily basis, including the promotion by international card organizations and banks of the use of bank debit cards for transactions of small amounts. These developments may reduce the transaction levels that we experience on our ATMs in the markets where they occur. Banks also could elect to pass through to their customers all, or a large part of, the fees we charge for transactions on our ATMs. This would increase the cost of using our ATM machines to the banks’ customers, which may cause a decline in the use of our ATM machines and, thus, have an adverse effect on our revenues. If transaction levels over our existing ATM network do not increase, growth in our revenues from the ATMs we own will depend primarily on rolling out ATMs at new sites and developing new markets, which requires capital investment and resources and reduces the margin we realize from our revenues.</w:t>
      </w:r>
    </w:p>
    <w:p>
      <w:pPr>
        <w:spacing w:after="0" w:line="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methods or services, may affect the demand for other services in a dramatic way. The development of any new technology that reduces the need or demand for prepaid mobile phone time could materially and adversely affect our business.</w:t>
      </w:r>
    </w:p>
    <w:p>
      <w:pPr>
        <w:spacing w:after="0" w:line="69"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generally have little control over the ATM transaction fees established in the markets where we operate, and therefore cannot control any potential reductions in these fees.</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that are set by the central ATM processing switch. The banks that participate in these switches set the interchange fee, and we are not in a position in any market to greatly influence these fees, which may increase or decrease over time. A significant decrease in the interchange fee in any market could adversely affect our results in that market.</w:t>
      </w:r>
    </w:p>
    <w:p>
      <w:pPr>
        <w:spacing w:after="0" w:line="76"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w:t>
      </w:r>
    </w:p>
    <w:p>
      <w:pPr>
        <w:spacing w:after="0" w:line="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3" w:name="page24"/>
    <w:bookmarkEnd w:id="23"/>
    <w:p>
      <w:pPr>
        <w:ind w:right="360"/>
        <w:spacing w:after="0" w:line="282" w:lineRule="auto"/>
        <w:rPr>
          <w:sz w:val="20"/>
          <w:szCs w:val="20"/>
          <w:color w:val="auto"/>
        </w:rPr>
      </w:pPr>
      <w:r>
        <w:rPr>
          <w:rFonts w:ascii="Arial" w:cs="Arial" w:eastAsia="Arial" w:hAnsi="Arial"/>
          <w:sz w:val="18"/>
          <w:szCs w:val="18"/>
          <w:b w:val="1"/>
          <w:bCs w:val="1"/>
          <w:color w:val="auto"/>
        </w:rPr>
        <w:t>We derive a significant amount of revenue in our business from service agreements signed with financial institutions to own and/or operate their ATM machines.</w:t>
      </w:r>
    </w:p>
    <w:p>
      <w:pPr>
        <w:spacing w:after="0" w:line="5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Certain contracts have been and, in the future, may be terminated by the financial institution resulting in a substantial reduction in revenue. Contract termination payments, if any, may be inadequate to replace revenues and operating income associated with these contracts.</w:t>
      </w:r>
    </w:p>
    <w:p>
      <w:pPr>
        <w:spacing w:after="0" w:line="3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banks, financial institutions, mobile operators and retailers. This, in turn, requires the maintenance of computer equipment and infrastructure, including telecommunications and electrical systems, and the integration and enhancement of complex software applications. Our ATM segment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Excluding Germany, transactions in the EFT Processing Segment are processed through our Budapest, Belgrade, Athens, Beijing and Mumbai operations centers. Our e-top-up transactions are processed through our Basildon, Martinsried, Madrid and Leawood, Kansas operations centers. Our U.S. money transfer and bill payment transactions are contracted through a Charlotte, North Carolina third party processing center.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7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have the risk of liability for fraudulent bankcard and other card transactions involving a breach in our security systems, as well as for ATM theft and vandalism.</w:t>
      </w:r>
    </w:p>
    <w:p>
      <w:pPr>
        <w:spacing w:after="0" w:line="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 sophisticated technology to attempt to obtain unauthorized access to the information handled by ATM and electronic financial transaction networks.</w:t>
      </w:r>
    </w:p>
    <w:p>
      <w:pPr>
        <w:spacing w:after="0" w:line="8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 found liable. We are insured against various risks, including theft and negligence, but such insurance coverage is subject to deductibles, exclusions and limitations that may leave us bearing some or all of any losses arising from security breaches.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electronic fraud issues,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7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We are required under German law and the rules of financial transaction switching networks in all of our markets to have ‘‘sponsors’’ to operate ATMs and switch ATM transactions. Our failure to secure ‘‘sponsor’’ arrangements in Germany or any other market could prevent us from doing business in that market.</w:t>
      </w:r>
    </w:p>
    <w:p>
      <w:pPr>
        <w:spacing w:after="0" w:line="7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German law, only a licensed financial institution may operate ATMs. Because we are not a licensed financial institution we are required to have a ‘‘sponsor’’ bank to conduct our German ATM operations. In addition, in all of our markets, our ATMs are connected to national financial transaction switching networks owned or operated by banks, and to other international financial transaction switching networks operated by organizations such as Citibank, Visa and MasterCard. The rules governing these switching networks require any company sending transactions through these switches to be a bank or a technical service processor that is approved and monitored by a bank. As a result, the operation of our ATM network in all of our markets depends on our ability to secure these ‘‘sponsor’’ arrangements with financial institutions.</w:t>
      </w:r>
    </w:p>
    <w:p>
      <w:pPr>
        <w:spacing w:after="0" w:line="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Germany or any other market, we could be prevented from doing business in the applicable market.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and Prepaid Processing Segment include large, well financed companies and banks and, in the Software Solutions Segment, companies larger than us with earlier entry into the market. As a result, we may lack the financial resources and access needed to capture increased market share.</w:t>
      </w:r>
    </w:p>
    <w:p>
      <w:pPr>
        <w:spacing w:after="0" w:line="68"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EFT Processing Segment</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66"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Prepaid Processing Segment</w:t>
      </w:r>
      <w:r>
        <w:rPr>
          <w:rFonts w:ascii="Arial" w:cs="Arial" w:eastAsia="Arial" w:hAnsi="Arial"/>
          <w:sz w:val="18"/>
          <w:szCs w:val="18"/>
          <w:color w:val="auto"/>
        </w:rPr>
        <w:t>— We face competition in the prepaid business in all of our markets. A few multinational companies operate in several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and we therefore compete with them in a number of countries. In other markets, our competition is from smaller, local companies. Major retailers with high volumes are in a position to demand a larger share of the commission, may compress our margins.</w:t>
      </w:r>
    </w:p>
    <w:p>
      <w:pPr>
        <w:spacing w:after="0" w:line="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primary competitors in the money transfer and bill payment business include other independent processors and electronic money transmitters, as well as certain major national and regional banks, financial institutions and independent sales organizations. Our competitors include Western Union, Global Payments, MoneyGram and others who are larger than we are and have greater resources than we have. This may allow them to offer better pricing terms to customers, which may result in a loss of our potential or current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w:t>
      </w:r>
    </w:p>
    <w:p>
      <w:pPr>
        <w:spacing w:after="0" w:line="5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color w:val="auto"/>
        </w:rPr>
        <w:t>Software Solutions Segment</w:t>
      </w:r>
      <w:r>
        <w:rPr>
          <w:rFonts w:ascii="Arial" w:cs="Arial" w:eastAsia="Arial" w:hAnsi="Arial"/>
          <w:sz w:val="16"/>
          <w:szCs w:val="16"/>
          <w:color w:val="auto"/>
        </w:rPr>
        <w:t>— For our ITM product line, we are a leading supplier of electronic financial transaction processing software for the IBM</w:t>
      </w:r>
      <w:r>
        <w:rPr>
          <w:rFonts w:ascii="Arial" w:cs="Arial" w:eastAsia="Arial" w:hAnsi="Arial"/>
          <w:sz w:val="16"/>
          <w:szCs w:val="16"/>
          <w:b w:val="1"/>
          <w:bCs w:val="1"/>
          <w:color w:val="auto"/>
        </w:rPr>
        <w:t xml:space="preserve"> </w:t>
      </w:r>
      <w:r>
        <w:rPr>
          <w:rFonts w:ascii="Arial" w:cs="Arial" w:eastAsia="Arial" w:hAnsi="Arial"/>
          <w:sz w:val="16"/>
          <w:szCs w:val="16"/>
          <w:color w:val="auto"/>
        </w:rPr>
        <w:t>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 For Essentis, we are a strong supplier of electronic payment processing software for card issuers and merchant acquirers on a mainframe platform. Our competition includes products owned and marketed by other software companies as well as large-well financed companies that offer outsourcing and credit card services to financial institutions. We believe our Essentis offering is one of the few software solutions in this product area that has been developed as a completely new system, as opposed to a re-engineered legacy system, taking full advantage of the latest technology and business strategies available.</w:t>
      </w:r>
    </w:p>
    <w:p>
      <w:pPr>
        <w:spacing w:after="0" w:line="56"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The Software Solutions Segment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Competitive factors in the Software Solutions business include price, technology development and the ability of software systems to interact with other leading products.</w:t>
      </w:r>
    </w:p>
    <w:p>
      <w:pPr>
        <w:spacing w:after="0" w:line="58"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and Asia, where the risk of continued political, economic and regulatory change that could impact our operating results is greater than in the U.S. or Western Europe.</w:t>
      </w:r>
    </w:p>
    <w:p>
      <w:pPr>
        <w:spacing w:after="0" w:line="7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subsidiaries in Hungary, Poland, the Czech Republic, Romania, Slovakia, Spain, Greece, Croatia, India, Serbia, Bulgaria, Russia, Egypt and China, and have operations in other countries in Central Europe, the Middle East and Asia. We expect to continue to expand our operations to other countries in these areas. We sell software in many other markets in the developing world.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example, currently there are no limitations on the repatriation of profits from any of the countries in which we have subsidiaries (although U.S. tax laws discourage repatriation), but foreign currency exchange control restrictions, taxes or limitations may be imposed or increased in the future with regard to repatriation of earnings and investments from these countries. If exchange control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color w:val="auto"/>
        </w:rPr>
        <w:t>restrictions, taxes or limitations are imposed, our ability to receive dividends or other payments from affected subsidiaries could be reduced, which may have a material adverse effect on us.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corporate, contract, property, insolvency, competition, securities and other laws and regulations in Hungary, Poland, the Czech Republic, Romania, Slovakia, Croatia, Bulgaria and other countries in Central Europe have been, and continue to be, substantially revised during the completion of their transition to the European Union.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6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Transmittal of data by electronic means and telecommunications is subject to specific regulation in most Central European countries. Although these regulations have not had a material impact on our business to date, changes in these regulations, including taxation or limitations on transfers of data across national borders, could have a material adverse effect on our business, growth, financial condition or results of operations.</w:t>
      </w:r>
    </w:p>
    <w:p>
      <w:pPr>
        <w:spacing w:after="0" w:line="5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76"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As allowable under the Internal Revenue Code (the “Code”), the interest deduction from our convertible debentures are based on a comparable interest rate for a traditional, nonconvertible, fixed rate debt instrument with similar terms. This allowable deduction is in excess of the stated interest rate. This deduction may be deferred, limited or eliminated under certain conditions.</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U.S Treasury regulations contain an anti-abuse regulation, set forth in Section 1.1275-2(g), that grants the Commissioner of the Internal Revenue Service authority to depart from the regulations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our convertible debentures and ultimately sustained, our deductions attributable to the convertible debentures could be limited to the stated interest thereon. The scope of application of the anti-abuse regulations is unclear. However, we are of the view that application of the contingent payment debt instrument regulations to our convertible debentures is a reasonable result such that the anti-abuse regulation should not apply. If a contrary position were asserted and ultimately sustained, our tax deductions would be severely diminished with a resulting adverse effect on our cash flow and ability to service the convertible debentures.</w:t>
      </w:r>
    </w:p>
    <w:p>
      <w:pPr>
        <w:spacing w:after="0" w:line="7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the Code, no deduction is allowed for interest expense in excess of $5 million on convertible subordinated indebtedness incurred to acquire stock or assets of another corporation reduced by any interest paid on other obligations which have provided consideration for an acquisition of stock in another corporation. If a significant portion of the proceeds from the issuance of the convertible debentures, either alone or together with other debt proceeds, were used for a domestic acquisition and the convertible debentures and other debt, if any, were deemed to be corporate acquisition indebtedness as defined in Section 279, interest deductions for tax purposes in excess of $5 million on such debt reduced by any interest paid on other obligations which have provided consideration for an acquisition of stock in another corporation would be disallowed. This would adversely impact our cash flow and our ability to pay down the convertible debentures. We previously applied a significant portion of the proceeds from our December 2004 issuance of 1.625% Convertible Senior Debentures Due 2024 to acquisitions of foreign corporations. The interest expense attributable to these acquisitions exhausted all of the $5 million annual interest expense deduction permitted under the Code for certain convertible subordinated debt incurred for corporation acquisitions. Accordingly, if this limitation were to apply, no interest deductions would be allowed with respect to our October 2005 3.50% Convertible Debentures Due 2025. We do not currently anticipate that this limitation will apply but there can be no assurance of that fact. As a result of our U.S. Federal and state net operating loss carryforwards, we have not recognized the benefit of the comparable interest deduction. However, if the comparable interest deduction were eliminated our future payment of U.S. Federal and state income taxes, if any, could be accelerated.</w:t>
      </w:r>
    </w:p>
    <w:p>
      <w:pPr>
        <w:spacing w:after="0" w:line="6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past, the U.S. Senate has drafted proposed tax relief legislation that contained a provision that would eliminate the comparable interest rate deduction on future issuances of convertible debentures such as ours. Legislation containing this provision has not been passed, however, we cannot predict if there will be future tax legislation proposed and approved that would eliminate the comparable interest rate deduction.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right="160"/>
        <w:spacing w:after="0" w:line="282" w:lineRule="auto"/>
        <w:rPr>
          <w:sz w:val="20"/>
          <w:szCs w:val="20"/>
          <w:color w:val="auto"/>
        </w:rPr>
      </w:pPr>
      <w:r>
        <w:rPr>
          <w:rFonts w:ascii="Arial" w:cs="Arial" w:eastAsia="Arial" w:hAnsi="Arial"/>
          <w:sz w:val="18"/>
          <w:szCs w:val="18"/>
          <w:b w:val="1"/>
          <w:bCs w:val="1"/>
          <w:color w:val="auto"/>
        </w:rPr>
        <w:t>Because we are an international company conducting a complex business in many markets worldwide, we are subject to legal and operational risks related to staffing and management, as well as a broad array of local legal and regulatory requirements.</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outside of the U.S. creates difficulties associated with staffing and managing our international operations, complying with local legal and regulatory requirements. Because we operate financial transaction processing networks that offer new products and services to customers, the laws and regulations in the markets in which operate are subject to rapid change. Although we have local staff in countries in which we deem it appropriate, we cannot assure you that we will continue to be found to be operating in compliance with all applicable customs, currency exchange control regulations, data protection, transfer pricing regulations or any other laws or regulations to which we may be subject. We also cannot assure you that these laws will not be modified in ways that may adversely affect our business.</w:t>
      </w:r>
    </w:p>
    <w:p>
      <w:pPr>
        <w:spacing w:after="0" w:line="81"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Because we derive our revenue from a multitude of countries with different currencies, our business is affected by local inflation and foreign currency exchange rates and policies.</w:t>
      </w:r>
    </w:p>
    <w:p>
      <w:pPr>
        <w:spacing w:after="0" w:line="5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attempt to match any assets denominated in a currency with liabilities denominated in the same currency. Nonetheless, substantially all of our indebtedness is denominated in U.S. dollars, euros and British pounds. While a significant amount of our expenditures, including the acquisition of ATMs, executive salaries and certain long-term telecommunication contracts, are made in U.S. dollars,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Moreover, exchange rate policies have not always allowed for the free conversion of currencies at the market rate. Future fluctuations in the value of the dollar could continue to have an adverse effect on our results.</w:t>
      </w:r>
    </w:p>
    <w:p>
      <w:pPr>
        <w:spacing w:after="0" w:line="5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consumer money transfer operations subject us to foreign currency exchange risks as our customers deposit U.S. dollars at our retail locations in the United States and we typically deliver funds denominated in the destination country currencies to beneficiaries in Mexico and other Latin American countries.</w:t>
      </w:r>
    </w:p>
    <w:p>
      <w:pPr>
        <w:spacing w:after="0" w:line="1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58"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Various provisions of our certificate of incorporation and bylaws and of Delaware corporate law may discourage, delay or prevent a change in control or takeover attempt of our company by a third party that is opposed to by our management and board of directors.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46" w:lineRule="exact"/>
        <w:rPr>
          <w:sz w:val="20"/>
          <w:szCs w:val="20"/>
          <w:color w:val="auto"/>
        </w:rPr>
      </w:pPr>
    </w:p>
    <w:p>
      <w:pPr>
        <w:ind w:left="660" w:right="6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30" w:lineRule="exact"/>
        <w:rPr>
          <w:rFonts w:ascii="Arial" w:cs="Arial" w:eastAsia="Arial" w:hAnsi="Arial"/>
          <w:sz w:val="18"/>
          <w:szCs w:val="18"/>
          <w:b w:val="1"/>
          <w:bCs w:val="1"/>
          <w:color w:val="auto"/>
        </w:rPr>
      </w:pPr>
    </w:p>
    <w:p>
      <w:pPr>
        <w:ind w:left="660" w:right="38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non-cumulative voting for directors;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control by our board of directors of the size of our board of directors;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limitations on the ability of stockholders to call special meetings of stockholders; and</w:t>
      </w:r>
    </w:p>
    <w:p>
      <w:pPr>
        <w:spacing w:after="0" w:line="130" w:lineRule="exact"/>
        <w:rPr>
          <w:rFonts w:ascii="Arial" w:cs="Arial" w:eastAsia="Arial" w:hAnsi="Arial"/>
          <w:sz w:val="18"/>
          <w:szCs w:val="18"/>
          <w:b w:val="1"/>
          <w:bCs w:val="1"/>
          <w:color w:val="auto"/>
        </w:rPr>
      </w:pPr>
    </w:p>
    <w:p>
      <w:pPr>
        <w:ind w:left="660" w:right="16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also approved a stockholders’ rights agreement (the ‘‘Rights Agreement’’) between Euronet and EquiServe Trust Company, N.A., (subsequently renamed Computershare Limited) as Rights Agent. Pursuant to the Rights Agreement, holders of our common stock are entitled to purchase one one-thousandth (1/1,000) of a share (a ‘‘Unit’’) of Junior Preferred Stock at a price of $57.00 per Unit upon certain events. The purchase price is subject to appropriate adjustment for stock splits and other similar events. Generally, in the event a person or entity acquires, or initiates a tender offer to acquire, at least 15% of Euronet’s then outstanding common stock, the Rights will become exercisable for common stock having a value equal to two times the exercise price of the Right, or effectively at one-half of Euronet’s then-current stock price. The existence of the Rights Plan may discourage, delay or prevent a change of control or takeover attempt of our company by a third party that is opposed to by our management and board of directors.</w:t>
      </w:r>
    </w:p>
    <w:p>
      <w:pPr>
        <w:spacing w:after="0" w:line="5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Our directors and officers, together with the entities with which they are associated, owned approximately 16% of our Common Stock as of December 31, 2006, giving them significant control over decisions related to our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ind w:right="40"/>
        <w:spacing w:after="0" w:line="264" w:lineRule="auto"/>
        <w:rPr>
          <w:sz w:val="20"/>
          <w:szCs w:val="20"/>
          <w:color w:val="auto"/>
        </w:rPr>
      </w:pPr>
      <w:r>
        <w:rPr>
          <w:rFonts w:ascii="Arial" w:cs="Arial" w:eastAsia="Arial" w:hAnsi="Arial"/>
          <w:sz w:val="18"/>
          <w:szCs w:val="18"/>
          <w:color w:val="auto"/>
        </w:rPr>
        <w:t>This control includes the ability to influence the election of other directors of our Company and to cast a large block of votes with respect to virtually all matters submitted to a vote of our stockholders. This concentration of control may have the effect of delaying or preventing transactions or a potential change of control of our Company.</w:t>
      </w:r>
    </w:p>
    <w:p>
      <w:pPr>
        <w:spacing w:after="0" w:line="69" w:lineRule="exact"/>
        <w:rPr>
          <w:sz w:val="20"/>
          <w:szCs w:val="20"/>
          <w:color w:val="auto"/>
        </w:rPr>
      </w:pPr>
    </w:p>
    <w:p>
      <w:pPr>
        <w:ind w:right="600"/>
        <w:spacing w:after="0" w:line="347" w:lineRule="auto"/>
        <w:rPr>
          <w:sz w:val="20"/>
          <w:szCs w:val="20"/>
          <w:color w:val="auto"/>
        </w:rPr>
      </w:pPr>
      <w:r>
        <w:rPr>
          <w:rFonts w:ascii="Arial" w:cs="Arial" w:eastAsia="Arial" w:hAnsi="Arial"/>
          <w:sz w:val="16"/>
          <w:szCs w:val="16"/>
          <w:b w:val="1"/>
          <w:bCs w:val="1"/>
          <w:color w:val="auto"/>
        </w:rPr>
        <w:t>An additional 30 million shares of Common Stock was authorized for issuance by stockholders, which could result in additional shares of our Common Stock being issued, potentially diluting equity ownership of current holders and the share price of our Common Stock.</w:t>
      </w:r>
    </w:p>
    <w:p>
      <w:pPr>
        <w:spacing w:after="0" w:line="1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the May 18, 2006 annual meeting of stockholders, stockholders approved an amendment to our Certificate of Incorporation to increase the aggregate number of shares of Common Stock that we have the authority to issue from sixty million (60,000,000) shares of Common Stock to ninety million (90,000,000) shares of Common Stock. Further, stockholders approved a new equity compensation plan (“2006 Stock Incentive Program”) under which an additional four million (4,000,000) shares would be reserved.</w:t>
      </w:r>
    </w:p>
    <w:p>
      <w:pPr>
        <w:spacing w:after="0" w:line="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Of the additional 30 million shares, a portion may be issued if the acquisition of RIA is consummated, in which we have committed to issue $110 million in shares at closing, as well as potential additional shares that depend on the price of Euronet common stock during the 18 month period following closing.</w:t>
      </w:r>
    </w:p>
    <w:p>
      <w:pPr>
        <w:spacing w:after="0" w:line="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believed that it was necessary to increase the number of shares of our authorized Common Stock in order to provide us with the flexibility to issue Common Stock for business purposes that may arise as deemed advisable by our Board. These purposes could include, among other things,</w:t>
      </w:r>
    </w:p>
    <w:p>
      <w:pPr>
        <w:ind w:right="20" w:firstLine="8"/>
        <w:spacing w:after="0" w:line="252"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and (iv) for other bona fide purposes. Our Board of Directors may issue the additional authorized shares of Common Stock without notice to, or further action by, our stockholders, unless stockholder approval is required by law or the rules of the NASDAQ Stock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8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An additional 16.0 million shares of Common Stock, representing 43% of the shares outstanding as of December 31, 2006,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7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of December 31, 2006, we had an aggregate of 3.3 million options and restricted stock awards outstanding held by our directors, officers and employees, which entitles these holders to acquire an equal number of shares of our Common Stock upon exercise. Of this amount, 1.3 million options are vested and exercisable as of December 31, 2006. Approximately 0.3 million additional shares of our Common Stock may be issued in connection with our employee stock purchase plan. Another 8.5 million shares of Common Stock could be issued upon conversion of the Company’s Convertible Debentures issued in December 2004 and October 2005. Additionally, based on current trading prices for our common stock, we expect to issue approximately 3.9 million shares of our Common Stock to the sellers of RIA, excluding any potential shares to be issued in settlement of the contingent value and stock appreciation rights.</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Accordingly, approximately 16.0 million shares (based on current prices and estimated earn-out payments) could potentially be added to our total current Common Stock outstanding through the exercise of options or the issuance of additional shares, which could adversely impact the trading price for our stock. The actual number of shares issuable could be higher depending upon the actual amounts of the earn-outs and our stock price at the time of payment (i.e. more shares could be issuable if our share price declines).</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Of the 3.3 million total options and restricted stock awards outstanding, an aggregate of 1.4 million options and restricted shares are held by persons who may be deemed to be our affiliates and who would be subject to Rule 144. Thus, upon exercise of their options, these affiliates’ shares would be subject to the trading restrictions imposed by Rule 144. The remainder of the common shares issuable under options or as earn-outs described above would be freely tradable in the public market. Over the course of time, all of the issued shares have the potential to be publicly traded, perhaps in large blocks.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executive offices are located in Leawood, Kansas, U.S.A. As of December 31, 2006, we also maintain principal operational offices in Little Rock, Arkansas, U.S.A.; Budapest, Hungary; Warsaw, Poland; Zagreb, Croatia; Prague, Czech Republic; Berlin and Martinsried, Germany; Bucharest, Romania; Bratislava, Slovakia; Athens, Greece; Cairo, Egypt; Sydney, Australia; Auckland, New</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color w:val="auto"/>
        </w:rPr>
        <w:t>Zealand; Madrid, Spain; Belgrade, Serbia; Moscow, Russia; Sofia, Bulgaria; Basildon and Watford, U.K.; Kiev, Ukraine; Beijing, China; Mumbai, India; and Charlotte, North Carolina, U.S.A. Our office leases provide for initial terms of two to twelve years.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Belgrade, Serbia; Athens, Greece; Beijing, China; and Mumbai, India. Our processing centers for the Prepaid Processing Segment are located in Basildon, U.K.; Martinsried, Germany; Madrid, Spain; and Leawood, Kansas, U.S.A.</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significant processing centers in Budapest, Basildon and Martinsried have off-site real time backup processing centers that are capable of providing availability in the event of failure of the primary processing centers. Our processing centers in Madrid and Belgrade have on-site real time backup processing centers that are expected to be relocated offsite during 2007. Our processing centers in Mumbai, Athens and the U.S. have on-site backup systems designed to prevent the loss of transaction records due to power and/or equipment failure.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Management expects the Company to prevail in defending itself in this matter and, accordingly has not recorded any liability or expense related to this claim. The Company will continue to monitor and assess this claim until ultimate resolution.</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were no matters submitted during the fourth quarter ended December 31, 2006, to a vote of security holders, through the solicitation of proxies or otherwise.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420"/>
          </w:cols>
          <w:pgMar w:left="240" w:top="958" w:right="239" w:bottom="1440" w:gutter="0" w:footer="0" w:header="0"/>
        </w:sectPr>
      </w:pP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OF EQUITY SECURITIES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w:t>
      </w:r>
    </w:p>
    <w:p>
      <w:pPr>
        <w:spacing w:after="0" w:line="344" w:lineRule="exact"/>
        <w:rPr>
          <w:sz w:val="20"/>
          <w:szCs w:val="20"/>
          <w:color w:val="auto"/>
        </w:rPr>
      </w:pPr>
    </w:p>
    <w:p>
      <w:pPr>
        <w:sectPr>
          <w:pgSz w:w="11900" w:h="16838" w:orient="portrait"/>
          <w:cols w:equalWidth="0" w:num="2">
            <w:col w:w="9500" w:space="720"/>
            <w:col w:w="1200"/>
          </w:cols>
          <w:pgMar w:left="240" w:top="958"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MARKET INFORMATION</w:t>
      </w:r>
    </w:p>
    <w:p>
      <w:pPr>
        <w:sectPr>
          <w:pgSz w:w="11900" w:h="16838" w:orient="portrait"/>
          <w:cols w:equalWidth="0" w:num="1">
            <w:col w:w="11420"/>
          </w:cols>
          <w:pgMar w:left="240" w:top="958" w:right="239" w:bottom="1440" w:gutter="0" w:footer="0" w:header="0"/>
          <w:type w:val="continuous"/>
        </w:sectPr>
      </w:pP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March 1997 to November 1999, our common stock, $0.02 par value per share, (“Common Stock”) was quoted on the Nasdaq National Market under the symbol EEFT. On November 8, 1999, our listing was shifted to the Nasdaq SmallCap Market. On July 3, 2002, our listing was again transferred to the Nasdaq National Market, now known as the Nasdaq Global Market. The following table sets forth the high and low daily closing prices during the quarter for our Common Stock for the quarters ended: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10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2"/>
                <w:szCs w:val="12"/>
                <w:color w:val="auto"/>
              </w:rPr>
            </w:pPr>
          </w:p>
        </w:tc>
        <w:tc>
          <w:tcPr>
            <w:tcW w:w="102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104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2"/>
                <w:szCs w:val="12"/>
                <w:color w:val="auto"/>
              </w:rPr>
            </w:pPr>
          </w:p>
        </w:tc>
        <w:tc>
          <w:tcPr>
            <w:tcW w:w="102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$35.00</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$24.22</w:t>
            </w:r>
          </w:p>
        </w:tc>
        <w:tc>
          <w:tcPr>
            <w:tcW w:w="5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$29.63</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$37.97</w:t>
            </w:r>
          </w:p>
        </w:tc>
        <w:tc>
          <w:tcPr>
            <w:tcW w:w="1520" w:type="dxa"/>
            <w:vAlign w:val="bottom"/>
            <w:gridSpan w:val="2"/>
          </w:tcPr>
          <w:p>
            <w:pPr>
              <w:jc w:val="right"/>
              <w:ind w:right="219"/>
              <w:spacing w:after="0"/>
              <w:rPr>
                <w:sz w:val="20"/>
                <w:szCs w:val="20"/>
                <w:color w:val="auto"/>
              </w:rPr>
            </w:pPr>
            <w:r>
              <w:rPr>
                <w:rFonts w:ascii="Arial" w:cs="Arial" w:eastAsia="Arial" w:hAnsi="Arial"/>
                <w:sz w:val="18"/>
                <w:szCs w:val="18"/>
                <w:color w:val="auto"/>
              </w:rPr>
              <w:t>$23.70</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$31.87</w:t>
            </w:r>
          </w:p>
        </w:tc>
        <w:tc>
          <w:tcPr>
            <w:tcW w:w="1520" w:type="dxa"/>
            <w:vAlign w:val="bottom"/>
            <w:gridSpan w:val="2"/>
          </w:tcPr>
          <w:p>
            <w:pPr>
              <w:jc w:val="right"/>
              <w:ind w:right="239"/>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$38.37</w:t>
            </w:r>
          </w:p>
        </w:tc>
        <w:tc>
          <w:tcPr>
            <w:tcW w:w="152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$32.68</w:t>
            </w:r>
          </w:p>
        </w:tc>
        <w:tc>
          <w:tcPr>
            <w:tcW w:w="15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$30.49</w:t>
            </w:r>
          </w:p>
        </w:tc>
        <w:tc>
          <w:tcPr>
            <w:tcW w:w="15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March 31</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$39.48</w:t>
            </w:r>
          </w:p>
        </w:tc>
        <w:tc>
          <w:tcPr>
            <w:tcW w:w="1520" w:type="dxa"/>
            <w:vAlign w:val="bottom"/>
            <w:gridSpan w:val="2"/>
          </w:tcPr>
          <w:p>
            <w:pPr>
              <w:jc w:val="right"/>
              <w:ind w:right="219"/>
              <w:spacing w:after="0"/>
              <w:rPr>
                <w:sz w:val="20"/>
                <w:szCs w:val="20"/>
                <w:color w:val="auto"/>
              </w:rPr>
            </w:pPr>
            <w:r>
              <w:rPr>
                <w:rFonts w:ascii="Arial" w:cs="Arial" w:eastAsia="Arial" w:hAnsi="Arial"/>
                <w:sz w:val="18"/>
                <w:szCs w:val="18"/>
                <w:color w:val="auto"/>
              </w:rPr>
              <w:t>$27.95</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$28.55</w:t>
            </w:r>
          </w:p>
        </w:tc>
        <w:tc>
          <w:tcPr>
            <w:tcW w:w="1520" w:type="dxa"/>
            <w:vAlign w:val="bottom"/>
            <w:gridSpan w:val="2"/>
          </w:tcPr>
          <w:p>
            <w:pPr>
              <w:jc w:val="right"/>
              <w:ind w:right="239"/>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Common Stock — 90,000,000 shares authorized and 37,440,027 shares outstanding as of December 31, 2006; and 60,000,000 million shares authorized and 35,776,431 shares outstanding as of December 31 2005.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$0.02 par value per share (“Preferred Stock”) — 10,000,000 voting shares authorized, but none have been issued.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 Certain of our credit facilities contain restrictions on the payment of dividends.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2006, we had 80 stockholders of record of our Common Stock and none of our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During August 2006, we entered into a purchase agreement with the former shareholders of Brodos SRL (“Brodos”) for the acquisition of all of the share capital of Brodos, which includes $2.5 million in contingent consideration. The acquisition closed in January 2007. The issuance of our Common Stock in connection with the Brodos acquisition is contingent upon Brodos achieving certain performance criteria during the years 2007 through 2010. If contingent consideration becomes payable, the sellers of Brodos have the right to elect payment in the form of cash or our Common Stock. If the sellers of Brodos select payment of the contingent consideration in Common Stock, then we will be required to issue 75,489 shares. When the shares of our Common Stock are issued, they will not be registered under the Securities Act of 1933 (the “Act”). Because the offer was, and potential future issuance of our Common Stock will be, made in an “offshore transaction” as contemplated by Regulation S promulgated under of the Act (“Regulation S”), the issuance of our Common Stock is exempt from registration pursuant to the exemption provided by Rule 903 of Regulation S. However, we have obligations under the purchase agreement to register for resale any shares of our Common Stock that may be issued as contingent consideration.</w:t>
      </w:r>
    </w:p>
    <w:p>
      <w:pPr>
        <w:spacing w:after="0" w:line="5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November 2006, we entered a purchase agreement to acquire all of the outstanding stock of RIA Envia, Inc. (“RIA”). As part of the consideration for the acquisition, we agreed to: issue to Sellers that number of shares of Euronet Common Stock equal to $110 million (valued based upon the average high and low prices of the Common Stock each trading day for the 30 trading days ending three trading days prior to the date of Closing); to grant to Sellers that number of stock appreciation rights (described below) with 18-month maturities as equal the number of shares of Common Stock issued at Closing having a value of $100 million and, upon exercise of such rights, to issue Common Stock in payment for such rights; and to grant to Sellers that number of contingent value rights (described below) with 18-month maturities as equal the number of shares of Common Stock issued at Closing having a value of $100 million and, upon settlement of such rights, to pay cash or issue Common Stock in payment for such rights. The delivery of the Common Stock (less certain hold backs), the stock appreciation rights and the contingent value rights will take place upon the Closing. The issuance of shares of Common Stock, stock appreciation rights and contingent value rights will not be registered under the Securities Act of 1933, as amended, in reliance upon Section 4(2) of the Securities Act of 1933, as amended, and Rule 506 promulgated thereunder, as a transaction by an issuer not involving a public offering. The securities will be issued to the two Sellers in a private transaction in which the Sellers have agreed to customary restrictions on resale. Under the Stock Purchase Agreement, Euronet has obligations to register for resale the shares of Common Stock issued under the Stock Purchase Agreement and the shares of Common Stock which may be issued upon exercise or settlement of the contingent value rights and stock appreciation rights.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type w:val="continuous"/>
        </w:sectPr>
      </w:pPr>
    </w:p>
    <w:bookmarkStart w:id="30" w:name="page31"/>
    <w:bookmarkEnd w:id="30"/>
    <w:p>
      <w:pPr>
        <w:spacing w:after="0" w:line="271" w:lineRule="auto"/>
        <w:rPr>
          <w:sz w:val="20"/>
          <w:szCs w:val="20"/>
          <w:color w:val="auto"/>
        </w:rPr>
      </w:pPr>
      <w:r>
        <w:rPr>
          <w:rFonts w:ascii="Arial" w:cs="Arial" w:eastAsia="Arial" w:hAnsi="Arial"/>
          <w:sz w:val="17"/>
          <w:szCs w:val="17"/>
          <w:u w:val="single" w:color="auto"/>
          <w:color w:val="auto"/>
        </w:rPr>
        <w:t>Conversion Features of Stock Appreciation Rights</w:t>
      </w:r>
      <w:r>
        <w:rPr>
          <w:rFonts w:ascii="Arial" w:cs="Arial" w:eastAsia="Arial" w:hAnsi="Arial"/>
          <w:sz w:val="17"/>
          <w:szCs w:val="17"/>
          <w:color w:val="auto"/>
        </w:rPr>
        <w:t xml:space="preserve"> – The stock appreciation rights will be exercisable at any time and from time to time during the 18 months after Closing, subject to earlier termination in the event of a transaction involving a sale of Euronet. Each stock appreciation right entitles the holder to additional shares of Common Stock with a value equal to the increase in the value of one share of Euronet Common Stock from the Closing until the date of exercise of the stock appreciation right. The value of the Common Stock on the date of exercise (and the value of the Common Stock issued upon exercise of the stock appreciation right) is based upon the average high and low prices of the Common Stock each trading day for the 30 trading days ending three trading days prior to the exercise date. The Stock Purchase Agreement and the Stock Appreciation Agreement provide that in no event may the number of shares of Common Stock issued under the Stock Purchase Agreement, upon exercise of the stock appreciation rights and upon settlement of the contingent value rights, exceed 19.9% of the outstanding Common Stock of Euronet as of November 21, 2006.</w:t>
      </w:r>
    </w:p>
    <w:p>
      <w:pPr>
        <w:spacing w:after="0" w:line="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u w:val="single" w:color="auto"/>
          <w:color w:val="auto"/>
        </w:rPr>
        <w:t>Conversion Features of the Contingent Value Rights</w:t>
      </w:r>
      <w:r>
        <w:rPr>
          <w:rFonts w:ascii="Arial" w:cs="Arial" w:eastAsia="Arial" w:hAnsi="Arial"/>
          <w:sz w:val="17"/>
          <w:szCs w:val="17"/>
          <w:color w:val="auto"/>
        </w:rPr>
        <w:t xml:space="preserve"> – The contingent value rights mature 18 months after Closing, or earlier in the event of a transaction involving a sale of Euronet. At maturity, for each contingent value right, (a) if the value of the Common Stock has not changed or has declined from the Closing to the maturity date, Euronet will be required to pay to the Sellers an amount equal to 20% of the value of the Common Stock as of Closing, (b) if the value of the Common Stock at the maturity date exceeds the value at Closing but is less than 120% of the value at Closing, Euronet will be required to pay to the Sellers an amount equal to 120% of the value at Closing minus the value at the maturity date, and (c) if the value of the Common Stock at the maturity date exceeds 120% of the value at Closing, no payment will be made. Any amounts payable under (a) or (b) will be reduced by any proceeds received by the holders from the exercise of the stock appreciation right relating to the same underlying share of Common Stock for which the contingent value right was granted. Such payments may be made by Euronet, in its sole discretion, in cash or in Common Stock and will not exceed $20 million. The value of the Common Stock on the date of exercise (and the value of the Common Stock, if any, issued upon settlement of the contingent value rights) is based upon the average high and low prices of the Common Stock each trading day for the 30 trading days ending three trading days prior to the exercise date. The Contingent Value Rights Agreement contains restrictions on certain transactions by the holders of contingent value rights in Common Stock and in certain securities and instruments relating to the Common Stock.</w:t>
      </w:r>
    </w:p>
    <w:p>
      <w:pPr>
        <w:spacing w:after="0" w:line="7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During February 2007, we issued 275,429 shares of our Common Stock, valued at approximately $7.6 million, to the former shareholders of Omega Logic, Ltd. (“Omega Logic”), as a portion of the consideration for all the share capital of Omega Logic. The shares of our Common Stock were not registered under the Act at the time of issuance. Because both the offer and issuance of our Common Stock was made in an “offshore transaction” as contemplated by Regulation S, the issuance of our Common Stock in this transaction was exempt from registration pursuant to the exemption provided by Rule 903 of Regulation S. However, in accordance with our obligations under the Omega Logic purchase agreement, we have committed to file a registration statement with the SEC to enable the public resale of the Common Stock received by the sellers of Omega Logic by April 30, 2007. If we do not meet this deadline, we may be required to pay to the sellers of Omega Logic an additional amount if the average closing trading price for our Common Stock for the 30 calendar days ending on the actual date of registration is lower than the lower of (i) the average closing trading price for our Common Stock for the 30 calendar days ending on the day 2 days before the closing date or (ii) the average closing trading price for our Common Stock for the 30 calendar days ending on April 30, 2007. This additional amount, if any, shall be payable at our option either in cash or shares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Set forth below is a graph comparing the total cumulative return on the Common Stock from December 31, 2001 through December 29, 2006 with the Center for Research in Security Prices (“CRSP”) Total Returns Index for U.S. companies traded on the Nasdaq Stock Market (the “Market Group”) and an index group of peer companies, the CRSP Total Returns Index for U.S. Nasdaq Financial Stocks (the “Peer Group”). The companies in each of the Market Group and the Peer Group were weighted by market capitalization. Returns are based on monthly changes in price and assume reinvested dividends. These calculations assume the value of an investment in the Common Stock, the Market Group and the Peer Group was $100 on December 31, 2001. Our Common Stock is traded on the Nasdaq Global Market under the symbol EEFT.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Comparsion of Five-Year Cumulative Total Returns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Produced on 02/01/2007 including data to 12/29/2006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83185</wp:posOffset>
            </wp:positionV>
            <wp:extent cx="5085715" cy="3430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85715" cy="343027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right="320"/>
        <w:spacing w:after="0" w:line="277" w:lineRule="auto"/>
        <w:rPr>
          <w:sz w:val="20"/>
          <w:szCs w:val="20"/>
          <w:color w:val="auto"/>
        </w:rPr>
      </w:pPr>
      <w:r>
        <w:rPr>
          <w:rFonts w:ascii="Arial" w:cs="Arial" w:eastAsia="Arial" w:hAnsi="Arial"/>
          <w:sz w:val="18"/>
          <w:szCs w:val="18"/>
          <w:color w:val="auto"/>
        </w:rPr>
        <w:t>Prepared by CRSP (www.crsp.uchicago.edu), Center for Research in Security Prices, Graduate School of Business, The University of Chicago. Used with permissin. All right reserved.</w:t>
      </w:r>
    </w:p>
    <w:p>
      <w:pPr>
        <w:spacing w:after="0" w:line="170"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13850</w:t>
      </w:r>
      <w:r>
        <w:rPr>
          <w:sz w:val="20"/>
          <w:szCs w:val="20"/>
          <w:color w:val="auto"/>
        </w:rPr>
        <w:tab/>
      </w:r>
      <w:r>
        <w:rPr>
          <w:rFonts w:ascii="Arial" w:cs="Arial" w:eastAsia="Arial" w:hAnsi="Arial"/>
          <w:sz w:val="16"/>
          <w:szCs w:val="16"/>
          <w:color w:val="auto"/>
        </w:rPr>
        <w:t>Copyright 2007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2006.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72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1"/>
              </w:rPr>
              <w:t>Weighted average</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720" w:type="dxa"/>
            <w:vAlign w:val="bottom"/>
            <w:gridSpan w:val="3"/>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7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2"/>
                <w:szCs w:val="12"/>
                <w:color w:val="auto"/>
              </w:rPr>
            </w:pP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tcPr>
          <w:p>
            <w:pPr>
              <w:spacing w:after="0"/>
              <w:rPr>
                <w:sz w:val="12"/>
                <w:szCs w:val="12"/>
                <w:color w:val="auto"/>
              </w:rPr>
            </w:pPr>
          </w:p>
        </w:tc>
        <w:tc>
          <w:tcPr>
            <w:tcW w:w="2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 and rights</w:t>
            </w:r>
          </w:p>
        </w:tc>
        <w:tc>
          <w:tcPr>
            <w:tcW w:w="17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options and rights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(b)</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Stock option awards</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2,213,889</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13.66</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share awards</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1,038,675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3,252,564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80" w:type="dxa"/>
            <w:vAlign w:val="bottom"/>
            <w:vMerge w:val="restart"/>
          </w:tcPr>
          <w:p>
            <w:pPr>
              <w:jc w:val="right"/>
              <w:ind w:right="49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summary consolidated financial data set forth below has been derived from, and is qualified by reference to, our audited Consolidated Financial Statements and the notes thereto, prepared in conformity with accounting principles generally accepted in the United States (“U.S. GAAP”), which have been audited by KPMG LLP in the U.S. for the years ended 2003 through 2006, and KPMG Polska Sp. z o.o. in Poland for the year ended 2002, and should not be relied upon as an indication of future performance. We believe that the period-to-period comparisons of our financial results are not necessarily meaningful due to certain significant transactions, including numerous acquisitions (See Note 4 – Acquisitions to the Consolidated Financial Statements) and the 2003 sale of our U.K. subsidiary. The following information should be read in conjunction with Item 7 – Management’s Discussion and Analysis of Financial Condition and Results of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7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gridSpan w:val="2"/>
          </w:tcPr>
          <w:p>
            <w:pPr>
              <w:spacing w:after="0"/>
              <w:rPr>
                <w:sz w:val="20"/>
                <w:szCs w:val="20"/>
                <w:color w:val="auto"/>
              </w:rPr>
            </w:pPr>
            <w:r>
              <w:rPr>
                <w:rFonts w:ascii="Arial" w:cs="Arial" w:eastAsia="Arial" w:hAnsi="Arial"/>
                <w:sz w:val="14"/>
                <w:szCs w:val="14"/>
                <w:color w:val="auto"/>
              </w:rPr>
              <w:t>(in thousands, except for summary network data)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321,058</w:t>
            </w: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$ 219,932</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$ 124,198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19,245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80,703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73,942</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69,300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58,280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 PINs and other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49,511</w:t>
            </w: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25,595</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18,949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Trade accounts receivable,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212,631</w:t>
            </w:r>
          </w:p>
        </w:tc>
        <w:tc>
          <w:tcPr>
            <w:tcW w:w="6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166,451</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118,360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77,192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24,568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23,023</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13,959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688,471</w:t>
            </w: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508,943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344,766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167,044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39,866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55,174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44,852</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39,907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278,743</w:t>
            </w:r>
          </w:p>
        </w:tc>
        <w:tc>
          <w:tcPr>
            <w:tcW w:w="6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267,195</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183,668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88,512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47,539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50,724</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28,930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Other assets,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38,212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22,638</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21,204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4,787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1,108,139</w:t>
            </w: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$ 894,352</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$ 618,475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303,773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66,559</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404,110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$ 327,323</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$ 293,183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151,926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Debt obligations, net of current portion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349,073</w:t>
            </w:r>
          </w:p>
        </w:tc>
        <w:tc>
          <w:tcPr>
            <w:tcW w:w="6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315,000</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140,000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55,792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Capital lease obligations, excluding current installments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13,409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12,229</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16,894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Non-current deferred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43,071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25,157</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17,520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7,828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1,161</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8,350</w:t>
            </w:r>
          </w:p>
        </w:tc>
        <w:tc>
          <w:tcPr>
            <w:tcW w:w="6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7,129</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5,871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819,824</w:t>
            </w: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687,999</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476,561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221,904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60,388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288,315</w:t>
            </w:r>
          </w:p>
        </w:tc>
        <w:tc>
          <w:tcPr>
            <w:tcW w:w="6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206,353</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141,914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81,869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1,108,139</w:t>
            </w: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$ 894,352</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$ 618,475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303,773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66,559</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Summary network data:</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0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Number of operational ATMs at end of period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7,211</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w w:val="95"/>
              </w:rPr>
              <w:t>EFT processing transactions during the period (millions)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463.6</w:t>
            </w:r>
          </w:p>
        </w:tc>
        <w:tc>
          <w:tcPr>
            <w:tcW w:w="6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361.5</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232.5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114.7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Number of operational prepaid processing POS at end of</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period (rounded)</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6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237,000</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175,000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126,000</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ind w:left="200"/>
              <w:spacing w:after="0" w:line="201" w:lineRule="exact"/>
              <w:rPr>
                <w:sz w:val="20"/>
                <w:szCs w:val="20"/>
                <w:color w:val="auto"/>
              </w:rPr>
            </w:pPr>
            <w:r>
              <w:rPr>
                <w:rFonts w:ascii="Arial" w:cs="Arial" w:eastAsia="Arial" w:hAnsi="Arial"/>
                <w:sz w:val="18"/>
                <w:szCs w:val="18"/>
                <w:color w:val="auto"/>
              </w:rPr>
              <w:t>Prepaid processing transactions during the period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400"/>
              <w:spacing w:after="0"/>
              <w:rPr>
                <w:sz w:val="20"/>
                <w:szCs w:val="20"/>
                <w:color w:val="auto"/>
              </w:rPr>
            </w:pPr>
            <w:r>
              <w:rPr>
                <w:rFonts w:ascii="Arial" w:cs="Arial" w:eastAsia="Arial" w:hAnsi="Arial"/>
                <w:sz w:val="18"/>
                <w:szCs w:val="18"/>
                <w:color w:val="auto"/>
              </w:rPr>
              <w:t>(millions)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458.1</w:t>
            </w:r>
          </w:p>
        </w:tc>
        <w:tc>
          <w:tcPr>
            <w:tcW w:w="6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348.1</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228.6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2005 (1)</w:t>
            </w:r>
          </w:p>
        </w:tc>
        <w:tc>
          <w:tcPr>
            <w:tcW w:w="140" w:type="dxa"/>
            <w:vAlign w:val="bottom"/>
          </w:tcPr>
          <w:p>
            <w:pPr>
              <w:spacing w:after="0"/>
              <w:rPr>
                <w:sz w:val="14"/>
                <w:szCs w:val="14"/>
                <w:color w:val="auto"/>
              </w:rPr>
            </w:pPr>
          </w:p>
        </w:tc>
        <w:tc>
          <w:tcPr>
            <w:tcW w:w="1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Year Ended 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2003 (1)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2002 (1)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gridSpan w:val="2"/>
          </w:tcPr>
          <w:p>
            <w:pPr>
              <w:spacing w:after="0"/>
              <w:rPr>
                <w:sz w:val="20"/>
                <w:szCs w:val="20"/>
                <w:color w:val="auto"/>
              </w:rPr>
            </w:pPr>
            <w:r>
              <w:rPr>
                <w:rFonts w:ascii="Arial" w:cs="Arial" w:eastAsia="Arial" w:hAnsi="Arial"/>
                <w:sz w:val="14"/>
                <w:szCs w:val="14"/>
                <w:color w:val="auto"/>
              </w:rPr>
              <w:t>(in thousands, except for share and per share data)</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11"/>
              <w:spacing w:after="0"/>
              <w:rPr>
                <w:sz w:val="20"/>
                <w:szCs w:val="20"/>
                <w:color w:val="auto"/>
              </w:rPr>
            </w:pPr>
            <w:r>
              <w:rPr>
                <w:rFonts w:ascii="Arial" w:cs="Arial" w:eastAsia="Arial" w:hAnsi="Arial"/>
                <w:sz w:val="14"/>
                <w:szCs w:val="14"/>
                <w:b w:val="1"/>
                <w:bCs w:val="1"/>
                <w:color w:val="auto"/>
              </w:rPr>
              <w:t>2004 (1)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Revenues: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EFT Processing Segment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130,748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105,551</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77,600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52,752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Prepaid Processing Segment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470,861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411,279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289,810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136,185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Software Solutions Segment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15,470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531,159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381,080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204,407</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Direct operating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435,476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370,758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264,602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132,357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benefits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47,370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36,373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38,101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31,489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23,578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15,489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576,883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483,382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351,351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196,281</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52,298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29,729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439"/>
        </w:trPr>
        <w:tc>
          <w:tcPr>
            <w:tcW w:w="410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(14,747)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(8,459)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facility sublease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Gain on sale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18,045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Loss on early retirement of debt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600"/>
              <w:spacing w:after="0"/>
              <w:rPr>
                <w:sz w:val="20"/>
                <w:szCs w:val="20"/>
                <w:color w:val="auto"/>
              </w:rPr>
            </w:pPr>
            <w:r>
              <w:rPr>
                <w:rFonts w:ascii="Arial" w:cs="Arial" w:eastAsia="Arial" w:hAnsi="Arial"/>
                <w:sz w:val="18"/>
                <w:szCs w:val="18"/>
                <w:color w:val="auto"/>
              </w:rPr>
              <w:t>Total other income (expense)</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6"/>
              </w:rPr>
              <w:t>Income (loss) from continuing operations before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 and minority interest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62,127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38,882</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24,428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(14,843)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(14,976)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(11,518)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600"/>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ind w:left="200"/>
              <w:spacing w:after="0" w:line="201" w:lineRule="exact"/>
              <w:rPr>
                <w:sz w:val="20"/>
                <w:szCs w:val="20"/>
                <w:color w:val="auto"/>
              </w:rPr>
            </w:pPr>
            <w:r>
              <w:rPr>
                <w:rFonts w:ascii="Arial" w:cs="Arial" w:eastAsia="Arial" w:hAnsi="Arial"/>
                <w:sz w:val="18"/>
                <w:szCs w:val="18"/>
                <w:color w:val="auto"/>
                <w:w w:val="95"/>
              </w:rPr>
              <w:t>Income (loss) from operations of discontinued U.S.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and France components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(635)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600"/>
              <w:spacing w:after="0"/>
              <w:rPr>
                <w:sz w:val="20"/>
                <w:szCs w:val="20"/>
                <w:color w:val="auto"/>
              </w:rPr>
            </w:pPr>
            <w:r>
              <w:rPr>
                <w:rFonts w:ascii="Arial" w:cs="Arial" w:eastAsia="Arial" w:hAnsi="Arial"/>
                <w:sz w:val="18"/>
                <w:szCs w:val="18"/>
                <w:color w:val="auto"/>
              </w:rPr>
              <w:t>Income (loss) from discontinued operations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 basic:</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37,037,435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35,020,499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31,267,617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26,463,831</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23,156,129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 diluted: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0.62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0.39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42,456,137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36,831,320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33,351,648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28,400,895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23,156,129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35" w:name="page36"/>
    <w:bookmarkEnd w:id="35"/>
    <w:p>
      <w:pPr>
        <w:ind w:right="14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COMPANY OVERVIEW, GEOGRAPHIC LOCATIONS AND PRINCIPAL PRODUCTS AND SERVICES</w:t>
      </w:r>
    </w:p>
    <w:p>
      <w:pPr>
        <w:ind w:right="100"/>
        <w:spacing w:after="0" w:line="279" w:lineRule="auto"/>
        <w:rPr>
          <w:sz w:val="20"/>
          <w:szCs w:val="20"/>
          <w:color w:val="auto"/>
        </w:rPr>
      </w:pPr>
      <w:r>
        <w:rPr>
          <w:rFonts w:ascii="Arial" w:cs="Arial" w:eastAsia="Arial" w:hAnsi="Arial"/>
          <w:sz w:val="17"/>
          <w:szCs w:val="17"/>
          <w:color w:val="auto"/>
        </w:rPr>
        <w:t>Euronet Worldwide, Inc. (“Euronet” or the “Company”) is a leading electronic transaction processor, offering ATM and POS outsourcing services, integrated electronic financial transaction (“EFT”) software, network gateways and electronic prepaid top-up services to financial institutions, mobile operators and retailers, as well as electronic consumer money transfer and bill payment services. We operate the largest independent pan-European ATM network, the largest national shared ATM network in India, and we are one of the largest providers of prepaid mobile airtime processing.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three principal business segments:</w:t>
      </w:r>
    </w:p>
    <w:p>
      <w:pPr>
        <w:spacing w:after="0" w:line="117" w:lineRule="exact"/>
        <w:rPr>
          <w:sz w:val="20"/>
          <w:szCs w:val="20"/>
          <w:color w:val="auto"/>
        </w:rPr>
      </w:pPr>
    </w:p>
    <w:p>
      <w:pPr>
        <w:ind w:left="660" w:right="260" w:hanging="436"/>
        <w:spacing w:after="0" w:line="259"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 EFT Processing Segment, in which we process transactions for a network of 8,885 ATMs and more than 44,000 POS terminals across Europe, Asia and Africa. We provide comprehensive electronic payment solutions consisting of ATM network participation, outsourced ATM and POS management solutions, credit card outsourcing and electronic recharge services (for prepaid mobile airtime via an ATM or directly from the handset).</w:t>
      </w:r>
    </w:p>
    <w:p>
      <w:pPr>
        <w:spacing w:after="0" w:line="92" w:lineRule="exact"/>
        <w:rPr>
          <w:rFonts w:ascii="Arial" w:cs="Arial" w:eastAsia="Arial" w:hAnsi="Arial"/>
          <w:sz w:val="18"/>
          <w:szCs w:val="18"/>
          <w:b w:val="1"/>
          <w:bCs w:val="1"/>
          <w:color w:val="auto"/>
        </w:rPr>
      </w:pPr>
    </w:p>
    <w:p>
      <w:pPr>
        <w:ind w:left="660" w:right="60" w:hanging="436"/>
        <w:spacing w:after="0" w:line="276" w:lineRule="auto"/>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A Prepaid Processing Segment, through which we provide distribution of prepaid mobile airtime and other prepaid products and collections services for various prepaid products, cards and services. Including terminals owned by unconsolidated subsidiaries, we operate a network of more than 296,000 POS terminals providing electronic processing of prepaid mobile airtime top-up services in the U.S., Europe, Africa and Asia Pacific. This segment also includes Euronet Payments &amp; Remittance, Inc. (“Euronet Payments &amp; Remittance”), which provides money transfer services to customers from the U.S. to destinations primarily in Latin America, and bill payment services to customers within the U.S.</w:t>
      </w:r>
    </w:p>
    <w:p>
      <w:pPr>
        <w:spacing w:after="0" w:line="77" w:lineRule="exact"/>
        <w:rPr>
          <w:rFonts w:ascii="Arial" w:cs="Arial" w:eastAsia="Arial" w:hAnsi="Arial"/>
          <w:sz w:val="17"/>
          <w:szCs w:val="17"/>
          <w:b w:val="1"/>
          <w:bCs w:val="1"/>
          <w:color w:val="auto"/>
        </w:rPr>
      </w:pPr>
    </w:p>
    <w:p>
      <w:pPr>
        <w:ind w:left="660" w:right="10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Software Solutions Segment, through which we offer a suite of integrated EFT software solutions for electronic payment and transaction delivery systems.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seven processing centers in Europe, two in Asia and one in the U.S., and we have 17 principal offices in Europe, four in the Asia-Pacific region, four in the U.S. and one in the Middle East. Our executive offices are located in Leawood, Kansas, USA. With approximately 84% of our revenues denominated in currencies other than the U.S. dollar, any significant changes in currency exchange rates will likely have a significant impact on our growth in revenues, operating income and diluted earnings per share (for more discussion, see Item 1A – Risk Factors and Item 7A – Quantitative and Qualitative Disclosure About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represents approximately 21% of total consolidated revenue for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2006, is derived from fees charged for transactions effected by cardholders on our proprietary network of ATMs, as well as fixed management fees and transaction fees we charge to banks for operating ATMs and processing credit cards under outsourcing agreements.</w:t>
      </w:r>
    </w:p>
    <w:p>
      <w:pPr>
        <w:spacing w:after="0" w:line="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Through our proprietary network, we generally charge fees for four types of ATM transactions: i) cash withdrawals, ii) balance inquiries, iii) transactions not completed because the relevant card issuer does not give authorization, and iv) prepaid telecommunication recharges.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year ended December 31, 2006, approximately 26% of total segment revenue was derived from ATMs we owned (excluding those leased by us in connection with outsourcing agreements, as discussed below) and the remainder was primarily derived from ATMs that we operate for banks on an outsourced basis. The percentage of revenues we generate from our proprietary network of ATMs continues to fall as we shift from a largely proprietary, Euronet-owned ATM network, to a greater focus on ATMs operated under outsourcing agreements. This shift will continue to provide lower total revenues, but higher marginal returns on investment. This is because we bear all costs of owning and operating ATMs on our proprietary network, including the capital investment represented by the cost of the ATMs themselves, whereas customer-owned ATMs operated under outsource service agreements require a nominal up-front capital investment because we do not purchase the ATMs. Additionally, in many instances operating costs are the responsibility of the owner and, therefore, recurring operating expenses per ATM are lower. In connection with certain long-term outsourcing agreements, we lease many of our ATMs under capital lease arrangements where, generally, we purchase a bank’s ATMs, and simultaneously sell the ATMs (often to an entity related to the bank). We then lease back the ATMs for purposes of fulfilling the ATM outsourcing agreement with the bank. We fully recover the related lease costs from the bank under the outsourcing agreements.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6" w:name="page37"/>
    <w:bookmarkEnd w:id="36"/>
    <w:p>
      <w:pPr>
        <w:spacing w:after="0" w:line="270" w:lineRule="auto"/>
        <w:rPr>
          <w:sz w:val="20"/>
          <w:szCs w:val="20"/>
          <w:color w:val="auto"/>
        </w:rPr>
      </w:pPr>
      <w:r>
        <w:rPr>
          <w:rFonts w:ascii="Arial" w:cs="Arial" w:eastAsia="Arial" w:hAnsi="Arial"/>
          <w:sz w:val="17"/>
          <w:szCs w:val="17"/>
          <w:i w:val="1"/>
          <w:iCs w:val="1"/>
          <w:color w:val="auto"/>
        </w:rPr>
        <w:t xml:space="preserve">Prepaid Processing Segment </w:t>
      </w:r>
      <w:r>
        <w:rPr>
          <w:rFonts w:ascii="Arial" w:cs="Arial" w:eastAsia="Arial" w:hAnsi="Arial"/>
          <w:sz w:val="17"/>
          <w:szCs w:val="17"/>
          <w:color w:val="auto"/>
        </w:rPr>
        <w:t>- Revenue in the Prepaid Processing Segment, which represents approximately 75% of total consolidated revenue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2006, is primarily derived from commissions and processing fees received from mobile and other telecommunication operators, or from distributors of prepaid wireless products for the distribution and/or processing of prepaid mobile airtime and other telecommunication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w:t>
      </w:r>
    </w:p>
    <w:p>
      <w:pPr>
        <w:spacing w:after="0" w:line="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Agreements with mobile operators are important to the success of our business. These agreements permit us to distribute prepaid mobile airtime to the mobile operators’ customers. The loss of any agreements with mobile operators in any market could materially and adversely affect our results.</w:t>
      </w:r>
    </w:p>
    <w:p>
      <w:pPr>
        <w:spacing w:after="0" w:line="3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Software Solutions Segment </w:t>
      </w:r>
      <w:r>
        <w:rPr>
          <w:rFonts w:ascii="Arial" w:cs="Arial" w:eastAsia="Arial" w:hAnsi="Arial"/>
          <w:sz w:val="16"/>
          <w:szCs w:val="16"/>
          <w:color w:val="auto"/>
        </w:rPr>
        <w:t>– Revenue in the Software Solutions Segment, which represents approximately 4% of total consolidated revenue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2006, is derived from licensing, professional services and maintenance fees for software and sales of related hardware. Software license fees are the initial fees we charge to license our proprietary application software to customers. Professional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five primary areas:</w:t>
      </w:r>
    </w:p>
    <w:p>
      <w:pPr>
        <w:spacing w:after="0" w:line="11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outsourced ATM and POS terminal management contracts;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transactions processed on our network of owned and operated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prepaid mobile airtime top-up processing services;</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money transfer and bill payment services, including completing the acquisition of RIA discussed below and under “—Liquidity – Other trends and uncertainties;”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development of our credit and debit card outsourcing business.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The continued expansion and development of our ATM business will depend on various factors including the following:</w:t>
      </w:r>
    </w:p>
    <w:p>
      <w:pPr>
        <w:spacing w:after="0" w:line="129"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entering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1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We carefully monitor the revenue and transactional growth of our ATM networks in each of our markets, and we adjust our plans depending on local market conditions, such as variations in the transaction fees we receive, competition, overall trends in ATM-transaction levels and performance of individual ATMs.</w:t>
      </w:r>
    </w:p>
    <w:p>
      <w:pPr>
        <w:spacing w:after="0" w:line="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approximately six to twelve months or longer. The process is further complicated by the legal and 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40"/>
        <w:spacing w:after="0" w:line="253" w:lineRule="auto"/>
        <w:rPr>
          <w:sz w:val="20"/>
          <w:szCs w:val="20"/>
          <w:color w:val="auto"/>
        </w:rPr>
      </w:pPr>
      <w:r>
        <w:rPr>
          <w:rFonts w:ascii="Arial" w:cs="Arial" w:eastAsia="Arial" w:hAnsi="Arial"/>
          <w:sz w:val="18"/>
          <w:szCs w:val="18"/>
          <w:color w:val="auto"/>
        </w:rPr>
        <w:t>In January 2006, through Jiayintong (Beijing) Technology Development Co. Ltd., our 75% owned joint venture with Ray Holdings in China, we entered into an ATM outsourcing pilot agreement with Postal Savings and Remittance Bureau (“PSRB”), a financial institution located and organized in China. Under the pilot agreement we deployed and are providing all of the day-to-day outsourcing services for a total of 87 ATMs in Beijing, Shanghai and Guangdong, the three largest commercial centers in China. Additionally, during the third quarter 2006, we signed an ATM outsourcing agreement with a leading multinational bank to deploy 50 ATMs in China beginning in January 2007. Our future success in China will depend on the willingness of PSRB or other financial institutions to outsource additional ATMs to us and our ability to take over, install and operate additional ATMs. We are the first, and currently the only, provider of end-to-end ATM outsourcing services in China and we have established a technical processing and operations center in Beijing to operate these ATMs. While we believe that we have the proper resources and skills in place to be successful, there can be no assurance that we will be successful in our ability to take over existing ATMs or install new ATMs as expected by PSRB or others. All start up costs for this joint venture have been expensed as incurred.</w:t>
      </w:r>
    </w:p>
    <w:p>
      <w:pPr>
        <w:spacing w:after="0" w:line="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are also in the process of evaluating potential opportunities in cross-border merchant processing and acquiring and intend to enter this business either through the development of the necessary processing systems or through acquisition of a company or companies that conduct this business. Merchant acquiring involves processing credit and debit card transactions that are made on POS terminals, including authorization, settlement, and processing of settlement files. It may involve the assumption of credit risk, as the principal amount of transactions may be settled to merchants before settlements are received from card associations. The entry into this business by Euronet will involve investment into infrastructure, including hardware, software and hiring of staff with specialized skills.</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We currently offer prepaid mobile phone top-up services in the U.S., Europe, Africa and Asia Pacific; money transfer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customers from the U.S. to destinations primarily in Latin America, and bill payment services to customers in the U.S., U.K. and Poland. We plan to expand our top-up business in these and other markets by taking advantage of our existing expertise together with relationships with mobile phone operators and retailers. We plan to expand our card-based money transfer and bill payment services by offering the product on many of our existing POS terminals in the U.S. and internationally.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Expansion will depend on various factors, including, but not necessarily limited to, the following:</w:t>
      </w:r>
    </w:p>
    <w:p>
      <w:pPr>
        <w:spacing w:after="0" w:line="11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for other markets with mobile phone operators, agent banks and retailers;</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 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obtain money transfer licenses to operate in many of the states within the U.S. and internationally;</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rapidly maximize the number of agents and retailers who sell our card-based money transfer and bill payment product in the U.S. and internationally;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mature markets, such as the U.K., Australia, Spain and Ireland, the conversion from scratch cards to electronic forms of distribution is either complete or nearing completion. Because of this factor, we are likely to cease experiencing the organic increases in the number of transactions per terminal that we have experienced historically. Also in mature markets, competition among prepaid distributors results in the increase of commissions paid to retailers and increases in retailer attrition rates. The combined impact of these factors in developed markets is a flattening of growth in the revenues and profits that we earn. In other markets in which we operate, such as Poland, Germany and the U.S., many of the factors that may contribute to rapid growth (conversion from scratch cards to electronic distribution, growth in the prepaid market, expansion of our network of retailers and access to all mobile operators’ products) remain present.</w:t>
      </w:r>
    </w:p>
    <w:p>
      <w:pPr>
        <w:spacing w:after="0" w:line="57"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To expand our money transfer and bill payment services business, during the fourth quarter 2006 we agreed to acquire the stock of RIA Envia, Inc. (“RIA”), subject to regulatory approvals and other customary closing conditions. The purchase price is comprised of $380 million in cash, $110 million in Euronet Common Stock and certain contingent value and stock appreciation rights. RIA is the third largest global money transfer company and processes approximately $4.5 billion in money transfers annually. RIA originates transactions through a network of 10,000 sending agents and 98 company-owned stores located throughout 13 countries in North America, the Caribbean, Europe and Asia and terminating transactions through a payer network of over</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32,000 locations across 82 countries. The acquisition is expected to create significant cross-selling opportunities on our network of more than 161,000 prepaid top up locations and to provide prepaid services through RIA’s stores and agents worldwide. Additionally, we expect to leverage our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60"/>
        <w:spacing w:after="0" w:line="277" w:lineRule="auto"/>
        <w:rPr>
          <w:sz w:val="20"/>
          <w:szCs w:val="20"/>
          <w:color w:val="auto"/>
        </w:rPr>
      </w:pPr>
      <w:r>
        <w:rPr>
          <w:rFonts w:ascii="Arial" w:cs="Arial" w:eastAsia="Arial" w:hAnsi="Arial"/>
          <w:sz w:val="18"/>
          <w:szCs w:val="18"/>
          <w:color w:val="auto"/>
        </w:rPr>
        <w:t>banking and merchant/retailer relationships to expand money transfer services to corridors across Europe and Asia, including high growth corridors to central and eastern European countries. We expect this acquisition to close during the first half of 2007.</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Additionally, growth in our existing Euronet Payments &amp; Remittance business will be driven by the continuation of global worker migration patterns, our ability to manage rapid growth, our ability to maximize the opportunity to sell our card-based product over our existing POS terminals in the U.S. and internationally, and our ability to obtain licenses to operate in many of the states within the U.S. as well as other countries. While we are currently focused on the U.S. and Latin America market, we plan to expand our money transfer services to other markets. We are focusing on increasing our sending locations in existing licensed states and obtaining licenses to operate in other key states. We have expanded these operations from the original three states into nineteen additional states. We also have three other states where we are preparing to introduce these services and three additional states where licenses are pending approval. Expansion of our money transfer business internationally will require resolution of numerous licensing and regulatory issues in each market we intend to develop and no assurance can be given that these issues will be resolved.</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Agreement to acquire La Nacional</w:t>
      </w:r>
      <w:r>
        <w:rPr>
          <w:rFonts w:ascii="Arial" w:cs="Arial" w:eastAsia="Arial" w:hAnsi="Arial"/>
          <w:sz w:val="18"/>
          <w:szCs w:val="18"/>
          <w:color w:val="auto"/>
        </w:rPr>
        <w:t xml:space="preserve"> — During January 2007, we signed a stock purchase agreement to acquire La Nacional, subject to regulatory approvals and other customary closing conditions. La Nacional is a money transfer company originating transactions through a network of sending agents and company-owned stores, located primarily in the Northeastern U.S., and terminating transactions through a worldwide payer network, primarily in the Dominican Republic. In addition to gaining a significant share of the U.S. to Dominican Republic money transfer corridor, the La Nacional acquisition will strengthen our retail presence in the Northeastern U.S. In connection with signing the agreement, we deposited funds in an escrow account created for the proposed acquisition. The escrowed funds can only be released by mutual agreement of the Company and La Nacional or through legal remedies available in the agreement.</w:t>
      </w:r>
    </w:p>
    <w:p>
      <w:pPr>
        <w:spacing w:after="0" w:line="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become aware that on February 6, 2007, two employees of La Nacional working in different La Nacional stores were arrested for allegedly violating federal money laundering laws and certain state statutes. We are currently gathering additional information to assess the impact of these arrests on La Nacional and on our potential acquisition of that company. The outcome of our analysis is currently uncertain. No assurance can be given that we will close the La Nacional acquisition. See “Management Discussion and Analysis — Liquidity and Capital Resources — Other trends and uncertainties.”</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February 2007, we completed the acquisition of the stock of Omega Logic, Ltd. (“Omega Logic”). Omega Logic is a prepaid top-up company based, and primarily operating, in the U.K. This acquisition will enhance our Prepaid Processing Segment business in the U.K.</w:t>
      </w:r>
    </w:p>
    <w:p>
      <w:pPr>
        <w:spacing w:after="0" w:line="62"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i w:val="1"/>
          <w:iCs w:val="1"/>
          <w:color w:val="auto"/>
        </w:rPr>
        <w:t xml:space="preserve">Software Solutions Segment </w:t>
      </w:r>
      <w:r>
        <w:rPr>
          <w:rFonts w:ascii="Arial" w:cs="Arial" w:eastAsia="Arial" w:hAnsi="Arial"/>
          <w:sz w:val="16"/>
          <w:szCs w:val="16"/>
          <w:color w:val="auto"/>
        </w:rPr>
        <w:t>– Software products are an integral part of our product lines, and our investment in research, development, delivery and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reflects our ongoing commitment to an expanded customer base. We have been able to enter into agreements under which we use our software in lieu of cash as our initial capital contributions to new transaction processing joint ventures. Such contribution sometimes permits us to enter new markets without significant capital investment. Additionally, this segment supports our EFT Processing Segment and is a valuable element of our overall business strategy.</w:t>
      </w:r>
    </w:p>
    <w:p>
      <w:pPr>
        <w:spacing w:after="0" w:line="2"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competitive factors in the Software Solutions business include price, technology development and the ability of software systems to interact with other leading products. Our success is dependent on our ability to design and implement software applications. Technical disruptions or errors in these systems could have a material adverse impact on our revenue and financial results. We also expanded the Software Solutions Segment through the January 2006 acquisition of Essentis. This acquisition allows us to offer additional outsourcing and software products to financial institutions.</w:t>
      </w:r>
    </w:p>
    <w:p>
      <w:pPr>
        <w:spacing w:after="0" w:line="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division,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includes non-operating results, certain inter-segment eliminations and the cost of providing corporate and other administrative services to the business segments, including share-based compensation expense related to most option and restricted stock grants. These services are not directly identifiable with our business segments.</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evaluate performance of our segments based on income or loss from continuing operations before income taxes, foreign currency exchange gain (loss), minority interest and other nonrecurring gains and losses. The impact of share-based compensation is recorded as an expense of the Corporate Services division, with certain limited exceptions related to grants of restricted stock to key members of management that vest based on the achievement of performance criteria by our subsidiaries.</w:t>
      </w:r>
    </w:p>
    <w:p>
      <w:pPr>
        <w:spacing w:after="0" w:line="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accounting policies of each segment are the same as those referenced in the summary of significant accounting policies (see Note 3 – Summary of Significant Accounting Policies and Practices to the Consolidated Financial Statements). We evaluate performance of our segments based on income or loss from continuing operations before income taxes, foreign currency exchange gain (loss), minority interest and other nonrecurring gains and losses.</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rapid growth has required us to expand our operating systems and employee base, particularly at the management level, which has added incremental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ind w:right="100"/>
        <w:spacing w:after="0" w:line="264" w:lineRule="auto"/>
        <w:rPr>
          <w:sz w:val="20"/>
          <w:szCs w:val="20"/>
          <w:color w:val="auto"/>
        </w:rPr>
      </w:pPr>
      <w:r>
        <w:rPr>
          <w:rFonts w:ascii="Arial" w:cs="Arial" w:eastAsia="Arial" w:hAnsi="Arial"/>
          <w:sz w:val="18"/>
          <w:szCs w:val="18"/>
          <w:color w:val="auto"/>
        </w:rPr>
        <w:t>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2006, 2005 AND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3"/>
              </w:rPr>
              <w:t>Revenues</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7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8"/>
              </w:rPr>
              <w:t>2005 (1)</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91"/>
              </w:rPr>
              <w:t>2004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$ 130,748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$ 105,551</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31,846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25,569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Prepaid Processing</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470,861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411,279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289,810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34,771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34,711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28,188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629,797</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531,728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381,080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70,602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63,795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(17,833)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(16,018)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(616)</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$ 629,181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$ 531,159</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381,080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52,298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47,777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6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annual consolidated revenues increased 18% for 2006 over 2005, and 39% for 2005 over 2004. These increases reflect growth in both the EFT Processing and the Prepaid Processing Segments due to increases in the number of ATMs managed and transactions processed. Increases in transactions were due to growth from our existing business as well as from acquisitions completed during these years (See Note 4 – Acquisitions to the Consolidated Financial Statements).</w:t>
      </w:r>
    </w:p>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operating income increased 9% for 2006 over 2005, and 61%</w:t>
      </w:r>
      <w:r>
        <w:rPr>
          <w:rFonts w:ascii="Arial" w:cs="Arial" w:eastAsia="Arial" w:hAnsi="Arial"/>
          <w:sz w:val="15"/>
          <w:szCs w:val="15"/>
          <w:color w:val="auto"/>
        </w:rPr>
        <w:t>(1)</w:t>
      </w:r>
      <w:r>
        <w:rPr>
          <w:rFonts w:ascii="Arial" w:cs="Arial" w:eastAsia="Arial" w:hAnsi="Arial"/>
          <w:sz w:val="18"/>
          <w:szCs w:val="18"/>
          <w:color w:val="auto"/>
        </w:rPr>
        <w:t xml:space="preserve"> for 2005 over 2004. These increases were the result of growth in revenues generated by existing business and newly acquired businesses, the impact of acquisitions and leveraging the Company’s cost structure, particularly in the EFT Processing Segment.</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income for 2006 was $46.3 million, or $1.17 per diluted share, compared to net income of $22.4 million</w:t>
      </w:r>
      <w:r>
        <w:rPr>
          <w:rFonts w:ascii="Arial" w:cs="Arial" w:eastAsia="Arial" w:hAnsi="Arial"/>
          <w:sz w:val="13"/>
          <w:szCs w:val="13"/>
          <w:color w:val="auto"/>
        </w:rPr>
        <w:t>(1)</w:t>
      </w:r>
      <w:r>
        <w:rPr>
          <w:rFonts w:ascii="Arial" w:cs="Arial" w:eastAsia="Arial" w:hAnsi="Arial"/>
          <w:sz w:val="16"/>
          <w:szCs w:val="16"/>
          <w:color w:val="auto"/>
        </w:rPr>
        <w:t>, or $0.61</w:t>
      </w:r>
      <w:r>
        <w:rPr>
          <w:rFonts w:ascii="Arial" w:cs="Arial" w:eastAsia="Arial" w:hAnsi="Arial"/>
          <w:sz w:val="13"/>
          <w:szCs w:val="13"/>
          <w:color w:val="auto"/>
        </w:rPr>
        <w:t>(1)</w:t>
      </w:r>
      <w:r>
        <w:rPr>
          <w:rFonts w:ascii="Arial" w:cs="Arial" w:eastAsia="Arial" w:hAnsi="Arial"/>
          <w:sz w:val="16"/>
          <w:szCs w:val="16"/>
          <w:color w:val="auto"/>
        </w:rPr>
        <w:t xml:space="preserve"> per diluted share for 2005, and net income of $12.9 million</w:t>
      </w:r>
      <w:r>
        <w:rPr>
          <w:rFonts w:ascii="Arial" w:cs="Arial" w:eastAsia="Arial" w:hAnsi="Arial"/>
          <w:sz w:val="13"/>
          <w:szCs w:val="13"/>
          <w:color w:val="auto"/>
        </w:rPr>
        <w:t>(1)</w:t>
      </w:r>
      <w:r>
        <w:rPr>
          <w:rFonts w:ascii="Arial" w:cs="Arial" w:eastAsia="Arial" w:hAnsi="Arial"/>
          <w:sz w:val="16"/>
          <w:szCs w:val="16"/>
          <w:color w:val="auto"/>
        </w:rPr>
        <w:t>, or $0.39</w:t>
      </w:r>
      <w:r>
        <w:rPr>
          <w:rFonts w:ascii="Arial" w:cs="Arial" w:eastAsia="Arial" w:hAnsi="Arial"/>
          <w:sz w:val="13"/>
          <w:szCs w:val="13"/>
          <w:color w:val="auto"/>
        </w:rPr>
        <w:t>(1)</w:t>
      </w:r>
      <w:r>
        <w:rPr>
          <w:rFonts w:ascii="Arial" w:cs="Arial" w:eastAsia="Arial" w:hAnsi="Arial"/>
          <w:sz w:val="16"/>
          <w:szCs w:val="16"/>
          <w:color w:val="auto"/>
        </w:rPr>
        <w:t xml:space="preserve"> per diluted share for 2004. Net income for 2006 included foreign currency exchange translation gains of $10.2 million. Net income for 2005 included foreign currency exchange translation losses of $7.5 million and losses from discontinued operations of $0.6 million. Net income for 2004 included foreign currency exchange translation losses of $0.4 million and a loss on early retirement of debt of $0.9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7"/>
          <w:szCs w:val="17"/>
          <w:i w:val="1"/>
          <w:iCs w:val="1"/>
          <w:color w:val="auto"/>
        </w:rPr>
        <w:t xml:space="preserve">Adoption of SFAS No. 123R </w:t>
      </w:r>
      <w:r>
        <w:rPr>
          <w:rFonts w:ascii="Arial" w:cs="Arial" w:eastAsia="Arial" w:hAnsi="Arial"/>
          <w:sz w:val="17"/>
          <w:szCs w:val="17"/>
          <w:color w:val="auto"/>
        </w:rPr>
        <w:t>– Effective January 1, 2006, we adopted the provisions of Statement of Financial Accounting Standards (“SFAS”)</w:t>
      </w:r>
    </w:p>
    <w:p>
      <w:pPr>
        <w:spacing w:after="0" w:line="34" w:lineRule="exact"/>
        <w:rPr>
          <w:rFonts w:ascii="Arial" w:cs="Arial" w:eastAsia="Arial" w:hAnsi="Arial"/>
          <w:sz w:val="14"/>
          <w:szCs w:val="14"/>
          <w:color w:val="auto"/>
        </w:rPr>
      </w:pPr>
    </w:p>
    <w:p>
      <w:pPr>
        <w:ind w:left="460" w:right="180"/>
        <w:spacing w:after="0" w:line="270" w:lineRule="auto"/>
        <w:rPr>
          <w:rFonts w:ascii="Arial" w:cs="Arial" w:eastAsia="Arial" w:hAnsi="Arial"/>
          <w:sz w:val="14"/>
          <w:szCs w:val="14"/>
          <w:color w:val="auto"/>
        </w:rPr>
      </w:pPr>
      <w:r>
        <w:rPr>
          <w:rFonts w:ascii="Arial" w:cs="Arial" w:eastAsia="Arial" w:hAnsi="Arial"/>
          <w:sz w:val="17"/>
          <w:szCs w:val="17"/>
          <w:color w:val="auto"/>
        </w:rPr>
        <w:t>No. 123R, which is a revision of SFAS No. 123, “Accounting for Stock-Based Compensation,” and supersedes Accounting Principles Board (“APB”) Opinion No. 25, “Accounting for Stock Issued to Employees.” We elected to adopt SFAS No. 123R utilizing the modified retrospective application method and, accordingly, financial statement amounts for the prior periods presented herein have been adjusted to reflect the fair value method of expensing prescribed by SFAS No. 123R. We believe that this method achieves the highest level of clarity and comparability among the presented periods. See Note 2 – Basis of Presentation, Note 3 – Summary of Significant Accounting Policies and Practices and Note 14 – Stock Plans to the Consolidated Financial Statements for the impact of adjusting prior periods and further discussion.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OPERATING RESULTS FOR THE YEARS ENDED DECEMBER 31, 2006, 2005 AND 2004 – BY BUSINESS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Compared to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EFT Processing Segment for the years ended December 31,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00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0"/>
                <w:szCs w:val="10"/>
                <w:color w:val="auto"/>
              </w:rPr>
            </w:pPr>
          </w:p>
        </w:tc>
        <w:tc>
          <w:tcPr>
            <w:tcW w:w="136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130,748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105,551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25,197</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55,614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44,118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11,496</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19,312</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17,063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2,249</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11,219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9,333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1,886</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12,757</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9,468</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3,289</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18,920</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8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31,846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25,569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6,277</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463.6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361.5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102.1</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ATMs as of December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8,885</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1,674</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8,066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6,585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1,481</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revenue for 2006 increased when compared to 2005 primarily due to increases in the number of ATMs operated and, for owned ATMs, the number of transactions processed, primarily in Poland and India. Additionally, 2006 results include the results of Instreamline (now Euronet Card Services Greece) and Europlanet. Instreamline, acquired in October 2005, provides credit card and POS outsourcing services and transaction gateway switching services in Greece and the Balkan region. Our ownership in Europlanet was increased through two transactions; one in April 2005, in which we increased our ownership from 36% to 66%; and one in December 2005, in which we acquired the final 34% ownership. We began consolidating Europlanet after acquiring a controlling interest in April 2005. Europlanet provides debit card processing services and manages a network of ATMs and POS terminals in Serbia. Partially offsetting these increases was a reduction in revenue associated with the extension of certain customer contracts for several years beyond their original terms. In exchange for these extensions, we paid or received an up-front payment, and agreed on a gradually declining fee structure. Revenue under these contracts is recognized based on proportional performance of services over the term of the contract, which generally results in “straight-line” (i.e. consistent value per period) revenue recognition of the contracts’ total cash flows, including any up-front payment. This straight-line revenue recognition results in revenue recognized in an amount less than contractual cash receipts in the early periods of the agreement and revenue recognized in an amount greater than the contractual cash receipts in the later years of the agreement. We may decide to enter into similar arrangements with other EFT Processing Segment customers during 2007 and beyond.</w:t>
      </w:r>
    </w:p>
    <w:p>
      <w:pPr>
        <w:spacing w:after="0" w:line="80"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Average monthly revenue per ATM was $1,351 for 2006, compared to $1,336 for 2005 and revenue per transaction was $0.28 for 2006, compared to $0.29 for 2005. The increase in average monthly revenue per ATM is, in part, due to increases in non-ATM revenues, primarily associated with Euronet Card Services Greece, which provides POS and credit card outsourcing services and debit card transaction gateway switching services and acquired in</w:t>
      </w:r>
    </w:p>
    <w:p>
      <w:pPr>
        <w:ind w:right="100"/>
        <w:spacing w:after="0" w:line="252" w:lineRule="auto"/>
        <w:rPr>
          <w:sz w:val="20"/>
          <w:szCs w:val="20"/>
          <w:color w:val="auto"/>
        </w:rPr>
      </w:pPr>
      <w:r>
        <w:rPr>
          <w:rFonts w:ascii="Arial" w:cs="Arial" w:eastAsia="Arial" w:hAnsi="Arial"/>
          <w:sz w:val="18"/>
          <w:szCs w:val="18"/>
          <w:color w:val="auto"/>
        </w:rPr>
        <w:t>October 2005. The slight decrease in revenue per transaction is mainly the result of operating increasing numbers of ATMs under outsourcing agreements, as well as revenues earned from non-ATM services. Under outsourcing agreements, we primarily earn revenue based on fixed recurring monthly management fee, with less dependence on transaction-based fees because incremental transactions have little impact on the fixed or variable costs of managing ATMs. Therefore, an overall increase in the number of transactions processed on ATMs that are managed under outsourcing agreements generally does not generate commensurate increases in revenues. We believe this shift from a largely proprietary, Euronet-owned ATM network to operating ATMs under outsourcing arrangements has provided, and will continue to provide, higher marginal returns on investment. While expansion of our network of owned ATMs is not one of our strategic initiatives, if opportunities were available to us, we would consider increasing future capital expenditures to expand this network in new or existing markets.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1" w:name="page42"/>
    <w:bookmarkEnd w:id="41"/>
    <w:p>
      <w:pPr>
        <w:ind w:right="320"/>
        <w:spacing w:after="0" w:line="277" w:lineRule="auto"/>
        <w:rPr>
          <w:sz w:val="20"/>
          <w:szCs w:val="20"/>
          <w:color w:val="auto"/>
        </w:rPr>
      </w:pPr>
      <w:r>
        <w:rPr>
          <w:rFonts w:ascii="Arial" w:cs="Arial" w:eastAsia="Arial" w:hAnsi="Arial"/>
          <w:sz w:val="18"/>
          <w:szCs w:val="18"/>
          <w:color w:val="auto"/>
        </w:rPr>
        <w:t>Of total segment revenue for 2006, 26% was from ATMs we owned and 74% was from outsourcing services, compared to 30% and 70%, respectively, for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 for 2006, compared to 2005, is attributed to the increase in the number of ATMs under operation. Direct operating costs as a percentage of revenues was relatively flat at 43% for 2006, compared to 42% for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margin, which is revenue less direct operating costs, increased to $75.1 million for 2006 from $61.4 million for 2005. This increase was a result of the increase in revenues described above. Of total segment gross margin for 2006, approximately 23% was from ATMs we owned and 77% was from outsourcing services, compared to 28% and 72%, respectively, for 2005. Average monthly gross margin per ATM was flat at $776 for 2006, compared to $777 for 2005 and gross margin per transaction was $0.16 for 2006, compared to $0.17 for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increase in salaries and benefits for 2006, compared to 2005 is due to the acquisition of Instreamline and Europlanet, staffing costs to expand in emerging markets, such as India, China and new European markets, and additional products, such as POS and card processing. Salaries and benefits also increased as a result of general merit increases awarded to employees and certain additional staffing requirements due to the larger number of ATMs under operation and transactions processed. As a percentage of revenue, however, these costs continued to trend downward, decreasing to 15% for 2006, compared to 16% for 2005. This decrease as a percentage of revenue reflects the impact of leverage and scalability of continued growth in the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Similar to the increase in salaries and benefits, the increase in selling, general and administrative expenses for 2006, compared to 2005 is also due primarily to the acquisitions of Instreamline and Europlanet and costs incurred to expand in emerging markets and additional products. As a percentage of revenue, these costs were 9% of revenue for both 2006 and 2005. Offsetting these costs for 2005 was $0.5 million for an insurance recovery that related to a loss recorded in the fourth quarter 2003 on certain ATM disbursements resulting from a card association’s change in their data exchange format.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increase in depreciation and amortization expense for 2006, compared to 2005 is due primarily to depreciation and intangible amortization related to the acquisitions of Instreamline and, to a lesser extent, Europlanet, as well as depreciation on additional ATMs under capital lease arrangements related to outsourcing agreements in India. As a percentage of revenue, these expenses were 10% of revenue for 2006, compared to 9% of revenue for 2005. Approximately $1.2 million of depreciation and amortization for 2006 represents amortization of acquired intangible assets related to the acquisitions of Instreamline and Europlanet, compared to $0.3 million recorded during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increase in operating income for the segment is generally the result of increased revenue and the related gross margins described above, combined with leveraging certain management cost structures. Operating income as a percentage of revenue was 24% for both 2006 and 2005 and operating income per transaction was $0.07 for both 2006 and 2005.</w:t>
      </w:r>
    </w:p>
    <w:p>
      <w:pPr>
        <w:spacing w:after="0" w:line="7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Average monthly operating income per ATM was $329 for 2006, compared to $324 for 2005. This slight increase in average monthly operating income per ATM is due to increased leverage and scalability in our markets, as well as the continuing migration toward operating ATMs under outsourcing agreements rather than ownership arrangements. Operating income is partially offset by losses related to our 75% owned joint venture in China of $1.3 million for 2006 and $1.2 million in 2005. We expect to incur a similar loss in China during 2007 as we continue to focus on expansion in this market.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2005 Compared to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EFT Processing Segment for the years ended December 31, 2005 and 2004: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00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0"/>
                <w:szCs w:val="10"/>
                <w:color w:val="auto"/>
              </w:rPr>
            </w:pPr>
          </w:p>
        </w:tc>
        <w:tc>
          <w:tcPr>
            <w:tcW w:w="136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105,551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77,600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27,951</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34,129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9,989</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17,063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13,470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3,593</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9,333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6,625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2,708</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9,468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8,329</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1,139</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79,982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62,553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17,429</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10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25,569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15,047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10,522</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232.5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129.0</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ATMs as of December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7,211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5,742</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1,469</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Average ATMs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4,751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1,834</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Our revenue for 2005 increased over 2004 due to increases in the number of ATMs operated and in the number of transactions processed, together with the full year effects of ATM management agreements initially implemented in 2004 in Poland, Romania and India. Additionally, revenue growth for 2005 over 2004 was due to the acquisitions of Instreamline and Europlanet discussed under “2006 Compared to 2005” above.</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Average monthly revenue per ATM was $1,336 for 2005 compared to $1,361 for 2004 and revenue per transaction was $0.29 for 2005 compared to $0.33 for 2004. As discussed under “2006 Compared to 2005” above, the decrease in revenue per transaction is mainly the result of a continued shift from owning ATMs to managing them under outsourcing agreements. Of total segment revenue for 2005, 30% was from ATMs we owned and 70% was from outsourcing services, compared to 37% and 63%, respectively, for 2004.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increase in direct operating cost for 2005 compared to 2004 is attributed to the increase in the number of ATMs under operation. Direct operating costs decreased to 42% of revenues for 2005, compared to 44% of revenues for 2004. This reduction resulted from operating a greater percentage of outsourced ATMs, for which direct costs per ATM, and on an average per transaction basis, are lower than the existing installed base of ATMs, together with leveraging the fixed or semi-fixed data center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Gross margin increased to $61.4 million for 2005 from $43.5 million for 2004. Average monthly gross margin per ATM was $777 for 2005, an increase compared to $763 for 2004. The increase in average monthly gross margin per ATM is largely the result of increasing transactions and related fees from the installed ATM base, together with the leveraged effect of adding additional ATM outsourcing revenues and profits to a direct cost structure that is more fixed than variable with volume. Of 2005 total segment gross margin, approximately 28% was from ATMs we owned and 72% was from outsourcing services, compared to 34% and 66%, respectively, for 2004.</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Gross margin per transaction decreased to $0.17 for 2005, compared to $0.19 for 2004. Under certain outsourcing agreements, revenue and gross margin are derived increasingly from fixed charges based upon ATMs under management and other charges and not from incremental transactions. Accordingly, in such arrangements increased transaction volumes do not drive commensurate increases in total revenue and gross margin dollars. Further, because we realize the benefit of certain economies of scale within our ATM network, increased transaction volumes do not drive commensurate increases the amount of indirect costs or direct costs on a per transaction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spacing w:after="0" w:line="257" w:lineRule="auto"/>
        <w:rPr>
          <w:sz w:val="20"/>
          <w:szCs w:val="20"/>
          <w:color w:val="auto"/>
        </w:rPr>
      </w:pPr>
      <w:r>
        <w:rPr>
          <w:rFonts w:ascii="Arial" w:cs="Arial" w:eastAsia="Arial" w:hAnsi="Arial"/>
          <w:sz w:val="18"/>
          <w:szCs w:val="18"/>
          <w:color w:val="auto"/>
        </w:rPr>
        <w:t>The increase in salaries and benefits for 2005 compared to 2004 was due to our growing business in India and Romania, the acquisitions of Instreamline and Europlanet, staffing costs to expand in emerging markets such as China, and general merit increases awarded to employees. Certain staffing increases were also necessary due to the larger number of ATMs under operation and transactions processed. These expenses as a percentage of revenue, however, continued to trend downward during 2005 decreasing to 16%, compared to 17% for the 2004. This decrease as a percentage of revenue reflects increased leverage and scalability in our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Similar to the increase in salaries and benefits, the increase in selling, general and administrative expenses over 2004 is also due to our growing businesses in India and Romania, the acquisitions of Instreamline and Europlanet and costs incurred to expand into emerging markets, including China. However, these costs remained flat at 9% of revenue for both 2005 and 2004. Offsetting these costs for 2005 was $0.5 million for an insurance recovery recorded during the first quarter 2005. This insurance recovery related to a loss recorded in the fourth quarter 2003 on certain ATM disbursements resulting from a card association’s change in their data exchange format.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increase in depreciation and amortization expense from 2004 to 2005 is due to depreciation on additional ATMs under capital lease arrangements related to outsourcing agreements in Poland and India, depreciation and intangible amortization related to the acquisitions of Instreamline and Europlanet, additional processing center computer equipment necessary to handle increased transaction volumes and technology upgrades to certain of our owned ATMs throughout 2004 and 2005. As a percentage of revenue, these expenses continued to trend downward to 9% of revenue for 2005 from 11% of revenue for 2004 as a result of our shift from owned ATMs to outsourced ATMs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increase in operating income for the segment is generally the result of increased revenue, and the related gross margins, from new ATM outsourcing and network participation agreements combined with leveraging certain management cost structures. Operating income as a percentage of revenue was 24% for 2005, compared to 19% for 2004. Operating income per transaction was $0.07 for 2005, compared to $0.06 for 2004. Average monthly operating income per ATM was $324 for 2005, compared to $264 for 2004. The continuing increases in operating income as a percentage of revenue, per transaction and per ATM is due to increased leverage and scalability in our markets, as well as the continuing migration toward operating ATMs under management through outsourcing agreements rather than ownership arrangements. Additionally, operating income for 2005 includes a net operating loss of $1.2 million related to our 75% owned joint venture in China.</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Compared to 2005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the Prepaid Processing Segment for the years ended December 31, 2006 and 2005: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00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0"/>
                <w:szCs w:val="10"/>
                <w:color w:val="auto"/>
              </w:rPr>
            </w:pPr>
          </w:p>
        </w:tc>
        <w:tc>
          <w:tcPr>
            <w:tcW w:w="136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470,861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411,279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59,582</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378,261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325,594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52,667</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24,914</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22,834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2,080</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18,874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2,474</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14,041</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11,740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2,301</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436,090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376,568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59,522</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34,771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34,711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60</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348.1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110.0</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increase in revenues for 2006 compared to 2005 was generally attributable to the increase in total transactions processed across all of our Prepaid Processing operations and the full year impact of 2005 acquisitions. Revenue growth was offset by reduced revenue in Spain resulting from the expiration of preferential commission arrangements with a Spanish mobile operator. When we acquired our Spanish prepaid subsidiaries, we entered into agreements with a major mobile operator under which the subsidiaries received a preferred, exclusive distributor commission on sales of prepaid mobile airtime. This arrangement expired in May 2006 and was not renewed. Additionally, in mature markets, such as the U.K. and Australia,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revenue growth for 2007 and beyond to be derived from developing markets or markets in which there is organic growth in the prepaid sector overall, from continued conversion from scratch cards to electronic top-up, from additional products sold over the base of prepaid processing terminals and, possibly, from acquisitions.</w:t>
      </w:r>
    </w:p>
    <w:p>
      <w:pPr>
        <w:spacing w:after="0" w:line="5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Revenue per transaction decreased to $1.03 for 2006 from $1.18 for 2005 due primarily to the growth in revenues and transactions recorded by our ATX subsidiary, which was acquired at the end of the first quarter 2005. ATX provides only transaction processing services without direct costs and other operating costs generally associated with installing and managing terminals; therefore, the revenue we recognize from these transactions is a fraction of that recognized on average transactions, but with very low cost. Transaction volumes at ATX have increased by approximately 300% for 2006, compared to 2005. For 2006, ATX transaction volumes accounted for approximately 18% of all transaction volume for the Prepaid Processing Segment, compared to 6% for 2005. The expiration of preferential commission arrangements in Spain discussed above also contributed to the decrease in revenue per transaction.</w:t>
      </w:r>
    </w:p>
    <w:p>
      <w:pPr>
        <w:spacing w:after="0" w:line="5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Partially offsetting the decreases described above for 2006, compared to 2005, were the growth in both volumes and revenues related to our US subsidiary, PaySpot, Inc. (“PaySpot”). Revenue per transaction for PaySpot is generally higher than most of our other Prepaid Processing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Direct operating costs in the Prepaid Processing Segment include the commissions we pay to retail merchants for the distribution and sale of prepaid mobile airtime and other prepaid products, as well as communication and paper expenses required to operate POS terminals. Because of their nature, these expenditures generally fluctuate directly with revenues and processed transactions. The increase in direct operating costs is generally attributable to the increase in total transactions processed over the prior year. Direct costs as a percentage of revenue are slightly higher in our mature markets, such as the U.K. and Spain. These higher costs have been partially offset during 2006 by lower direct costs as a percentage of revenue in other markets and by ATX. As discussed above, ATX is a transaction processor, with very few direct costs and, accordingly, a high gross margin percentage.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Gross margin, which represents revenue less direct costs, was $92.6 million for 2006, compared to $85.7 million for 2005. Gross margin as a percentage of revenue was 20% for 2006, compared to 21% for 2005 and gross margin per transaction was $0.20 for 2006, compared to $0.25 per transaction for 2005. Most of the reduction in gross margin per transaction is due to the growth of revenues and transactions at our ATX subsidiary and the expiration of preferential commission arrangements in Spain discussed above. Although we were able to pass through our reduction in commission in Spain to the retailers under our contracts with them by paying a lower distribution commission, we chose to pass through only a portion of the reduction to guard against the loss of retailers. Also during 2006, we commenced distribution of additional products and prepaid airtime from the two other mobile operators in Spain. As a result of the expiration of preferential commission arrangements in Spain, partially offset by the distribution of products from the other mobile operators in Spain, gross margin for 2006 was approximately $2.6 million lower than 2005. This reduction would have been larger, except for the completion of a significant acquisition in Spain during March 2005. Additional decreases in gross margin per transaction were experienced across most of our other countries and were partially offset by increased transaction volumes in markets with higher margins, such as Australia, New Zealand and the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salaries and benefits for 2006, compared to 2005 is the result of increased investments in Euronet Payments &amp; Remittance, our money transfer and bill payment subsidiary established during the second quarter 2005, and the full year effects of 2005 acquisitions. Salaries and benefits expense for 2006 includes an increase of approximately $2.4 million, or 0.6% of revenues, incurred in connection with Euronet Payments &amp; Remittance. As a percentage of revenue, salaries and benefits have decreased slightly to 5.3% for 2006, from 5.6% for 2005. The decrease in salaries and benefits as a percentage of revenue reflects our growing leverage and scalability in our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selling, general and administrative expenses generally is the result of increased investments in Euronet Payments &amp; Remittance and the full year effects of 2005 acquisitions. Selling, general and administrative expenses for 2006 includes an increase of approximately $1.9 million incurred in connection with Euronet Payments &amp; Remittance. As a percentage of revenue these selling, general and administrative expenses have remained flat at 4.0% of revenue for both 2006 and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Depreciation and amortization expense primarily represents amortization of acquired intangibles and the depreciation of POS terminals we install in retail stores. The increase for 2006, compared to 2005, is due to the full year effects of amortization of intangible assets recorded in connection with 2005 acquisitions. As a percentage of revenues, depreciation and amortization was relatively flat at 3.0% for 2006, compared to 2.9% for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Operating income for 2006 increased slightly compared to 2005 and includes increased operating losses of $2.3 million, compared to 2005, related to Euronet Payments &amp; Remittance. Also, as a result of the developments in Spain discussed above, operating income for 2006 was approximately $2.6 million lower than 2005. Exclusive of the reductions related to Euronet Payments &amp; Remittance and Spain, the improvement in operating income for 2006 was due to the growth in revenues and transactions processed, contributions from our 2005 acquisitions and increased leverage and scalability in our markets.</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income as a percentage of revenues decreased to 7.4% for 2006 from 8.4% for 2005. Operating income per transaction decreased to $0.08 for 2006, from $0.10 for 2005. As discussed above, these decreases in operating income as a percentage of revenue and per transaction are the result of losses incurred by Euronet Payments &amp; Remittance, the developments in Spain, the growth in revenues and transactions associated with ATX and gross margin declines across several of our other countries. These decreases were partially offset by increased transactions in markets with higher operating margins, such as Australia, New Zealand and the 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2005 Compared to 2004</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Due to the rapid growth of this segment of our operations, the following discussion and analysis will focus on comparisons of both actual results for the years ended December 31, 2005 and 2004 and, as appropriate, pro forma results prepared as if all acquisitions had taken place as of January 1, 2004. Our pro forma data is only adjusted for the timing of acquisitions and does not include adjustments for costs related to integration activities, cost savings or synergies that have or may be achieved by the combined businesses. In the opinion of management, this information is neither indicative of what our results would have been had we operated these businesses since January 1, 2004, nor is it indicative of our future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9"/>
              </w:rPr>
              <w:t>Year Ended December 31,</w:t>
            </w:r>
          </w:p>
        </w:tc>
        <w:tc>
          <w:tcPr>
            <w:tcW w:w="100" w:type="dxa"/>
            <w:vAlign w:val="bottom"/>
          </w:tcPr>
          <w:p>
            <w:pPr>
              <w:spacing w:after="0"/>
              <w:rPr>
                <w:sz w:val="14"/>
                <w:szCs w:val="14"/>
                <w:color w:val="auto"/>
              </w:rPr>
            </w:pPr>
          </w:p>
        </w:tc>
        <w:tc>
          <w:tcPr>
            <w:tcW w:w="204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0"/>
                <w:szCs w:val="10"/>
                <w:color w:val="auto"/>
              </w:rPr>
            </w:pPr>
          </w:p>
        </w:tc>
        <w:tc>
          <w:tcPr>
            <w:tcW w:w="1360" w:type="dxa"/>
            <w:vAlign w:val="bottom"/>
            <w:tcBorders>
              <w:top w:val="single" w:sz="8" w:color="auto"/>
            </w:tcBorders>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4"/>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$ 411,279</w:t>
            </w: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$ 289,810</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82"/>
              </w:rPr>
              <w:t>$ 121,469</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325,594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229,908</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95,686</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22,834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15,226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7,608</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6,352</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11,740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6,355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5,385</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376,568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261,537</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115,031</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6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34,711</w:t>
            </w:r>
          </w:p>
        </w:tc>
        <w:tc>
          <w:tcPr>
            <w:tcW w:w="6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28,273</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6,438</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119.5</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Pro Forma</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tcPr>
          <w:p>
            <w:pPr>
              <w:jc w:val="right"/>
              <w:ind w:right="940"/>
              <w:spacing w:after="0" w:line="142" w:lineRule="exact"/>
              <w:rPr>
                <w:sz w:val="20"/>
                <w:szCs w:val="20"/>
                <w:color w:val="auto"/>
              </w:rPr>
            </w:pPr>
            <w:r>
              <w:rPr>
                <w:rFonts w:ascii="Arial" w:cs="Arial" w:eastAsia="Arial" w:hAnsi="Arial"/>
                <w:sz w:val="14"/>
                <w:szCs w:val="14"/>
                <w:b w:val="1"/>
                <w:bCs w:val="1"/>
                <w:color w:val="auto"/>
                <w:w w:val="99"/>
              </w:rPr>
              <w:t>Year Ended December 31,</w:t>
            </w:r>
          </w:p>
        </w:tc>
        <w:tc>
          <w:tcPr>
            <w:tcW w:w="100" w:type="dxa"/>
            <w:vAlign w:val="bottom"/>
          </w:tcPr>
          <w:p>
            <w:pPr>
              <w:spacing w:after="0"/>
              <w:rPr>
                <w:sz w:val="12"/>
                <w:szCs w:val="12"/>
                <w:color w:val="auto"/>
              </w:rPr>
            </w:pPr>
          </w:p>
        </w:tc>
        <w:tc>
          <w:tcPr>
            <w:tcW w:w="194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Year-over-Year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0"/>
                <w:szCs w:val="10"/>
                <w:color w:val="auto"/>
              </w:rPr>
            </w:pPr>
          </w:p>
        </w:tc>
        <w:tc>
          <w:tcPr>
            <w:tcW w:w="1360" w:type="dxa"/>
            <w:vAlign w:val="bottom"/>
            <w:tcBorders>
              <w:top w:val="single" w:sz="8" w:color="auto"/>
            </w:tcBorders>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8"/>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(Decrease)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6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$ 420,348</w:t>
            </w:r>
          </w:p>
        </w:tc>
        <w:tc>
          <w:tcPr>
            <w:tcW w:w="6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9"/>
              </w:rPr>
              <w:t>$ 350,935</w:t>
            </w: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4"/>
              </w:rPr>
              <w:t>$ 69,413</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331,588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269,803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61,785</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23,770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19,635</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4,135</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13,601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3,585</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12,489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11,108</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1,381</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385,033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314,147</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70,886</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35,315</w:t>
            </w:r>
          </w:p>
        </w:tc>
        <w:tc>
          <w:tcPr>
            <w:tcW w:w="6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36,788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(1,473)</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increase in revenues for 2005 compared to 2004 was generally attributable to the increase in total transactions processed. Transaction growth reflects growth from existing operations, the full year effects of all our 2004 acquisitions and additional revenue from our current year acquisitions. Since the date of acquisition, 2004 acquisitions contributed increased revenues of $23.0 million for 2005 and our 2005 acquisitions contributed revenues of $36.7 million. Additionally, revenues have grown from the effects of retailer agreements implemented during 2004 and revenue growth from all of our subsidiaries subsequent to the date of acquisition. On a pro forma basis, 2005 revenues increased over 2004 by $69.4 million as a result of the addition of POS terminals throughout all of our markets, and increased volumes driven by mobile operators shifting from scratch card distribution to electronic distribution.</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per transaction was $1.18 for 2005, compared to $1.27 for 2004. This decrease is due to our expansion into markets such as Spain, Germany and Poland where we earn less revenue per transaction, but are able to keep a greater percentage of the commission, thus having little if any impact on gross margin. Additionally, our ATX subsidiary, which was acquired at the end of the first quarter 2005, provides only transaction processing services without direct costs and other operating costs associated with installing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ind w:right="260"/>
        <w:spacing w:after="0" w:line="277" w:lineRule="auto"/>
        <w:rPr>
          <w:sz w:val="20"/>
          <w:szCs w:val="20"/>
          <w:color w:val="auto"/>
        </w:rPr>
      </w:pPr>
      <w:r>
        <w:rPr>
          <w:rFonts w:ascii="Arial" w:cs="Arial" w:eastAsia="Arial" w:hAnsi="Arial"/>
          <w:sz w:val="18"/>
          <w:szCs w:val="18"/>
          <w:color w:val="auto"/>
        </w:rPr>
        <w:t>managing terminals; therefore, the revenue we recognize from these transactions is less than one-tenth of that recognized on average transactions, but with virtually no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increase in direct operating costs generally corresponds to increases in revenues and transactions processed. However, direct costs as a percentage of revenue are slightly higher in our mature markets, such as the U.K. and Australia. These higher costs were mostly offset in 2005 by lower direct costs as a percentage of revenue in other markets and by ATX. As discussed above, ATX is a transaction processor, with very few direct costs and, accordingly, a high gross margin percentage.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Gross margin increased by $25.8 million, or 43%, to $85.7 million for 2005, compared to $59.9 million for 2004. This increase is generally correlated to the increase in transactions processed. Gross margin per transaction was $0.25 for 2005, compared to $0.26 per transaction for 2004. Gross margin as a percentage of revenue was 21% for both periods presented. As discussed under “direct operating costs” above, reduced margins in our mature markets, such as the U.K. and Australia, have been largely offset by improved margins in other markets as well as the effects of ATX.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Salaries and benefits increased to 5.6% of revenue for 2005 from 5.3% of revenue for 2004. This increase was related to costs of approximately $0.9 million incurred in connection with our money transfer and bill payment product and additional sales resources in the U.S. and Australian markets added in the last quarter of 2004 and first half of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Selling, general and administrative expense for 2005 increased to 4.0% of revenue compared to 3.5% of revenue for 2004. Similar to the increase in salaries and benefits, this increase is due to our continued focus on expanding operations in the U.S. and costs incurred to grow our money transfer and bill payment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percentage of revenue, depreciation and amortization was 2.9% for 2005 and 2.2% for 2004. This increase is due to higher depreciation and amortization expense as a percentage of revenue related to our subsidiaries in the U.S., Spain and Poland, many of which were acquired or established during 2004 and 2005, because each of these entities owns a majority of its POS terminals. Additionally, we recorded higher amortization expense of approximately</w:t>
      </w:r>
    </w:p>
    <w:p>
      <w:pPr>
        <w:ind w:right="500"/>
        <w:spacing w:after="0" w:line="290" w:lineRule="auto"/>
        <w:rPr>
          <w:sz w:val="20"/>
          <w:szCs w:val="20"/>
          <w:color w:val="auto"/>
        </w:rPr>
      </w:pPr>
      <w:r>
        <w:rPr>
          <w:rFonts w:ascii="Arial" w:cs="Arial" w:eastAsia="Arial" w:hAnsi="Arial"/>
          <w:sz w:val="17"/>
          <w:szCs w:val="17"/>
          <w:color w:val="auto"/>
        </w:rPr>
        <w:t>$0.3 million for our Transact subsidiary during 2005, as compared to 2004 due to an adjustment to our preliminary purchase price allocation increasing intangible assets, such as customer relationships, which are amortized, and decreasing goodwill, which is not amortized.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improvement in operating income for 2005 over 2004 was due to the significant growth in revenues and transactions processed, together with contributions from our 2004 and 2005 acquisitions. Operating income for 2005 includes approximately $1.0 million in operating losses related to our money transfer and bill payment business acquired in the second quarter 2005. Operating income as a percentage of revenues decreased to 8.4% for 2005, from 9.8% for 2004 and per transaction decreased to $0.10 for 2005, from $0.12 in 2004. This decrease is due to our focus on expansion in the U.S., Poland and Australia, and costs incurred in connection with our new money transfer and bill payment business.</w:t>
      </w:r>
    </w:p>
    <w:p>
      <w:pPr>
        <w:spacing w:after="0" w:line="6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 forma operating margin percentage decreased to 8.4% for 2005, compared to 10.5% for 2004 as a result of the inclusion of our acquisitions in the U.S. and Spain in the pro forma results for 2004, which included the positive impact of margin-rich, opportunistic, wholesale pricing advantages that were not ongoing in nature.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SOFTWARE SOLUTIONS SEGMENT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the results of operations for the Software Solutions Segment, which includes Essentis for the year ended December 31, 2006, and Euronet USA, for the years ended December 31, 2006, 2005 and 2004.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2006</w:t>
            </w:r>
          </w:p>
        </w:tc>
        <w:tc>
          <w:tcPr>
            <w:tcW w:w="1360" w:type="dxa"/>
            <w:vAlign w:val="bottom"/>
            <w:gridSpan w:val="3"/>
          </w:tcPr>
          <w:p>
            <w:pPr>
              <w:jc w:val="center"/>
              <w:ind w:left="493"/>
              <w:spacing w:after="0" w:line="119" w:lineRule="exact"/>
              <w:rPr>
                <w:sz w:val="20"/>
                <w:szCs w:val="20"/>
                <w:color w:val="auto"/>
              </w:rPr>
            </w:pPr>
            <w:r>
              <w:rPr>
                <w:rFonts w:ascii="Arial" w:cs="Arial" w:eastAsia="Arial" w:hAnsi="Arial"/>
                <w:sz w:val="13"/>
                <w:szCs w:val="13"/>
                <w:b w:val="1"/>
                <w:bCs w:val="1"/>
                <w:color w:val="auto"/>
              </w:rPr>
              <w:t>2005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80" w:type="dxa"/>
            <w:vAlign w:val="bottom"/>
          </w:tcPr>
          <w:p>
            <w:pPr>
              <w:spacing w:after="0"/>
              <w:rPr>
                <w:sz w:val="13"/>
                <w:szCs w:val="13"/>
                <w:color w:val="auto"/>
              </w:rPr>
            </w:pPr>
          </w:p>
        </w:tc>
        <w:tc>
          <w:tcPr>
            <w:tcW w:w="7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42"/>
        </w:trPr>
        <w:tc>
          <w:tcPr>
            <w:tcW w:w="4580" w:type="dxa"/>
            <w:vAlign w:val="bottom"/>
            <w:gridSpan w:val="2"/>
          </w:tcPr>
          <w:p>
            <w:pPr>
              <w:spacing w:after="0" w:line="142" w:lineRule="exact"/>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Percent</w:t>
            </w:r>
          </w:p>
        </w:tc>
        <w:tc>
          <w:tcPr>
            <w:tcW w:w="580" w:type="dxa"/>
            <w:vAlign w:val="bottom"/>
          </w:tcPr>
          <w:p>
            <w:pPr>
              <w:spacing w:after="0"/>
              <w:rPr>
                <w:sz w:val="12"/>
                <w:szCs w:val="12"/>
                <w:color w:val="auto"/>
              </w:rPr>
            </w:pPr>
          </w:p>
        </w:tc>
        <w:tc>
          <w:tcPr>
            <w:tcW w:w="7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28,188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14,898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13,670</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89%</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9"/>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566</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53%</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16,745</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8,336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8,456</w:t>
            </w:r>
          </w:p>
        </w:tc>
        <w:tc>
          <w:tcPr>
            <w:tcW w:w="780" w:type="dxa"/>
            <w:vAlign w:val="bottom"/>
          </w:tcPr>
          <w:p>
            <w:pPr>
              <w:jc w:val="right"/>
              <w:ind w:right="97"/>
              <w:spacing w:after="0"/>
              <w:rPr>
                <w:sz w:val="20"/>
                <w:szCs w:val="20"/>
                <w:color w:val="auto"/>
              </w:rPr>
            </w:pPr>
            <w:r>
              <w:rPr>
                <w:rFonts w:ascii="Arial" w:cs="Arial" w:eastAsia="Arial" w:hAnsi="Arial"/>
                <w:sz w:val="18"/>
                <w:szCs w:val="18"/>
                <w:color w:val="auto"/>
              </w:rPr>
              <w:t>101%</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1,882</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304%</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2,047</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975</w:t>
            </w:r>
          </w:p>
        </w:tc>
        <w:tc>
          <w:tcPr>
            <w:tcW w:w="780" w:type="dxa"/>
            <w:vAlign w:val="bottom"/>
          </w:tcPr>
          <w:p>
            <w:pPr>
              <w:jc w:val="right"/>
              <w:ind w:right="97"/>
              <w:spacing w:after="0"/>
              <w:rPr>
                <w:sz w:val="20"/>
                <w:szCs w:val="20"/>
                <w:color w:val="auto"/>
              </w:rPr>
            </w:pPr>
            <w:r>
              <w:rPr>
                <w:rFonts w:ascii="Arial" w:cs="Arial" w:eastAsia="Arial" w:hAnsi="Arial"/>
                <w:sz w:val="18"/>
                <w:szCs w:val="18"/>
                <w:color w:val="auto"/>
              </w:rPr>
              <w:t>94%</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24,203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11,383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11,879</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113%</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3,985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3,515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1,791</w:t>
            </w:r>
          </w:p>
        </w:tc>
        <w:tc>
          <w:tcPr>
            <w:tcW w:w="780" w:type="dxa"/>
            <w:vAlign w:val="bottom"/>
          </w:tcPr>
          <w:p>
            <w:pPr>
              <w:jc w:val="right"/>
              <w:ind w:right="97"/>
              <w:spacing w:after="0"/>
              <w:rPr>
                <w:sz w:val="20"/>
                <w:szCs w:val="20"/>
                <w:color w:val="auto"/>
              </w:rPr>
            </w:pPr>
            <w:r>
              <w:rPr>
                <w:rFonts w:ascii="Arial" w:cs="Arial" w:eastAsia="Arial" w:hAnsi="Arial"/>
                <w:sz w:val="18"/>
                <w:szCs w:val="18"/>
                <w:color w:val="auto"/>
              </w:rPr>
              <w:t>13%</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Software Solutions Segment recognizes revenue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 The components of Software Solutions revenue are summarized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Software license fees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3,565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Professional service fees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12,469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4,647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Maintenance fees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10,638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Hardware and other sales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28,188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14,898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January 2006, we acquired the assets of Essentis, a U.K. company that owns a leading card issuing and merchant acquiring software package. The assets, primarily consisting of the software source code, were purchased out of an administrative proceeding for approximately $3.0 million, including the assumption of certain liabilities. The Essentis software product allows us to add additional outsourcing and software offerings to financial institutions. For further discussion, see Note 4 – Acquisitions to the Consolidated Financial Statements. Essentis recorded $13.8 million in revenues for 2006, while Euronet USA accounted for the remaining $14.4 million in revenues. This decrease in revenue recorded by Euronet USA is due primarily to fewer customers achieving higher tiered user billing rates during 2006 than we experienced during 2005. The increase in revenue of $1.2 million for 2005, compared to 2004, was primarily due to an increase in the sales of software licenses.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Essentis recorded total operating expenses of $12.7 million for 2006 and Euronet USA recorded operating expenses of $11.5 million, relatively flat compared to $11.4 million in operating expenses for 2005. The decrease in total operating expenses for 2005, compared to 2004 are primarily the result of efforts to reduce bad debt expense, rental expense, professional fees and travel related expenses.</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capitalize software development costs on a product-by-product basis once technological feasibility is established. Technological feasibility is established after the completion of all planning, designing, coding and testing activities necessary to establish that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9" w:name="page50"/>
    <w:bookmarkEnd w:id="49"/>
    <w:p>
      <w:pPr>
        <w:ind w:right="240"/>
        <w:spacing w:after="0" w:line="302" w:lineRule="auto"/>
        <w:rPr>
          <w:sz w:val="20"/>
          <w:szCs w:val="20"/>
          <w:color w:val="auto"/>
        </w:rPr>
      </w:pPr>
      <w:r>
        <w:rPr>
          <w:rFonts w:ascii="Arial" w:cs="Arial" w:eastAsia="Arial" w:hAnsi="Arial"/>
          <w:sz w:val="16"/>
          <w:szCs w:val="16"/>
          <w:color w:val="auto"/>
        </w:rPr>
        <w:t>product can be produced to meet its design specifications, including functions, features and technical performance requirements. Amounts capitalized were $3.2 million, $0.8 million and $0.7 million for the years ended December 31, 2006, 2005 and 2004, respectively. We are continuing the development, maintenance and enhancement of our products, and total research and development costs for software products to be sold, leased or otherwise marketed, including amounts capitalized were $7.3 million, $2.7 million and $2.7 million for the years ended December 31, 2006, 2005 and 2004,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Operating income increased by $0.5 million for 2006, compared to 2005. This increase is the result of $1.1 million in operating income recorded by Essentis, which was acquired in January 2006, partially offset by a decrease in operating income recorded by Euronet USA of $0.6 million. The decrease in operating income recorded by Euronet USA during 2006, compared to 2005, is due to the decrease in revenues discussed above. The increase in operating income for 2005, compared to 2004, was due largely to increased license fees together with cost management efforts.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2006</w:t>
            </w:r>
          </w:p>
        </w:tc>
        <w:tc>
          <w:tcPr>
            <w:tcW w:w="1200" w:type="dxa"/>
            <w:vAlign w:val="bottom"/>
            <w:gridSpan w:val="2"/>
          </w:tcPr>
          <w:p>
            <w:pPr>
              <w:jc w:val="center"/>
              <w:ind w:left="15"/>
              <w:spacing w:after="0" w:line="119" w:lineRule="exact"/>
              <w:rPr>
                <w:sz w:val="20"/>
                <w:szCs w:val="20"/>
                <w:color w:val="auto"/>
              </w:rPr>
            </w:pPr>
            <w:r>
              <w:rPr>
                <w:rFonts w:ascii="Arial" w:cs="Arial" w:eastAsia="Arial" w:hAnsi="Arial"/>
                <w:sz w:val="13"/>
                <w:szCs w:val="13"/>
                <w:b w:val="1"/>
                <w:bCs w:val="1"/>
                <w:color w:val="auto"/>
              </w:rPr>
              <w:t>2005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5160" w:type="dxa"/>
            <w:vAlign w:val="bottom"/>
            <w:gridSpan w:val="3"/>
          </w:tcPr>
          <w:p>
            <w:pPr>
              <w:spacing w:after="0" w:line="142" w:lineRule="exact"/>
              <w:rPr>
                <w:sz w:val="20"/>
                <w:szCs w:val="20"/>
                <w:color w:val="auto"/>
              </w:rPr>
            </w:pPr>
            <w:r>
              <w:rPr>
                <w:rFonts w:ascii="Arial" w:cs="Arial" w:eastAsia="Arial" w:hAnsi="Arial"/>
                <w:sz w:val="14"/>
                <w:szCs w:val="14"/>
                <w:color w:val="auto"/>
              </w:rPr>
              <w:t>(dollar amounts in thousands)</w:t>
            </w: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8"/>
              </w:rPr>
              <w:t>2005 (1)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2004 (1)</w:t>
            </w:r>
          </w:p>
        </w:tc>
        <w:tc>
          <w:tcPr>
            <w:tcW w:w="68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13,285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10,217</w:t>
            </w:r>
          </w:p>
        </w:tc>
        <w:tc>
          <w:tcPr>
            <w:tcW w:w="102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26%</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4,343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5,381</w:t>
            </w: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5,021</w:t>
            </w:r>
          </w:p>
        </w:tc>
        <w:tc>
          <w:tcPr>
            <w:tcW w:w="1020" w:type="dxa"/>
            <w:vAlign w:val="bottom"/>
          </w:tcPr>
          <w:p>
            <w:pPr>
              <w:jc w:val="right"/>
              <w:ind w:right="201"/>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ind w:right="28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w:t>
            </w:r>
          </w:p>
        </w:tc>
        <w:tc>
          <w:tcPr>
            <w:tcW w:w="102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86%</w:t>
            </w: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17,833</w:t>
            </w: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16,018</w:t>
            </w:r>
          </w:p>
        </w:tc>
        <w:tc>
          <w:tcPr>
            <w:tcW w:w="6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15,387</w:t>
            </w:r>
          </w:p>
        </w:tc>
        <w:tc>
          <w:tcPr>
            <w:tcW w:w="1020" w:type="dxa"/>
            <w:vAlign w:val="bottom"/>
          </w:tcPr>
          <w:p>
            <w:pPr>
              <w:jc w:val="right"/>
              <w:ind w:right="261"/>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28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2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discussed previously, in connection with the adoption of SFAS No. 123R, the Company adjusted its previously reported results to include the impact of share-based compensation expense. As a result of the adjustment, an additional $5.0 million and $5.6 million in expense related to stock options was included in salaries and benefits for the years ended December 31, 2005 and 2004, respectively.</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Operating expenses for Corporate Services increased by 11% for 2006, compared to 2005 and increased 4% for 2005, compared to 2004. The increase in salaries and benefits expense is primarily attributable to additional expense recorded for share-based compensation in 2006, compared to 2005. Share-based compensation expense increased to $7.3 million for 2006, compared to $5.3 million for 2005. Share-based compensation expense for 2006 is comprised of $4.0 million related to the unvested portion of stock options granted prior to 2005 and $3.3 million for restricted stock awards granted primarily during 2005 and 2006. Share-based compensation expense for 2005 is mainly the result of the adjustment for stock option expense of $5.0 million discussed above. The increase of $2.0 million in share-based compensation expense for 2006, compared to 2005 is due mainly to: i) $1.1 million in additional expense due to changes in the accounting treatment for performance-based restricted stock awards that require expense to be recognized over a “graded” attribution schedule, rather than a “straight-line” attribution schedule, resulting in more expense in the early years of an award; and ii) $0.9 million in increased expense due to additional performance-based awards to certain executives during 2006 and additional awards to employees resulting overall Company growth, including acquired businesses. The remaining increase in $0.8 million increase in salaries and benefits expense is due to incremental expense from overall Company growth. The decrease in selling, general and administrative expenses for 2006, compared to 2005 was the result of lower professional fees and other expenses associated with acquisition analysis during 2006, compared to 2005.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total operating expenses for 2005 was primarily attributable to increased salary expense related to overall growth.</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OTHER INCOME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2006</w:t>
            </w:r>
          </w:p>
        </w:tc>
        <w:tc>
          <w:tcPr>
            <w:tcW w:w="1240" w:type="dxa"/>
            <w:vAlign w:val="bottom"/>
            <w:tcBorders>
              <w:top w:val="single" w:sz="8" w:color="auto"/>
            </w:tcBorders>
            <w:gridSpan w:val="2"/>
          </w:tcPr>
          <w:p>
            <w:pPr>
              <w:jc w:val="center"/>
              <w:ind w:left="715"/>
              <w:spacing w:after="0" w:line="119" w:lineRule="exact"/>
              <w:rPr>
                <w:sz w:val="20"/>
                <w:szCs w:val="20"/>
                <w:color w:val="auto"/>
              </w:rPr>
            </w:pPr>
            <w:r>
              <w:rPr>
                <w:rFonts w:ascii="Arial" w:cs="Arial" w:eastAsia="Arial" w:hAnsi="Arial"/>
                <w:sz w:val="13"/>
                <w:szCs w:val="13"/>
                <w:b w:val="1"/>
                <w:bCs w:val="1"/>
                <w:color w:val="auto"/>
                <w:w w:val="96"/>
              </w:rPr>
              <w:t>2005</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5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5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45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5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13,750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(14,747)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(8,459)</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(7,300)</w:t>
            </w: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on early retirement of debt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(920)</w:t>
            </w:r>
          </w:p>
        </w:tc>
        <w:tc>
          <w:tcPr>
            <w:tcW w:w="88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gain (loss), net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10,166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(7,495)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(448)</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n/m</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Total other income (expense)</w:t>
            </w:r>
          </w:p>
        </w:tc>
        <w:tc>
          <w:tcPr>
            <w:tcW w:w="5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9,829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(8,895)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(5,301)</w:t>
            </w:r>
          </w:p>
        </w:tc>
        <w:tc>
          <w:tcPr>
            <w:tcW w:w="880" w:type="dxa"/>
            <w:vAlign w:val="bottom"/>
          </w:tcPr>
          <w:p>
            <w:pPr>
              <w:jc w:val="right"/>
              <w:ind w:right="139"/>
              <w:spacing w:after="0"/>
              <w:rPr>
                <w:sz w:val="20"/>
                <w:szCs w:val="20"/>
                <w:color w:val="auto"/>
              </w:rPr>
            </w:pPr>
            <w:r>
              <w:rPr>
                <w:rFonts w:ascii="Arial" w:cs="Arial" w:eastAsia="Arial" w:hAnsi="Arial"/>
                <w:sz w:val="18"/>
                <w:szCs w:val="18"/>
                <w:color w:val="auto"/>
              </w:rPr>
              <w:t>n/m</w:t>
            </w:r>
          </w:p>
        </w:tc>
        <w:tc>
          <w:tcPr>
            <w:tcW w:w="5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interest income for 2006, compared to 2005, was primarily due to the interest earned on the unused proceeds from the $175 million</w:t>
      </w:r>
    </w:p>
    <w:p>
      <w:pPr>
        <w:spacing w:after="0" w:line="3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October 2005 convertible debt issuance and cash generated from operations. The increase in interest income for 2005 over 2004 was due to interest earned on the unused proceeds from the $140 million December 2004 convertible debt issuance and, to a lesser extent, the partial year benefit of the proceeds from the $175 million convertible debt issuance. Additionally, for both 2006 and 2005 we have experienced increasing average cash deposits held in our trust accounts related to the administration of customer collections and vendor remittance activities of the growing Prepaid Processing Segment. We have also experienced higher average interest rates during 2006, compared to 2005, due to a shift of investments from money market accounts to commercial paper and the general rise in short-term treasury rates throughout 2005 and 2006.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continuing increase in interest expense was primarily the result of the issuance of $315 million in convertible debt during 2004 and 2005 described in Note 10 – Debt Obligations to the Consolidated Financial Statements. However, due to the relatively low rates of interest that we pay on our convertible debt, our weighted average interest rate decreased to approximately 4% in 2006 and 2005, from 11% in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decrease in income from unconsolidated affiliates recorded for 2006 compared to 2005, was primarily due to $0.3 million in dividends recorded during 2005 related to Europlanet and ATX, which were declared before we obtained control of these entities. In addition, 2006 included $0.3 million in losses recorded by Euronet Middle-East, our 49% EFT Processing Segment joint venture in Bahrain. The improvement of 2005 over 2004 is primarily due to improved results from our 40% investment in e-pay Malaysia, as well as the $0.3 million in Europlanet and ATX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 xml:space="preserve">We recorded a loss on early retirement of debt of $0.9 million during 2004 related to the redemption and repayment of the remaining $43.5 million in 12 </w:t>
      </w:r>
      <w:r>
        <w:rPr>
          <w:rFonts w:ascii="Arial" w:cs="Arial" w:eastAsia="Arial" w:hAnsi="Arial"/>
          <w:sz w:val="14"/>
          <w:szCs w:val="14"/>
          <w:color w:val="auto"/>
        </w:rPr>
        <w:t>3</w:t>
      </w:r>
      <w:r>
        <w:rPr>
          <w:rFonts w:ascii="Arial" w:cs="Arial" w:eastAsia="Arial" w:hAnsi="Arial"/>
          <w:sz w:val="17"/>
          <w:szCs w:val="17"/>
          <w:color w:val="auto"/>
        </w:rPr>
        <w:t xml:space="preserve"> / 8 % Senior Discount Notes. This transaction is further described in Note 10 – Debt Obligations to the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foreign currency exchange gain (loss)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We recorded a net foreign currency exchange gain of $10.2 million during 2006 and net foreign currency exchange losses of $7.5 million and $0.4 million for 2005 and 2004, respectively. The foreign currency exchange gain or loss recorded is a result of the impact of fluctuations in foreign currency exchange rates on the recorded value of these assets and liabilities. Throughout 2006, the U.S. dollar weakened against most European-based currencies, primarily the euro and British pound, creating realized and unrealized foreign currency exchange gains. This compares to 2005, during which time the U.S. dollar strengthened against these currencies and we, therefore, recorded realized and unrealized foreign currency exchange losses.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62,127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38,882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(977)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61,150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37,966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24,370</w:t>
            </w:r>
          </w:p>
        </w:tc>
        <w:tc>
          <w:tcPr>
            <w:tcW w:w="0" w:type="dxa"/>
            <w:vAlign w:val="bottom"/>
          </w:tcPr>
          <w:p>
            <w:pPr>
              <w:spacing w:after="0"/>
              <w:rPr>
                <w:sz w:val="1"/>
                <w:szCs w:val="1"/>
                <w:color w:val="auto"/>
              </w:rPr>
            </w:pPr>
          </w:p>
        </w:tc>
      </w:tr>
      <w:tr>
        <w:trPr>
          <w:trHeight w:val="432"/>
        </w:trPr>
        <w:tc>
          <w:tcPr>
            <w:tcW w:w="77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14,843</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14,976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46,307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22,990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12,852</w:t>
            </w:r>
          </w:p>
        </w:tc>
        <w:tc>
          <w:tcPr>
            <w:tcW w:w="0" w:type="dxa"/>
            <w:vAlign w:val="bottom"/>
          </w:tcPr>
          <w:p>
            <w:pPr>
              <w:spacing w:after="0"/>
              <w:rPr>
                <w:sz w:val="1"/>
                <w:szCs w:val="1"/>
                <w:color w:val="auto"/>
              </w:rPr>
            </w:pPr>
          </w:p>
        </w:tc>
      </w:tr>
      <w:tr>
        <w:trPr>
          <w:trHeight w:val="20"/>
        </w:trPr>
        <w:tc>
          <w:tcPr>
            <w:tcW w:w="778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3"/>
          </w:tcPr>
          <w:p>
            <w:pPr>
              <w:spacing w:after="0"/>
              <w:rPr>
                <w:sz w:val="20"/>
                <w:szCs w:val="20"/>
                <w:color w:val="auto"/>
              </w:rPr>
            </w:pPr>
            <w:r>
              <w:rPr>
                <w:rFonts w:ascii="Arial" w:cs="Arial" w:eastAsia="Arial" w:hAnsi="Arial"/>
                <w:sz w:val="18"/>
                <w:szCs w:val="18"/>
                <w:color w:val="auto"/>
              </w:rPr>
              <w:t>Effective income tax rate</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61,150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37,966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Adjust: Foreign exchange gain (loss), net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10,166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(7,495)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and foreign exchange gain (loss),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50,984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45,461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24,818</w:t>
            </w:r>
          </w:p>
        </w:tc>
        <w:tc>
          <w:tcPr>
            <w:tcW w:w="0" w:type="dxa"/>
            <w:vAlign w:val="bottom"/>
          </w:tcPr>
          <w:p>
            <w:pPr>
              <w:spacing w:after="0"/>
              <w:rPr>
                <w:sz w:val="1"/>
                <w:szCs w:val="1"/>
                <w:color w:val="auto"/>
              </w:rPr>
            </w:pPr>
          </w:p>
        </w:tc>
      </w:tr>
      <w:tr>
        <w:trPr>
          <w:trHeight w:val="20"/>
        </w:trPr>
        <w:tc>
          <w:tcPr>
            <w:tcW w:w="778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3"/>
          </w:tcPr>
          <w:p>
            <w:pPr>
              <w:spacing w:after="0"/>
              <w:rPr>
                <w:sz w:val="20"/>
                <w:szCs w:val="20"/>
                <w:color w:val="auto"/>
              </w:rPr>
            </w:pPr>
            <w:r>
              <w:rPr>
                <w:rFonts w:ascii="Arial" w:cs="Arial" w:eastAsia="Arial" w:hAnsi="Arial"/>
                <w:sz w:val="18"/>
                <w:szCs w:val="18"/>
                <w:color w:val="auto"/>
              </w:rPr>
              <w:t>Effective income tax rate, excluding foreign exchange gain (loss), net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calculate our effective tax rate by dividing income tax expense by pre-tax book income including the effect of minority interest. Our effective tax rates were 24.3%, 39.4% and 47.3% for the years ended December 31, 2006, 2005 and 2004, respectively.</w:t>
      </w:r>
    </w:p>
    <w:p>
      <w:pPr>
        <w:spacing w:after="0" w:line="6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are in a net operating loss position for our U.S. operations and, accordingly have valuation allowances to reserve for net deferred tax assets. Therefore, we do not currently recognize the tax benefit or expense associated with foreign currency gains or losses incurred by our U.S. operations. While we did not record a tax benefit for foreign currency exchange losses incurred by our U.S. operations during the year ended December 31, 2005, the effective tax rate for the current year is comparatively lower because tax expense was not recorded on foreign currency exchange gains earned by our U.S. operations. Excluding foreign exchange translation results from pre-tax book income, our effective tax rates for the years ended December 31, 2006, 2005 and 2004 were 29.1%,</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32.9% and 46.4%, respectively. This improvement is offset in part by increases in share-based compensation expense incurred for U.S. personnel, for which we are unable to record a tax benefit due to our U.S. net operating loss position.</w:t>
      </w:r>
    </w:p>
    <w:p>
      <w:pPr>
        <w:spacing w:after="0" w:line="7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substantial decrease in the year-over-year effective tax rates, excluding foreign currency gains and losses, was also attributable to the increased profitability of individual companies located in lower than average tax rate jurisdictions, particularly Croatia, Hungary, Poland, Serbia and Romania, together with increased operating profits in countries with remaining net operating loss carryforwards, such as the U.S., Poland and India. Additionally, tax expense for the year ended December 31, 2006 improved comparatively from the recognition of tax benefits associated with Poland’s and India’s net operating losses and tax rate reductions in Greece, Spain, the Netherlands offset in part by tax rate increases in Hungary.</w:t>
      </w:r>
    </w:p>
    <w:p>
      <w:pPr>
        <w:spacing w:after="0" w:line="6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 aware of new facts or other evidence that could alter our conclusions, the resulting impact to our estimates could have a material adverse effect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Minority interest represents the elimination of the net income (loss) attributable to the minority shareholders’ portion of our consolidated subsidiaries that are not wholly-owned, including Movilcarga, of which we own 80%; ATX, of which we own 51%; our subsidiary in China, of which we own 75%; and Europlanet, of which we owned 66% until the end of 2005, when we acquired the remaining 34% ownership.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Discontinued operations for the year ended December 31, 2005 include a $0.6 million loss on the final liquidation of the France ATM network processing services business sold in 2002. This loss consists primarily of the reclassification to net income of the cumulative translation adjustment that had previously been recorded as a component stockholders’ equity (accumulated other comprehensive income) due to the prior years’ consolidation of the France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recorded net income of $46.3 million, $22.4 million and $12.9 million for 2006, 2005 and 2004, respectively. As more fully discussed above, the increase of $23.9 million for 2006 compared to 2005 was the result of an increase in operating income of $4.5 million, an improvement in foreign currency exchange gain (loss) of $17.7 million, a decrease in net interest expense of $1.6 million, a decrease in income tax expense of $0.1 million and other items of $0.5 million. These increases were partially offset by a decrease in equity from unconsolidated subsidiaries of $0.5 million.</w:t>
      </w:r>
    </w:p>
    <w:p>
      <w:pPr>
        <w:spacing w:after="0" w:line="6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increase of $9.5 million for 2005 compared to 2004 was the result of an increase in operating income of $18.0 million, an increase in equity from unconsolidated subsidiaries of $0.8 million and a decrease in net interest expense of $1.7 million, offset by an increase in foreign currency exchange losses of $7.0 million, an increase in income tax expense of $3.5 million and other items of $0.5 million. These changes are more fully discussed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December 31, 2006, we had working capital, which is the difference between total current assets and total current liabilities, of $284.4 million, compared to working capital of $181.6 million as of December 31, 2005. Our ratio of current assets to current liabilities was 1.70 at December 31, 2006, compared to 1.55 as of December 31, 2005. The increase in working capital and the improvement in the ratio of current assets to current liabilities were due primarily to operating cash flows for the year ended December 31, 2006, without significant investments in acquisitions or purchases of property and equipment. Working capital is also impacted by changes in foreign currency exchange rates as further discussed in Item 7A – Quantitative and Qualitative Disclosures About Market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Cash flows provided by operating activities increased to $95.9 million for 2006, compared to $52.3 million for 2005. The improvement over last year was mainly due to stronger operating profit in all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Cash flows used in investing activities were $26.1 million in 2006, compared to $139.5 million in 2005. The decrease in investing activities during 2006 was primarily related to reduced acquisition activity. Our investing activities for 2006 consisted of $2.1 million in cash paid related to acquisitions and</w:t>
      </w:r>
    </w:p>
    <w:p>
      <w:pPr>
        <w:ind w:right="60"/>
        <w:spacing w:after="0" w:line="302" w:lineRule="auto"/>
        <w:rPr>
          <w:sz w:val="20"/>
          <w:szCs w:val="20"/>
          <w:color w:val="auto"/>
        </w:rPr>
      </w:pPr>
      <w:r>
        <w:rPr>
          <w:rFonts w:ascii="Arial" w:cs="Arial" w:eastAsia="Arial" w:hAnsi="Arial"/>
          <w:sz w:val="16"/>
          <w:szCs w:val="16"/>
          <w:color w:val="auto"/>
        </w:rPr>
        <w:t>$24.1 million for purchases of property and equipment and other investing activities. Our 2005 investing activities include $120.7 million in cash paid related primarily to the acquisitions of Telerecarga, Movilcarga, ATX, TelecommUSA, Europlanet and Instreamline, as well as the cash earn-out payment to the former owners of Transact. Additionally, cash outflows for purchases of property and equipment and other investing activities totaled $18.8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financing activities were $24.7 million in 2006, compared to $186.2 million in 2005. Our financing activities 2006 consisted primarily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exercise of stock options and employee share purchases of $14.7 million, net borrowings on short-term borrowing and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of $16.6 million, offset by payments on capital lease obligations totaling $6.4 million. Cash flows from financing activities include $26.0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amounts that were drawn on our revolving credit facilities to meet short-term working capital requirements. The borrowings were repaid during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2007. Our financing activities for 2005 consist primarily of the October 2005 issuance of $175 million in 3.50% contingent convertible debentures.</w:t>
      </w:r>
    </w:p>
    <w:p>
      <w:pPr>
        <w:spacing w:after="0" w:line="12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 See discussion below entitled “— Other trends and uncertainties — Agreement to acquire RIA Envia, Inc.” for discussion of liquidity and capital resources involving an acquisition expected to close during the first half of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Revolving credit agreements</w:t>
      </w:r>
      <w:r>
        <w:rPr>
          <w:rFonts w:ascii="Arial" w:cs="Arial" w:eastAsia="Arial" w:hAnsi="Arial"/>
          <w:sz w:val="18"/>
          <w:szCs w:val="18"/>
          <w:color w:val="auto"/>
        </w:rPr>
        <w:t xml:space="preserve"> – As discussed in more detail in Note 10 – Debt Obligations to the Consolidated Financial Statements, during 2006, we amended our October 2004 $50 million revolving credit agreement to extend the maturity date to May 26, 2009, established a new credit facility in India and expanded the participating financial institutions from one to three. The amended and new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ind w:right="120"/>
        <w:spacing w:after="0" w:line="297" w:lineRule="auto"/>
        <w:rPr>
          <w:sz w:val="20"/>
          <w:szCs w:val="20"/>
          <w:color w:val="auto"/>
        </w:rPr>
      </w:pPr>
      <w:r>
        <w:rPr>
          <w:rFonts w:ascii="Arial" w:cs="Arial" w:eastAsia="Arial" w:hAnsi="Arial"/>
          <w:sz w:val="16"/>
          <w:szCs w:val="16"/>
          <w:color w:val="auto"/>
        </w:rPr>
        <w:t>agreements allow the Company to elect to increase the aggregate commitments under the credit facility from $50 million to $65 million. The borrowings under the agreements may be used to refinance debt, for working capital needs, for permitted acquisitions and for other general corporate purposes. The agreements place certain restrictions on the use of the facility to finance investments in, or operations of, “money services businesses” such as those engaged in money transfer activities. Certain of our subsidiaries have pledged all or a portion of their share capital as security for borrowings under the agreements. For more information regarding these facilities see Note 10 – Debt Obligations to the Consolidated Financial Statements.</w:t>
      </w:r>
    </w:p>
    <w:p>
      <w:pPr>
        <w:spacing w:after="0" w:line="5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December 31, 2006, we have borrowings of $34.1 million and stand-by letters of credit totaling $2.8 million outstanding against the revolving credit agreements; the remaining $13.1 million ($28.1 million if the facility was increased to $65 million) was available for borrowing. Borrowings under these agreements are being used to fund short-term working capital requirements in Spain, Germany and India. We also have borrowings under a long-term debt arrangement of $0.9 million at Euronet Card Services Greece (formerly Instreamline), which is due to be repaid during 2007 and is, therefore, recorded as a current maturity of long-term obligations.</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consist primarily of credit lines, overdraft facilities and short-term loans to support ATM cash needs and supplement short-term working capital requirements. As of December 31, 2006, we had $3.5 million in short-term debt obligations borrowed by our subsidiary in the Czech Republic that was being used to fund short-term working capital requirements.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Prepaid Processing Segment subsidiaries in Spain enter into agreements with financial institutions to receive cash in advance of collections on customers’ accounts. These arrangements can be with or without recourse and the financial institutions charge the Spanish subsidiaries transaction fees and/or interest in connection with these advances. Cash received can be up to 40 days prior to the customer invoice due dates. Accordingly, the Spanish subsidiaries remain obligated to the banks on the cash advances until the underlying account receivable is ultimately collected. Where the risk of collection remains with Euronet, the receipt of cash continues to be carried on the consolidated balance sheet in each of trade accounts receivable and accrued expenses and other current liabilities. As of December 31, 2006, we did not have any amounts outstanding under these arrangements.</w:t>
      </w:r>
    </w:p>
    <w:p>
      <w:pPr>
        <w:spacing w:after="0" w:line="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believe that the short-term debt obligations can be refinanced at terms acceptable to us. However, if acceptable refinancing options are not available, we believe that amounts due under these obligations can be funded through cash generated from operations, together with cash on hand.</w:t>
      </w:r>
    </w:p>
    <w:p>
      <w:pPr>
        <w:spacing w:after="0" w:line="3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During October 2005, we completed the sale of $175 million in principal amount of 3.50% Convertible Debentures Due 2025. The net proceeds, after transaction fees totaling $5.1 million, were $169.9 million. The $5.1 million in transaction fees have been deferred and are being amortized over seven years, the term of the initial put option by the holders of the debentures. The convertible debentures have an annual interest rate of 3.50% and are convertible into a total of 4.3 million shares of Euronet Common Stock at a conversion price of $40.48 per share upon the occurrence of certain events (relating to the closing prices of Euronet Common Stock exceeding certain thresholds for specified periods). We will pay contingent interest, during any six-month period commencing with the period from October 15, 2012 through April 14, 2013, and for each six-month period thereafter from April 15 to October 14 or October 15 to April 14, for which the average trading price of the debentures for the applicable five trading-day period preceding such applicable interest period equals or exceeds 120% of the principal amount of the debentures. Contingent interest will equal 0.35% per annum of the average trading price of a debenture for such five trading-day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When due, these debentures can be settled in cash or Euronet Common Stock, at our option, at predetermined conversion rates. These terms and other material terms and conditions applicable to the convertible debentures are set forth in the indenture governing the debentures.</w:t>
      </w:r>
    </w:p>
    <w:p>
      <w:pPr>
        <w:spacing w:after="0" w:line="6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During December 2004, we completed the sale of $140 million in principal amount of 1.625% Convertible Senior Debentures Due 2024. The net proceeds, after transaction fees totaling $4.6 million, were $135.4 million. The $4.6 million in transaction fees have been deferred and are being amortized over five years, the term of the initial put option by the holders of the debentures. The Convertible Senior Debentures have an interest rate of 1.625% and are convertible into a total of 4.2 million shares of Euronet Common Stock at a conversion price of $33.63 per share upon the occurrence of certain events (relating to the closing prices of Euronet common stock exceeding certain thresholds for specified periods). We will pay contingent interest, during any six-month period commencing with the period from December 20, 2009 through June 14, 2010, and for each six-month period thereafter from June 15 to December 14 or December 15 to June 14, for which the average trading price of the debentures for the applicable five trading-day period preceding such applicable interest period equals or exceeds 120% of the principal amount of the debentures. Contingent interest will equal 0.30% per annum of the average trading price of a debenture for such five trading-day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When due, these debentures can be settled in cash or Euronet Common Stock, at our option, at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right="520"/>
        <w:spacing w:after="0" w:line="277" w:lineRule="auto"/>
        <w:rPr>
          <w:sz w:val="20"/>
          <w:szCs w:val="20"/>
          <w:color w:val="auto"/>
        </w:rPr>
      </w:pPr>
      <w:r>
        <w:rPr>
          <w:rFonts w:ascii="Arial" w:cs="Arial" w:eastAsia="Arial" w:hAnsi="Arial"/>
          <w:sz w:val="18"/>
          <w:szCs w:val="18"/>
          <w:color w:val="auto"/>
        </w:rPr>
        <w:t>predetermined conversion rates. These terms and other material terms and conditions applicable to the convertible senior debentures are set forth in the indenture governing the debentures.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debentures are discussed further in Note 10 – Debt Obligations to the Consolidated Financial Statements.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Proceeds from issuance of shares and other capital contributions</w:t>
      </w:r>
      <w:r>
        <w:rPr>
          <w:rFonts w:ascii="Arial" w:cs="Arial" w:eastAsia="Arial" w:hAnsi="Arial"/>
          <w:sz w:val="17"/>
          <w:szCs w:val="17"/>
          <w:color w:val="auto"/>
        </w:rPr>
        <w:t xml:space="preserve"> – We have established, and shareholders have approved, share compensation plans (the “SCP”) that allow the Company to make grants of restricted stock, or options to purchase shares of Common Stock, to certain current and prospective key employees, directors and consultants. We have reserved a total of 13,663,991 shares of Common Stock under the SCP. During 2006, 1,458,072 stock options were exercised at an average exercise price of $8.83, resulting in proceeds to us of approximately $12.9 million.</w:t>
      </w:r>
    </w:p>
    <w:p>
      <w:pPr>
        <w:spacing w:after="0" w:line="63"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We also sponsor a qualified Employee Stock Purchase Plan (“ESPP”) under which we reserved 500,000 shares of Common Stock for purchase under the plan by employees through payroll deductions according to specific eligibility and participation requirements. This plan qualifies as an “employee stock purchase plan” under Section 423 of the Internal Revenue Code of 1986. Offerings commence at the beginning of each quarter and expire at the end of the quarter.</w:t>
      </w:r>
    </w:p>
    <w:p>
      <w:pPr>
        <w:ind w:right="80"/>
        <w:spacing w:after="0" w:line="295" w:lineRule="auto"/>
        <w:rPr>
          <w:sz w:val="20"/>
          <w:szCs w:val="20"/>
          <w:color w:val="auto"/>
        </w:rPr>
      </w:pPr>
      <w:r>
        <w:rPr>
          <w:rFonts w:ascii="Arial" w:cs="Arial" w:eastAsia="Arial" w:hAnsi="Arial"/>
          <w:sz w:val="16"/>
          <w:szCs w:val="16"/>
          <w:color w:val="auto"/>
        </w:rPr>
        <w:t>Under the plan, participating employees are granted options, which immediately vest and are automatically exercised on the final date of the respective offering period. The exercise price of Common Stock options purchased is the lesser of 85% of the “fair market value” (as defined in the ESPP) of the shares on the first day of each offering or the last day of each offering. The options are funded by participating employees’ payroll deductions or cash payments. During 2006, we issued 41,492 shares at an average price of $24.00 per share, resulting in proceeds to us of approximately $1.0 million.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These plans are discussed further in Note 14 – Stock Plans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We have potential contingent obligations to the former owners of the net assets of Movilcarga. Based upon presently available information we do not believe any additional payments will be required. The seller has disputed this conclusion and may seek arbitration as provided for in the purchase agreement. Any additional payments, if ultimately determined to be owed the seller, would be recorded as additional goodwill and could be made in either cash of a combination of cash and Euronet common stock at our option. This is discussed further in Note 4 – Acquisitions to the Consolidated Financial Statements.</w:t>
      </w:r>
    </w:p>
    <w:p>
      <w:pPr>
        <w:spacing w:after="0" w:line="8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See sections entitled “— Other trends and uncertainties — Agreement to acquire RIA” and “— Other trends and uncertainties — Agreement to acquire La Nacional” below for discussion of liquidity and capital resources involving an acquisition expected to close during the first half of 2007.</w:t>
      </w:r>
    </w:p>
    <w:p>
      <w:pPr>
        <w:spacing w:after="0" w:line="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 xml:space="preserve"> – We lease ATMs and other property and equipment under capital lease arrangements that expire between 2007 and 2011. The leases bear interest between 2.5% and 12.5% per year. As of December 31, 2006, we owed $20.0 million under these capital lease 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 event the bank or we were to terminate the related outsourcing agreement. We expect that, if terms were acceptable, we would acquire more ATMs from banks under such outsourcing and lease agreements.</w:t>
      </w:r>
    </w:p>
    <w:p>
      <w:pPr>
        <w:spacing w:after="0" w:line="7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2006 were $24.4 million, of which $4.9 million were funded through capital leases. These capital expenditures were required primarily for the purchase of ATMs to meet contractual requirements in Poland and India, the purchase and installation ATMs in key under-penetrated markets, the purchase of POS terminals for the Prepaid Processing Segment and office and data center computer equipment and software.</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Prepaid Processing Segment, approximately 90,000 of the more than 296,000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required to maintain ATM hardware for Euronet-owned ATMs and software for all ATMs in our network in accordance with certain regulations and mandates established by local country regulatory and administrative bodies as well as EMV (Europay, MasterCard and Visa) chip card support. Accordingly, we expect additional capital expenditures over the next few years to maintain compliance with these regulations and/or mandates. While we do not currently have plans to increase capital expenditures to expand our network of owned ATMs, we expect that if strategic opportunities were available to us, we would consider increasing future capital expenditures to expand this network in new or existing markets. Upgrades to our ATM software and hardware were required in 2005 to meet EMV mandates such as Triple DES (Data Encryption Standard) and “micro-chip” card technology for smart cards. We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completed a plan for implementation and delivery of the hardware and software modifications; the remaining capital expenditures necessary to complete these upgrade requirements are estimated to be approximately $3.0 million.</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Excluding acquisitions completed subsequent to December 31, 2006, total capital expenditures for 2007 are estimated to be approximately $25 million to $30 million, primarily for the purchase of ATMs to meet contractual requirements in Poland and India, to purchase and install ATMs in future key under-penetrated markets, the purchase of terminals for the Prepaid Processing Segment and office and data center computer equipment and software. We expect approximately $10 million of the capital expenditures will be covered through capital leases in conjunction with ATM outsourcing agreements where we already have signed agreements with banks. The balance of these capital expenditures will be funded through cash generated from operations, together with cash on hand.</w:t>
      </w:r>
    </w:p>
    <w:p>
      <w:pPr>
        <w:spacing w:after="0" w:line="8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At current and projected cash flow levels, we anticipate that our cash generated from operations, together with cash on hand and amounts available under our recently amended revolving credit agreements and other and existing and future financing will be sufficient to meet our debt, leasing, contingent acquisition and capital expenditure obligations. If our cash is insufficient to meet these obligations, we will seek to refinance our debt under terms acceptable to us. However, we can offer no assurances that we will be able to obtain favorable terms for the refinancing of any of our debt or obligations.</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decide to raise additional capital through the issuance of additional debt or equity instruments, the proceeds of which could be used to fund additional growth through future acquisitions, if appropriate, and for general corporate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we owed it approximately $2.0 million for the provision of cash during the fourth quarter 1999 and first quarter 2000 that has not been returned. This claim, based on events that purportedly occurred over five years ago, was made more than a year after we had terminated our business with the Contractor and established a cash supply agreement with another supplier. In the first quarter 2006, the Contractor initiated legal action in Budapest, Hungary regarding the claim. The claim is currently in arbitration. We believe that we have strong defenses to this action and, accordingly, we have not recorded any liability or expense related to this claim. We will continue to monitor and assess this claim until ultimate resolution.</w:t>
      </w:r>
    </w:p>
    <w:p>
      <w:pPr>
        <w:spacing w:after="0" w:line="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From time to time, we are a party to litigation arising in the ordinary course of business. Currently, there are no other contingencies that we believe, either individually or in the aggregate, would have a material adverse effect upon our consolidated results of operations or financial condition.</w:t>
      </w:r>
    </w:p>
    <w:p>
      <w:pPr>
        <w:spacing w:after="0" w:line="3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2006, the Internal Revenue Service announced that Internal Revenue Code Section 4251 (relating to telecommunications excise tax) will no longer apply to, among other services, prepaid mobile airtime such as the services offered by our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We plan to claim refunds for amounts paid during this period. Because of the complexity of the matter, the refund claim has not yet been quantified. No amounts have been recorded, or will be recorded for any potential recovery, in our Consolidated Financial Statements until such time as the refund is considered “realizable” as stipulated under SFAS No. 5, “Accounting for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Agreement to acquire RIA</w:t>
      </w:r>
      <w:r>
        <w:rPr>
          <w:rFonts w:ascii="Arial" w:cs="Arial" w:eastAsia="Arial" w:hAnsi="Arial"/>
          <w:sz w:val="16"/>
          <w:szCs w:val="16"/>
          <w:color w:val="auto"/>
        </w:rPr>
        <w:t xml:space="preserve"> – As discussed under “Opportunities and Challenges” above and in Note 4 – Acquisitions to the Consolidated Financial Statements, during the fourth quarter 2006 we agreed to acquire, subject to regulatory approvals and other customary closing conditions, the stock of RIA. The purchase price is comprised of $380 million in cash, $110 million in Euronet Common Stock and certain contingent value and stock appreciation rights. This acquisition is expected to close during the first half of 2007. Approximately $200 million of the purchase price will be funded through cash on hand, with the remaining cash obligation will be borrowed under a Senior Credit Facility that includes both a Term Loan to be repaid over seven years and an new $75 million five year term Revolving Credit Facility that replaces our current $50 million facility as amended during second quarter 2006. We estimate that we will be able to repay the $180 million acquisition debt within a few years through cash flows available from operations. Based on current trading prices for our common stock, we expect to issue approximately 3.9 million shares of our Common Stock in consideration for this acquisition, excluding any potential shares to be issued in settlement of the contingent value and stock appreciation rights that is expected to occur approximately 18 months after the acquisition closing date. We have the option to settle the contingent value and stock appreciation rights in either cash or Euronet Common Stock. Assuming the acquisition closes with an effective date of April 1, 2007, we expect the acquisition of RIA to be approximately $0.07 to $0.13 dilutive to 2007 diluted earnings per share and approximately $0.20 to $0.25 accretive to 2008 diluted earnings per share.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jc w:val="both"/>
        <w:ind w:right="80"/>
        <w:spacing w:after="0" w:line="302" w:lineRule="auto"/>
        <w:rPr>
          <w:sz w:val="20"/>
          <w:szCs w:val="20"/>
          <w:color w:val="auto"/>
        </w:rPr>
      </w:pPr>
      <w:r>
        <w:rPr>
          <w:rFonts w:ascii="Arial" w:cs="Arial" w:eastAsia="Arial" w:hAnsi="Arial"/>
          <w:sz w:val="16"/>
          <w:szCs w:val="16"/>
          <w:u w:val="single" w:color="auto"/>
          <w:color w:val="auto"/>
        </w:rPr>
        <w:t>Euronet Payments &amp; Remittance</w:t>
      </w:r>
      <w:r>
        <w:rPr>
          <w:rFonts w:ascii="Arial" w:cs="Arial" w:eastAsia="Arial" w:hAnsi="Arial"/>
          <w:sz w:val="16"/>
          <w:szCs w:val="16"/>
          <w:color w:val="auto"/>
        </w:rPr>
        <w:t xml:space="preserve"> – During 2005 we acquired TelecommUSA, now Euronet Payments &amp; Remittance. In connection with the expected future expansion of our card-based money transfer and bill payment product through our existing POS terminals, we expect to incur potentially significant costs for technical development and marketing. During 2006, operating expenses of the money transfer and bill payment business exceeded revenues by $3.3 million and we expect to incur operating expenses in excess of revenues of approximately $1.5 million or more during 2007.</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Euronet Payments &amp; Remittance is consistent with our core business of transaction processing and we currently have over 1,600 sending locations in the U.S. to facilitate consumer remittances to approximately 24,000 distribution outlets in Latin America. We also offer bill payment services to approximately 5,000 U.S. billers. The card-based system allows retailers to accept cash at a designated POS location and transfer it to any of the money transfer locations connected to the system. The system is fast and easy to use for both retailers and consumers and is designed to verify transactions in compliance with all state and federal regulations, including the Bank Secrecy Act and Patriot Act regulations and all other rules and regulations enforced by the Office of Foreign Assets Control (“OFAC”) and Financial Crimes Enforcement Network (“FINCEN”). Transfers can be picked up in cash, deposited to a bank account, or loaded to a stored value card.</w:t>
      </w:r>
    </w:p>
    <w:p>
      <w:pPr>
        <w:spacing w:after="0" w:line="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section entitled “Agreement to acquire RIA” above contains further discussion regarding an acquisition that we expect to close during the first half of 2007 that would substantially expand our money transfer and bill payment business in the U.S. and internationally.</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EFT Processing Segment expansion in China</w:t>
      </w:r>
      <w:r>
        <w:rPr>
          <w:rFonts w:ascii="Arial" w:cs="Arial" w:eastAsia="Arial" w:hAnsi="Arial"/>
          <w:sz w:val="18"/>
          <w:szCs w:val="18"/>
          <w:color w:val="auto"/>
        </w:rPr>
        <w:t xml:space="preserve"> – In January 2006, through Jiayintong (Beijing) Technology Development Co. Ltd., our 75% owned joint venture with Ray Holdings in China, we entered into an ATM outsourcing pilot agreement with Postal Savings and Remittance Bureau (“PSRB”), a financial institution located and organized in China. Under the pilot agreement we deployed and are providing all of the day-to-day outsourcing services for a total of 87 ATMs in Beijing, Shanghai and Guangdong, the three largest commercial centers in China. Additionally, during 2006, we signed an ATM outsourcing agreement with a leading multinational bank to deploy 50 ATMs in China beginning in January 2007. We have established a technical processing and operations center in Beijing to operate these ATMs.</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EFT Processing Segment contract renewals and extensions</w:t>
      </w:r>
      <w:r>
        <w:rPr>
          <w:rFonts w:ascii="Arial" w:cs="Arial" w:eastAsia="Arial" w:hAnsi="Arial"/>
          <w:sz w:val="18"/>
          <w:szCs w:val="18"/>
          <w:color w:val="auto"/>
        </w:rPr>
        <w:t xml:space="preserve"> – In 2006, we extended certain EFT Processing Segment customers contracts prior to their original expiration dates to terms that extend for several years beyond 2006. We decided to extend these contract terms for several years beyond their original terms, and possibly gain incremental transaction volumes, in return for granting these customers certain incentives. These incentives have resulted in a decrease in operating profit margin associated with these contracts. If terms are acceptable, we may decide to enter into similar contract extensions with other EFT Processing Segment customers.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Agreement to acquire La Nacional</w:t>
      </w:r>
      <w:r>
        <w:rPr>
          <w:rFonts w:ascii="Arial" w:cs="Arial" w:eastAsia="Arial" w:hAnsi="Arial"/>
          <w:sz w:val="18"/>
          <w:szCs w:val="18"/>
          <w:color w:val="auto"/>
        </w:rPr>
        <w:t xml:space="preserve"> – As discussed under “Opportunities and Challenges” above, during January 2007, we signed a stock purchase agreement to acquire La Nacional, subject to regulatory approvals and other customary closing conditions. In connection with signing the agreement, we deposited funds in an escrow account created for the proposed acquisition. The escrowed funds can only be released by mutual agreement of the Company and La Nacional or through legal remedies available in the agreement.</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become aware that on February 6, 2007, two employees of La Nacional working in different La Nacional stores were arrested for allegedly violating federal money laundering laws and certain state statutes. We are currently gathering additional information to assess the impact of these arrests on La Nacional and on our potential acquisition of that company. The outcome of our analysis is currently uncertain. No assurance can be given that we will close the La Nacional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2006, we adopted the provisions of Statement of Financial Accounting Standards (“SFAS”) No. 123R, which is a revision of SFAS</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 123, “Accounting for Stock-Based Compensation,” and supersedes Accounting Principles Board (“APB”) Opinion No. 25, “Accounting for Stock Issued to Employees.” We elected to adopt SFAS No. 123R utilizing the modified retrospective application method and, accordingly, financial statement amounts for the prior periods presented herein have been adjusted to reflect the fair value method of expensing prescribed by SFAS No. 123R. We believe that this method achieves the highest level of clarity and comparability among the presented periods. See Note 2 – Basis of Presentation, Note 3 – Summary of Significant Accounting Policies and Practices and Note 14 – Stock Plans to the Consolidated Financial Statements for the impact of adjusting prior periods and further discussion.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spacing w:after="0" w:line="288" w:lineRule="auto"/>
        <w:rPr>
          <w:sz w:val="20"/>
          <w:szCs w:val="20"/>
          <w:color w:val="auto"/>
        </w:rPr>
      </w:pPr>
      <w:r>
        <w:rPr>
          <w:rFonts w:ascii="Arial" w:cs="Arial" w:eastAsia="Arial" w:hAnsi="Arial"/>
          <w:sz w:val="16"/>
          <w:szCs w:val="16"/>
          <w:color w:val="auto"/>
        </w:rPr>
        <w:t>Historically, the Compensation Committee of our Board of Directors has awarded nonvested shares or nonvested share units (“restricted stock”) and stock options as an element of long-term management incentive compensation. The amount of future compensation expense related to awards of restricted stock is based on the market price for Euronet Common Stock at the grant date. For grants of stock options, we used the Black-Scholes option pricing model for the determination of fair value for stock option grants and plan to use the Black Scholes option pricing model for future stock option grants, if any. The grant date for stock options or restricted stock is the date at which all key terms and conditions of the grant have been determined and the Company becomes contingently obligated to transfer assets to the employee who renders the requisite service, generally the date at which grants are approved by our Board of Directors or Compensation Committee thereof. Share-based compensation expense for awards with only service conditions is generally recognized as expense on a “straight-line” basis over the requisite service period. For awards with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Expense for stock options and restricted stock is generally recorded as a corporate expense.</w:t>
      </w:r>
    </w:p>
    <w:p>
      <w:pPr>
        <w:spacing w:after="0" w:line="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total unrecognized compensation cost related to unvested stock option and restricted stock awards of $19.0 million that will be recognized over a weighted average period of 4.2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Although Croatia has maintained relatively stable inflation and exchange rates, the functional currency of our Croatian subsidiary is the U.S. dollar due to the significant level of U.S. dollar denominated revenues and expenses. Due to these factors, we do not believe that inflation will have a significant effect on our results of operations or financial position. We continually review inflation and the functional currency in each of the countries where we operate.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certain significant off balance sheet items described below and in the following section, “—Contractual Obligations” (also see Note 20 – Guarantees to the Consolidated Financial Statements).</w:t>
      </w:r>
    </w:p>
    <w:p>
      <w:pPr>
        <w:spacing w:after="0" w:line="6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of December 31, 2006 we had $32.0 million of bank guarantees issued on our behalf, of which $14.2 million are collateralized by cash deposits held by the respective issuing banks. As of December 31, 2006, we have stand-by letters of credit issued on our behalf in the amount of $2.8 million.</w:t>
      </w:r>
    </w:p>
    <w:p>
      <w:pPr>
        <w:spacing w:after="0" w:line="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occasion we grant guarantees of the obligations of our wholly-owned subsidiaries. As of December 31, 2006, we had granted guarantees of the following off balance sheet obligations and amounts:</w:t>
      </w:r>
    </w:p>
    <w:p>
      <w:pPr>
        <w:spacing w:after="0" w:line="62"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Cash in various ATM networks — $19.4 million over the terms of the cash supply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Vendor supply agreements — $3.1 million over the term of the vendor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Performance guarantees — $18.6 million over the terms of the agreements with the customers.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obligations is not stated in the agreements. Our liability under such indemnification provisions may be subject to time and materiality limitations, monetary caps and other conditions and defenses. Such indemnity obligations include the following:</w:t>
      </w:r>
    </w:p>
    <w:p>
      <w:pPr>
        <w:spacing w:after="0" w:line="79" w:lineRule="exact"/>
        <w:rPr>
          <w:sz w:val="20"/>
          <w:szCs w:val="20"/>
          <w:color w:val="auto"/>
        </w:rPr>
      </w:pPr>
    </w:p>
    <w:p>
      <w:pPr>
        <w:ind w:left="660" w:right="460" w:hanging="436"/>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we provide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60" w:hanging="436"/>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We have entered into purchase and service agreements with our vendors and into consulting agreements with providers of consulting services, pursuant to which we have agreed to indemnify certain of such vendors and consultants, respectively, against third-party claims arising from our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73" w:lineRule="auto"/>
        <w:tabs>
          <w:tab w:leader="none" w:pos="66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In connection with acquisitions and disposition of subsidiaries, operating units and business assets, we have entered into agreements containing indemnification provisions, which are generally described as follows: (i) in connection with acquisitions made by Euronet, we have agreed to indemnify the seller against third party claims made against the seller relating to the subject subsidiary, operating unit or asset and arising after the closing of the transaction, and (ii) in connection with dispositions made by us, we have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ind w:left="660" w:right="360" w:hanging="436"/>
        <w:spacing w:after="0" w:line="264"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We have entered into agreements with certain third parties, including banks that provide fiduciary and other services to Euronet or to our benefit plans. Under such agreements, we have agreed to indemnify such service providers for third party claims relating to the carrying out of their respective duties under such agreements.</w:t>
      </w:r>
    </w:p>
    <w:p>
      <w:pPr>
        <w:spacing w:after="0" w:line="86"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In connection with our entry into the money transfer business, we have issued surety bonds in compliance with licensing requirements of those states.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date, we are not aware of any significant claims made by the indemnified parties or parties to guarantee agreements with us and, accordingly, no liabilities have been recorded as of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8"/>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0"/>
                <w:szCs w:val="10"/>
                <w:color w:val="auto"/>
              </w:rPr>
            </w:pPr>
          </w:p>
        </w:tc>
        <w:tc>
          <w:tcPr>
            <w:tcW w:w="84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Less than</w:t>
            </w:r>
          </w:p>
        </w:tc>
        <w:tc>
          <w:tcPr>
            <w:tcW w:w="540" w:type="dxa"/>
            <w:vAlign w:val="bottom"/>
          </w:tcPr>
          <w:p>
            <w:pPr>
              <w:spacing w:after="0"/>
              <w:rPr>
                <w:sz w:val="10"/>
                <w:szCs w:val="10"/>
                <w:color w:val="auto"/>
              </w:rPr>
            </w:pPr>
          </w:p>
        </w:tc>
        <w:tc>
          <w:tcPr>
            <w:tcW w:w="13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1-3 years</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32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 year</w:t>
            </w:r>
          </w:p>
        </w:tc>
        <w:tc>
          <w:tcPr>
            <w:tcW w:w="5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Long-term debt obligations, less current maturities, including</w:t>
            </w:r>
          </w:p>
        </w:tc>
        <w:tc>
          <w:tcPr>
            <w:tcW w:w="5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$ 395,207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11,174</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$ 191,934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12,250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$ 179,849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Short-term debt obligations and current maturities of long-</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term debt obligations, including interest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4,548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4,548</w:t>
            </w:r>
          </w:p>
        </w:tc>
        <w:tc>
          <w:tcPr>
            <w:tcW w:w="540" w:type="dxa"/>
            <w:vAlign w:val="bottom"/>
          </w:tcPr>
          <w:p>
            <w:pPr>
              <w:spacing w:after="0"/>
              <w:rPr>
                <w:sz w:val="20"/>
                <w:szCs w:val="20"/>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potential acquisition obligations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492,500</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Obligations under capital leases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23,958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8,256</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9,615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5,567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operating leases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48,416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10,479</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18,633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12,714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Vendor purchase obligations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9,103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6,203</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2,608</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$ 976,232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533,160</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$ 224,040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32,073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$ 186,959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purposes of the above table, our $140 million convertible debentures issued in December 2004 are considered due during 2009, and our $175 million convertible debentures issued in October 2005 are considered due during 2012, representing the first years in which holders have the right to exercise their put option. Additionally, the above table only includes interest on these convertible debentures up to the potential settlement dates. For additional information on debt obligations, see Note 10 – Debt Obligations to the Consolidated Financial Statements.</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Estimated potential acquisition obligations as of December 31, 2006 include: 1) $490 million in cash and Euronet Common Stock to be provided to the sellers of RIA upon closing, which is expected during the first half of 2007; 2) $2.5 million in cash to be provided to the sellers of Brodos SRL (“Brodos”) upon the achievement of certain closing conditions, which were completed in January 2007; and 3) additional consideration to be settled in cash or Euronet Common Stock that we may have to pay during 2009 and 2010 in connection with the acquisition of Brodos, totaling up to $2.5 million. See Note 4 – Acquisitions to the Consolidated Financial Statements for a more complete description of these acquisitions.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capital and operating lease obligations, see Note 11 – Leases to the Consolidated Financial Statements.</w:t>
      </w:r>
    </w:p>
    <w:p>
      <w:pPr>
        <w:spacing w:after="0" w:line="11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Purchase obligations include contractual amounts for ATM maintenance, cleaning, telecommunication and cash replenishment operating expenses. While contractual payments may be greater or less based on the number of ATMs and transaction levels, purchase obligations listed above are estimated based on current levels of such business activity. For additional information, see Note 20 – Guarantees 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preparation of financial statements and related disclosures in conformity with accounting principles generally accepted in the U.S. requires management to make judgments, assumptions, and estimates, often as a result of the need to make estimates of matters that are inherently uncertain and for which the actual results will emerge over time. These judgments, assumptions and estimates affect the amounts of assets, liabilities, revenues and expenses reported in the Consolidated Financial Statements and accompanying notes. Note 3 – Summary of Significant Accounting Policies and Practices to the Consolidated Financial Statements describes the significant accounting policies and methods used in the preparation of the Consolidated Financial Statements. Our most critical estimates and assumptions are used for computing income taxes, estimating the useful lives and potential impairment of long-lived assets and goodwill, as well as allocating the purchase price to assets acquired in acquisitions. The Company bases its estimates on historical experience and on various other assumptions that are believed to be reasonable under the circumstances, the results of which form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right="160"/>
        <w:spacing w:after="0" w:line="286" w:lineRule="auto"/>
        <w:rPr>
          <w:sz w:val="20"/>
          <w:szCs w:val="20"/>
          <w:color w:val="auto"/>
        </w:rPr>
      </w:pPr>
      <w:r>
        <w:rPr>
          <w:rFonts w:ascii="Arial" w:cs="Arial" w:eastAsia="Arial" w:hAnsi="Arial"/>
          <w:sz w:val="17"/>
          <w:szCs w:val="17"/>
          <w:color w:val="auto"/>
        </w:rPr>
        <w:t>basis for making judgments about the carrying value of assets and liabilities that are not readily apparent from other sources. The following descriptions of critical accounting policies and estimates are forward-looking statements and are impacted significantly by estimates and should be read in conjunction with Item 1A – Risk Factors. Actual results could differ materially from the results anticipated by these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deferred income tax effects of transactions reported in different periods for financial reporting and income tax return purposes are recorded under the liability method. This method gives consideration to the future tax consequences of deferred income or expense items and immediately recognizes changes in income tax laws upon enactment. The income statement effect is generally derived from changes in deferred income taxes, net of valuation allowances, on the balance sheet as measured by differences in the book and tax bases of our assets and liabilities.</w:t>
      </w:r>
    </w:p>
    <w:p>
      <w:pPr>
        <w:spacing w:after="0" w:line="6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12 – Taxes to the Consolidated Financial Statements, gross deferred tax assets were $42.8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partially offset by a valuation allowance of $14.4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10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2006.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SFAS No. 141, “Business Combinations,” the Company allocates the purchase price of its acquisitions to the tangible assets, liabilities and intangible assets acquired based on their estimated fair values. The excess purchase price over those fair values is recorded as goodwill. The fair value assigned to intangible assets acquired is supported by valuations using estimates and assumptions provided by management. For larger or more complex acquisitions, management engaged an appraiser to assist in the evaluation. Intangible assets with finite lives are amortized over their estimated useful lives. As of December 31, 2006, the Company’s consolidated balance sheet includes goodwill of $278.7 million and acquired intangible assets, net of accumulated amortization, of $47.5 million.</w:t>
      </w:r>
    </w:p>
    <w:p>
      <w:pPr>
        <w:spacing w:after="0" w:line="8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accordance with SFAS No. 142, “Goodwill and Other Intangible Assets,” on an annual basis, and whenever events or circumstances dictate, the Company tests for impairment.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the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The Company’s annual impairment tests during the years 2006, 2005 and 2004 indicated that there were no impairments.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 could change, which may result in the recording of material non-cash impairment charges during the year in which these changes take place.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long-lived assets, such as property and equipment and intangible assets subject to amortization, are reviewed for impairment whenever events or changes in circumstances indicate that the carrying amount of an asset may not be recoverable. Factors that are considered important which could trigger an impairment review include the following: significant underperformance relative to expected historical or projected future operating results; significant changes in the manner of the Company’s use of the acquired assets or the strategy for the overall business; and significant negative industry or economic trends.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right="120"/>
        <w:spacing w:after="0" w:line="291" w:lineRule="auto"/>
        <w:rPr>
          <w:sz w:val="20"/>
          <w:szCs w:val="20"/>
          <w:color w:val="auto"/>
        </w:rPr>
      </w:pPr>
      <w:r>
        <w:rPr>
          <w:rFonts w:ascii="Arial" w:cs="Arial" w:eastAsia="Arial" w:hAnsi="Arial"/>
          <w:sz w:val="16"/>
          <w:szCs w:val="16"/>
          <w:color w:val="auto"/>
        </w:rPr>
        <w:t>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Assets to be disposed are required to be separately presented in the balance sheet and reported at the lower of the carrying amount or fair value less costs to sell, and are no longer depreciated. The assets and liabilities of a disposal group classified as held for sale are required to be presented separately in the appropriate asset and liability sections of the balance sheet. Reviewing long-lived assets for impairment requires considerable judgment. Estimating the future cash flows requires significant judgment. If future cash flows do not materialize as expected or there is a future adverse change in market conditions, the Company may be unable to recover the carrying amount of an asset, resulting in future impairment losses.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 PINs and other</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Inventory – PINs and other increased to $49.5 million at December 31, 2006 from $25.6 million at December 31, 2005. Inventory – PINs and other includes prepaid personal identification number (“PIN”) inventory for prepaid mobile airtime purchases related to the Prepaid Processing Segment. This category also includes smaller amounts for POS terminals, mobile phone handsets and ATMs held for sale. A portion of the increase is the result of our Prepaid Processing subsidiary in Australia holding $8.0 million in PIN inventory as of December 31, 2006 in connection with a mobile operator’s change from a “consignment” practice to a “billable-with-terms” practice during 2006. Additionally, we had increased PIN inventory levels at our subsidiaries in New Zealand, the U.K., Germany, Poland and the U.S. due to business growth and large PIN purchases made near the end of the year to ensure appropriate stock levels through the holiday season. We generally sell our PIN inventory within a very short timeframe, thereby limiting our exposure to overall reductions in the market value of PINs or other obsolescence issues.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accounts receivable, net</w:t>
      </w:r>
    </w:p>
    <w:p>
      <w:pPr>
        <w:spacing w:after="0" w:line="117"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Net trade accounts receivables increased to $212.6 million at December 31, 2006 from $166.5 million at December 31, 2005. The primary component of our trade accounts receivable represents amounts to be collected on behalf of mobile operators for the full value of the prepaid mobile airtime sold in our Prepaid Processing Segment, which continues to experience growth. Generally, these balances are collected and remitted to the mobile operators within two weeks.</w:t>
      </w:r>
    </w:p>
    <w:p>
      <w:pPr>
        <w:ind w:right="20"/>
        <w:spacing w:after="0" w:line="253" w:lineRule="auto"/>
        <w:rPr>
          <w:sz w:val="20"/>
          <w:szCs w:val="20"/>
          <w:color w:val="auto"/>
        </w:rPr>
      </w:pPr>
      <w:r>
        <w:rPr>
          <w:rFonts w:ascii="Arial" w:cs="Arial" w:eastAsia="Arial" w:hAnsi="Arial"/>
          <w:sz w:val="18"/>
          <w:szCs w:val="18"/>
          <w:color w:val="auto"/>
        </w:rPr>
        <w:t>The December 31, 2006 balance includes $2.3 million in accounts receivable related to Essentis, which was acquired during January 2006. The remaining increase of $43.8 million is due mainly to continued growth in the Prepaid Processing Segment as well as differences in the timing of settlements with mobile operators, primarily in the U.K and Australia. A portion of this increase was also due to the strengthening of the functional currencies in many of our jurisdictions relative to the U.S. dollar. As of December 31, 2006, euros, British pounds, Australian dollars and Polish zloty ranged from approximately 8% to 14% higher relative to the U.S. dollar than they were as of December 31, 2005.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property and equipment increased to $55.2 million as of December 31, 2006 from $44.9 million as of December 31, 2005. Of this $10.3 million increase, $2.4 million is due to the acquisition of Essentis in January 2006 and the identification of assets under capital lease arrangements at Instreamline. Capital additions were $24.4 million during 2006, $4.9 million of which were funded through capital leases. During 2006, we incurred capital expenditures for ATMs or ATM upgrades of $10.5 million, primarily in Poland, India and Germany. We believe these upgrades will substantially increase the economic life of our ATMs. We incurred capital expenditures for POS terminals of $4.7 million, primarily in Germany, the U.S., Poland and the U.K. And we incurred capital expenditures of $4.3 million for computer equipment and software for our various processing centers. The remaining $4.9 million in capital expenditures were for other equipment, computers and software. Offsetting these increases, were depreciation and amortization expense of $19.3 million and net disposals of property and equipment of $2.1 million during 2006. The remaining increase of $4.9 million was mainly due to the impact of fluctuations in exchange rates relative to the U.S. dollar during 2006.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net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intangible assets and goodwill increased to $326.3 million at December 31, 2006 from $317.9 million at December 31, 2005 due primarily to the acquisition of Essentis and the earn-out for the Dynamic Telecom acquisition finalized during 2006. The following table summarizes goodwill and acquired intangible asset activity for 2006:</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50,724</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$ 267,195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$ 317,919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Earn-out payment related to 2005 acquisitions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4,125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other 2005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(8,350)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240" w:type="dxa"/>
            <w:vAlign w:val="bottom"/>
            <w:gridSpan w:val="2"/>
          </w:tcPr>
          <w:p>
            <w:pPr>
              <w:spacing w:after="0"/>
              <w:rPr>
                <w:sz w:val="20"/>
                <w:szCs w:val="20"/>
                <w:color w:val="auto"/>
              </w:rPr>
            </w:pPr>
            <w:r>
              <w:rPr>
                <w:rFonts w:ascii="Arial" w:cs="Arial" w:eastAsia="Arial" w:hAnsi="Arial"/>
                <w:sz w:val="18"/>
                <w:szCs w:val="18"/>
                <w:color w:val="auto"/>
              </w:rPr>
              <w:t>Balance as of December 31, 2006</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47,539</w:t>
            </w:r>
          </w:p>
        </w:tc>
        <w:tc>
          <w:tcPr>
            <w:tcW w:w="6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$ 278,743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$ 326,282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 assets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Current and non-current deferred income tax assets totaled $28.4 million at December 31, 2006, compared to $8.8 million at December 31, 2005. This increase of $19.6 million is due primarily to 2 reasons: 1) the recognition of deferred tax assets associated with an increase in our U.S. tax loss carryforwards resulting from the deduction of interest expense on the contingent interest convertible debentures calculated at the comparable yield for U.S. tax purposes compared to the accrual of interest expense at the stated yield for accounting purposes; and 2) the reduction of valuation allowance for earnings, primarily foreign currency translation gains, derived by our U.S. operations. The deduction for the excess of the comparable yield over the stated yield on the contingent interest convertible bonds is also recorded as a deferred tax liability because the tax benefit for such deductions will be recorded as a component of additional paid in capital upon payment of the contingent interest.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accounts payable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increased to $269.2 million at December 31, 2006 from $202.7 million at December 31, 2005. The primary component of our trade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represents payables to mobile operators in connection with the timing of the settlement process for the Prepaid Processing Segment,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continues to grow. During 2006, this balance increased by $65.0 million due to growth in the Prepaid Processing Segment, as well as differences in the timing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settlements with mobile operators in the U.K., the U.S., Australia, Germany and Poland. A portion of this increase also reflects the strengthening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functional currencies in many of our jurisdictions relative to the U.S. dollar. As of December 31, 2006, euros, British pounds, Australian dollars and Polish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zloty ranged from approximately 8% to 14% stronger relative to the U.S. dollar than they were as of December 31, 2005. The remaining net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 million is the result of increases and decreases across our other operations, including an additional $0.7 million in accounts payable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 related to Essentis, which was acquired effective January 1, 2006.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Accrued expenses and other current liabilities increased to $99.0 million at December 31, 2006 from $77.1 million at December 31, 2005. The December 31, 2005 balance included $3.2 million in accruals for the purchase of the remaining 6.25% ownership share of our subsidiary in India and the remaining 34% of our subsidiary in Serbia, Europlanet, which were settled during the first quarter 2006. Partially offsetting this decrease was $2.8 million in additional accruals related to Essentis, which was acquired in January 2006. The remaining net increase of $22.3 million is primarily due growth in the Prepaid Processing Segment, as well as differences in the timing of the settlement process with mobile operators, primarily Australia and New Zealand. As mentioned above, a portion of this increase was also due to strengthening of foreign currency exchange rates relative to the U.S. dollar in many of our jurisdictions.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Debt obligations and capital leases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December 31, 2006, total indebtedness increased to $373.5 million from $355.6 million as of December 31, 2005. During 2006 we amended our October 2004, $50 million revolving credit agreement to extend the maturity date to May 26, 2009, established a new credit facility in India and expanded the participating financial institutions from one to three. The amended and new agreements allow the Company to elect to increase the aggregate commitments under the credit facility from $50 million to $65 million. Although we may elect to repay these balances within one year, balances outstanding under this facility are classified as long-term debt obligations because the maturity date of the revolving credit agreements is beyond one year. The $17.9 million increase in total debt obligations includes $26.0 million in amounts drawn on our revolving credit facilities during December 2006 for short term working capital requirements. These borrowings were repaid in January 2007. The offsetting decrease is primarily due to repayments of other borrowings under our revolving credit facilities that were being used at the end of 2005 to fund short-term working capital requirements, primarily in Spain.</w:t>
      </w:r>
    </w:p>
    <w:p>
      <w:pPr>
        <w:spacing w:after="0" w:line="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connection with certain long-term outsourcing agreements, we lease many of our ATMs under capital lease arrangements where, generally, we purchase a bank’s ATMs and simultaneously sell the ATMs to an entity related to the bank and lease back the ATMs for purposes of fulfilling the ATM outsourcing agreement with the bank. We generally recover the related lease costs from the bank under the outsourcing agreements. Our total capital lease obligations increased to $20.0 million at December 31, 2006 from $17.7 million at December 31, 2005 due to additional leases in India and additional leases identified in connection with our acquisition of Instreamline, partially offset by capital lease repayments during 2006.</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our debt obligations for 2006 is summarized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9"/>
              </w:rPr>
              <w:t>Revolving</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1.625%</w:t>
            </w:r>
          </w:p>
        </w:tc>
        <w:tc>
          <w:tcPr>
            <w:tcW w:w="6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3.50%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8"/>
              </w:rPr>
              <w:t>Capital</w:t>
            </w: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8"/>
              </w:rPr>
              <w:t>Credit</w:t>
            </w:r>
          </w:p>
        </w:tc>
        <w:tc>
          <w:tcPr>
            <w:tcW w:w="10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Debentures</w:t>
            </w:r>
          </w:p>
        </w:tc>
        <w:tc>
          <w:tcPr>
            <w:tcW w:w="3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Facilities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2"/>
              </w:rPr>
              <w:t>Leases</w:t>
            </w:r>
          </w:p>
        </w:tc>
        <w:tc>
          <w:tcPr>
            <w:tcW w:w="14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Due 2024</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Due 2025</w:t>
            </w: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17,660</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$ 140,000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Indebtedness incurred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38,756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6,928</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Repayments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(12,761)</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(14,857)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(8,156)</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 accrued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1,781</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Foreign exchange loss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1,788</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20,001</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373,452</w:t>
            </w:r>
          </w:p>
        </w:tc>
        <w:tc>
          <w:tcPr>
            <w:tcW w:w="0" w:type="dxa"/>
            <w:vAlign w:val="bottom"/>
          </w:tcPr>
          <w:p>
            <w:pPr>
              <w:spacing w:after="0"/>
              <w:rPr>
                <w:sz w:val="1"/>
                <w:szCs w:val="1"/>
                <w:color w:val="auto"/>
              </w:rPr>
            </w:pP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(4,378)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(6,592)</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(10,970)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obligations at December 31,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34,073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13,409</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$ 140,000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$ 362,482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10 – Debt Obligations to the Consolidated Financial Statements.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Subject to regulatory approvals and other customary closing conditions, we have agreed to acquire RIA and received a commitment for $180 million of additional debt financing, to be issued through a secured, syndicated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 liabilities</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Current and non-current deferred income tax liabilities totaled $47.2 million as of December 31, 2006, compared to $28.2 million as of December 31, 2005. This majority of the increase of $19.0 million is due to the following 3 reasons: 1) an increase to deferred tax liabilities for the excess of interest expense deducted for U.S. tax purposes at the comparable yield over the stated yield on the contingent interest convertible bonds, the tax benefit of which will be transferred to additional paid in capital upon realization; 2) an increase to deferred tax liabilities for unrealized foreign exchange gains derived by our U.S. operations on short-term investments and inter-company loans to our foreign subsidiaries denominated in currencies other than the U.S. dollar; and 3) an increase to deferred tax liabilities for the amortization of tax deductible goodwill.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stockholders’ equity</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stockholders’ equity increased to $288.3 million at December 31, 2006 from $206.4 million at December 31, 2005. This $81.9 million increase is the result of:</w:t>
      </w:r>
    </w:p>
    <w:p>
      <w:pPr>
        <w:spacing w:after="0" w:line="62"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$46.3 million in net income for the year ended December 31, 2006;</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$4.1 million in common stock issued in settlement of the Dynamic Telecom earn-out;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left="220" w:hanging="212"/>
        <w:spacing w:after="0"/>
        <w:tabs>
          <w:tab w:leader="none" w:pos="2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$14.6 million from stock issued under employee stock plans;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$7.4 million in share-based compensation;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$9.5 million change in accumulated other comprehensive income (loss).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discussed in the Notes to the Consolidated Financial Statements, we adopted the provisions of SFAS No. 123R on January 1, 2006. We elected to adopt SFAS No. 123R utilizing the modified retrospective application method as provided by SFAS No. 123R and, accordingly, financial statement amounts for the prior periods presented in this Form 10-K have been adjusted to reflect the fair value method of expensing prescribed by SFAS No. 123R. See Note 2 – Basis of Presentation, Note 3 – Significant Accounting Policies and Practices and Note 14 – Stock Plans to the Consolidated Financial Statements for further discussion. These adjustments included an increase of $32.7 million to the January 1, 2006 balance of additional paid-in capital and an offsetting increase of $32.7 million to the January 1, 2006 balance of our accumulated deficit, for the amount of share-based compensation relating to the years 1996 through 2004. Total stockholders’ equity was not impacted by these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2007, we entered agreements to acquire the following companies for a total purchase price of approximately $52 million.</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u w:val="single" w:color="auto"/>
          <w:color w:val="auto"/>
        </w:rPr>
        <w:t>Agreement to acquire La Nacional</w:t>
      </w:r>
      <w:r>
        <w:rPr>
          <w:rFonts w:ascii="Arial" w:cs="Arial" w:eastAsia="Arial" w:hAnsi="Arial"/>
          <w:sz w:val="18"/>
          <w:szCs w:val="18"/>
          <w:color w:val="auto"/>
        </w:rPr>
        <w:t xml:space="preserve"> — As discussed under “Opportunities and Challenges” above, during January 2007, we signed a stock purchase agreement to acquire La Nacional, subject to regulatory approvals and other customary closing conditions. In connection with signing the agreement, we deposited funds in an escrow account created for the proposed acquisition. The escrowed funds can only be released by mutual agreement of the Company and La Nacional or through legal remedies available in the agreement.</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become aware that on February 6, 2007, two employees of La Nacional working in different La Nacional stores were arrested for allegedly violating federal money laundering laws and certain state statutes. We are currently gathering additional information to assess the impact of these arrests on La Nacional and on our potential acquisition of that Company. The outcome of our analysis is currently uncertain. No assurance can be given that we will close the La Nacional acquisition.</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Acquisition of Brodos SRL</w:t>
      </w:r>
      <w:r>
        <w:rPr>
          <w:rFonts w:ascii="Arial" w:cs="Arial" w:eastAsia="Arial" w:hAnsi="Arial"/>
          <w:sz w:val="18"/>
          <w:szCs w:val="18"/>
          <w:color w:val="auto"/>
        </w:rPr>
        <w:t xml:space="preserve"> – During January 2007, we completed the acquisition of Brodos SRL (“Brodos”). Brodos is a leading electronic prepaid mobile airtime processor in Romania and will expand our Prepaid Processing Segment business to Romania.</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u w:val="single" w:color="auto"/>
          <w:color w:val="auto"/>
        </w:rPr>
        <w:t>Acquisition of Omega Logic, Ltd.</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During February 2007, we completed the acquisition of Omega Logic, Ltd. (“Omega Logic”). Omega Logic is a prepaid top-up company based, and primarily operating, in the U.K. This acquisition will enhance our Prepaid Processing Segment business in the U.K.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EMERGING ACCOUNTING PRONOUNCEMENTS NOT YET ADOPTED</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2005, the Financial Accounting Standards Board (“FASB”) issued an exposure draft that would amend Statement of Financial Accounting Standards (“SFAS”) No. 141, “Business Combinations.” During rediliberations, the FASB has reaffirmed certain decisions including, among other things: 1) identifiable intangible assets acquired in a business combination should be measured at a current exchange value rather than at an entity-specific value, 2) measure and recognize the acquiree’s identifiable assets and liabilities and goodwill in a step or partial acquisition at 100 percent of their acquisition date fair values and 3) accounting for transaction related costs as expenses in the period incurred, rather than capitalizing these costs as a component of the respective purchase price. The FASB has not yet reaffirmed decisions on other items, including recording contingent liabilities, as well as earn-out obligations, at estimated value at the acquisition date, with subsequent adjustments being recorded in net income, rather than as an adjustment to goodwill. The FASB expects to issue the final statement during the first half of 2007. If adopted, the changes described above, as well as other possible changes, would likely have a significant impact on the accounting treatment for acquisitions occurring after the effective date.</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2005, the Financial Accounting Standards Board (“FASB”) issued an exposure draft, “Consolidated Financial Statements, Including Accounting and Reporting of Noncontrolling Interests in Subsidiaries,” that would replace Accounting Research Bulletin (“ARB”) 51, “Consolidated Financial Statements.” During rediliberations, the FASB has reaffirmed that noncontrolling interests in subsidiaries should be presented in the consolidated balance sheet within equity, separate from the parent shareholders’ equity. The FASB expects to issue the final statement during the first half of 2007. If adopted, this would result in a change of classification of our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minority interest from a component of liabilities to a component of equity in consolidated balance sheets issued after the effective date.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2006, the Emerging Issues Task Force (“EITF”) issued EITF 06-3, “How Taxes Collected and Remitted to Governmental Authorities Should Be Presented in the Income Statement (That Is, Gross versus Net Presentation).” If significant, this issue requires companies to disclose the policy of presenting such taxes in the income statement on either a gross or net basis. The provisions of this issue will be effective for Euronet beginning January 1, 2007. We present taxes collected and remitted to governmental authorities net on the income statement and, if considered significant, disclosure of this policy will be included in our financial statement footnotes beginning in 2007.</w:t>
      </w:r>
    </w:p>
    <w:p>
      <w:pPr>
        <w:spacing w:after="0" w:line="8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2006, the Financial Accounting Standards Board (“FASB”) issued FASB Interpretation No. 48 (“FIN 48”), “Accounting for Uncertainty in Income Taxes.” FIN 48 is an interpretation of SFAS No. 109, “Accounting for Income Taxes,” and seeks to reduce the diversity in practice associated with certain aspects of the measurement and recognition related to accounting for income taxes. This interpretation also requires expanded disclosure with respect to uncertain tax positions. The provisions of FIN 48 will be effective for Euronet beginning January 1, 2007. We currently evaluating the impact of adopting FIN 48 and have not yet determined the effect on our financial condition, results from operations and cash flows.</w:t>
      </w:r>
    </w:p>
    <w:p>
      <w:pPr>
        <w:spacing w:after="0" w:line="6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2006, the FASB issued SFAS No. 157, “Fair Value Measurements.”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The provisions of SFAS No. 157 will be effective for Euronet beginning January 1, 2008. We are in the process of determining the effect, if any, that the adoption of SFAS No. 157 will have on our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and section 21E of the U.S. Securities Exchange Act of 1934, as amended.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business plans and financing plans and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and financing plans and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technological advances,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Although we believe that the expectations reflected in such forward-looking statements are reasonable, we can give no assurance that such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including, but not limited to, those referred to above and as set forth in Item 1A – Risk Factors.</w:t>
      </w:r>
    </w:p>
    <w:p>
      <w:pPr>
        <w:spacing w:after="0" w:line="166"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i w:val="1"/>
          <w:iCs w:val="1"/>
          <w:color w:val="auto"/>
        </w:rPr>
        <w:t>Interest rate risk</w:t>
      </w:r>
    </w:p>
    <w:p>
      <w:pPr>
        <w:spacing w:after="0" w:line="276" w:lineRule="auto"/>
        <w:rPr>
          <w:sz w:val="20"/>
          <w:szCs w:val="20"/>
          <w:color w:val="auto"/>
        </w:rPr>
      </w:pPr>
      <w:r>
        <w:rPr>
          <w:rFonts w:ascii="Arial" w:cs="Arial" w:eastAsia="Arial" w:hAnsi="Arial"/>
          <w:sz w:val="17"/>
          <w:szCs w:val="17"/>
          <w:color w:val="auto"/>
        </w:rPr>
        <w:t>As of December 31, 2006, we do not have significant exposure to interest rate volatility. Of the total outstanding debt of $373.5 million, approximately 84% relates to contingent convertible debentures having fixed coupon rates. Our $175 million contingent convertible debentures, issued in October 2005, accrue interest at a rate of 3.50% per annum. The $140 million contingent convertible debentures, issued in December 2004, accrue interest at a rate of 1.625% per annum. Interest expense, including amortization of deferred debt issuance costs, for these contingent convertible debentures is expected to total approximately $10.1 million per year, or a weighted average interest rate of 3.2% annually.</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remaining 16% of total debt outstanding relates to debt obligations and capitalized leases with fixed payment and interest terms that expire over the next several years. We also have $50 million in revolving credit facilities that accrue interest at variable rates, which can be increased to $65 million at our option. Should we borrow this full $65 million under the revolving credit facility, in addition to approximately $4.4 million borrowed under other debt arrangements as of December 31, 2006, and maintain the balance for a full year, a 1% increase in the applicable interest rate would result in additional interest expense to the Company of approximately $0.7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For more information, see Note 10 – Debt Obligations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For the year ended December 31, 2006, 84% of our revenues were generated in non-U.S. dollar countries compared to 86% for the year ended December 31, 2005. This slight decrease in revenues from non-U.S. dollar countries, compared to prior year is due to increased revenues of our U.S.-based Prepaid Processing Segment operations. We expect to continue generating a significant portion of our revenues in countries with currencies other than the U.S. dollar.</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We estimate that, depending on the net foreign currency working capital position at a selected point in time, a 10% fluctuation in these foreign currency exchange rates would have the combined annualized effect on reported net income and working capital of up to approximately $10.0 million. This effect is estimated by segregating revenues, expenses and working capital by currency and applying a 10% currency depreciation and appreciation to the non-U.S. dollar amounts. We believe this quantitative measure has inherent limitations and does not take into account any governmental actions or changes in either customer purchasing patterns or our financing or operating strategies.</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also exposed to foreign currency exchange rate risk in our money transfer subsidiary, Euronet Payments &amp; Remittance that was established during 2005. This portion of our business is currently insignificant; however, we expect that it will grow. A majority of this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Additionally, our exposure to changes in foreign currency exchange rates is limited by the fact that disbursement occurs for the majority of transactions shortly after they are initiated.</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under “Liquidity and Capital Resources – Other trends and uncertainties” above, and in Note 4 – Acquisitions to the Consolidated Financial Statements, during the fourth quarter 2006, we agreed to acquire the stock of RIA, subject to regulatory approvals and other customary closing conditions that we expect to receive during the first half of 2007. The closing of this acquisition will increase our exposure to foreign currency risk in our money transfer business substantially.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KPMG LLP, INDEPENDENT REGISTERED PUBLIC ACCOUNTING FIRM, ON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the accompanying consolidated balance sheets of Euronet Worldwide, Inc. and subsidiaries as of December 31, 2006 and 2005, and the related consolidated statements of income, changes in stockholders’ equity, and cash flows for each of the years in the three-year period ended December 31, 2006. These consolidated financial statements are the responsibility of the Company’s management. Our responsibility is to express an opinion on these consolidated financial statements based on our audits.</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Euronet Worldwide, Inc. and subsidiaries as of December 31, 2006 and 2005, and the results of their operations and their cash flows for each of the years in the three-year period ended December 31, 2006, in conformity with U.S. generally accepted accounting principles.</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effective January 1, 2006, the Company adopted Statement of Financial Accounting Standards No. 123 (Revised),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effectiveness of the Company’s internal control over financial reporting as of December 31, 2006, based on criteria established in Internal Control – Integrated Framework, issued by the Committee of Sponsoring Organizations of the Treadway Commission (COSO), and our report dated February 28, 2007 expressed an unqualified opinion on management’s assessment of, and the effective operation of,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67" w:name="page68"/>
    <w:bookmarkEnd w:id="67"/>
    <w:p>
      <w:pPr>
        <w:ind w:left="3840"/>
        <w:spacing w:after="0"/>
        <w:rPr>
          <w:sz w:val="20"/>
          <w:szCs w:val="20"/>
          <w:color w:val="auto"/>
        </w:rPr>
      </w:pPr>
      <w:r>
        <w:rPr>
          <w:rFonts w:ascii="Arial" w:cs="Arial" w:eastAsia="Arial" w:hAnsi="Arial"/>
          <w:sz w:val="18"/>
          <w:szCs w:val="18"/>
          <w:b w:val="1"/>
          <w:bCs w:val="1"/>
          <w:color w:val="auto"/>
        </w:rPr>
        <w:t>CONSOLIDATED FINANCIAL STATEMENTS</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2005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321,058</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$ 219,932</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80,703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73,942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 PINs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49,511</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25,595</w:t>
            </w:r>
          </w:p>
        </w:tc>
        <w:tc>
          <w:tcPr>
            <w:tcW w:w="0" w:type="dxa"/>
            <w:vAlign w:val="bottom"/>
          </w:tcPr>
          <w:p>
            <w:pPr>
              <w:spacing w:after="0"/>
              <w:rPr>
                <w:sz w:val="1"/>
                <w:szCs w:val="1"/>
                <w:color w:val="auto"/>
              </w:rPr>
            </w:pPr>
          </w:p>
        </w:tc>
      </w:tr>
      <w:tr>
        <w:trPr>
          <w:trHeight w:val="202"/>
        </w:trPr>
        <w:tc>
          <w:tcPr>
            <w:tcW w:w="9040" w:type="dxa"/>
            <w:vAlign w:val="bottom"/>
          </w:tcPr>
          <w:p>
            <w:pPr>
              <w:ind w:left="220"/>
              <w:spacing w:after="0" w:line="201" w:lineRule="exact"/>
              <w:rPr>
                <w:sz w:val="20"/>
                <w:szCs w:val="20"/>
                <w:color w:val="auto"/>
              </w:rPr>
            </w:pPr>
            <w:r>
              <w:rPr>
                <w:rFonts w:ascii="Arial" w:cs="Arial" w:eastAsia="Arial" w:hAnsi="Arial"/>
                <w:sz w:val="18"/>
                <w:szCs w:val="18"/>
                <w:color w:val="auto"/>
                <w:w w:val="96"/>
              </w:rPr>
              <w:t>Trade accounts receivable, net of allowances for doubtful accounts of $2,137 at December 31, 2006 and $1,995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42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212,631</w:t>
            </w:r>
          </w:p>
        </w:tc>
        <w:tc>
          <w:tcPr>
            <w:tcW w:w="3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166,451</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9,356</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15,212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21,211</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04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$91,883 at December 31, 2006 and $66,644 at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22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55,174</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44,852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278,743</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267,195</w:t>
            </w:r>
          </w:p>
        </w:tc>
        <w:tc>
          <w:tcPr>
            <w:tcW w:w="0" w:type="dxa"/>
            <w:vAlign w:val="bottom"/>
          </w:tcPr>
          <w:p>
            <w:pPr>
              <w:spacing w:after="0"/>
              <w:rPr>
                <w:sz w:val="1"/>
                <w:szCs w:val="1"/>
                <w:color w:val="auto"/>
              </w:rPr>
            </w:pPr>
          </w:p>
        </w:tc>
      </w:tr>
      <w:tr>
        <w:trPr>
          <w:trHeight w:val="202"/>
        </w:trPr>
        <w:tc>
          <w:tcPr>
            <w:tcW w:w="9040" w:type="dxa"/>
            <w:vAlign w:val="bottom"/>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$20,696 at December 31, 2006 and $11,918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22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47,539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50,724</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19,004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w w:val="98"/>
              </w:rPr>
              <w:t>Other assets, net of accumulated amortization of $10,542 at December 31, 2006 and $7,721 at December 31, 2005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19,208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15,644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1,108,139</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$ 894,352</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269,212</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$ 202,655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99,039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77,101</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Current installments on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6,592</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4,378</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22,893</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9,463</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8,207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4,108</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11,318</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404,110</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327,323</w:t>
            </w:r>
          </w:p>
        </w:tc>
        <w:tc>
          <w:tcPr>
            <w:tcW w:w="0" w:type="dxa"/>
            <w:vAlign w:val="bottom"/>
          </w:tcPr>
          <w:p>
            <w:pPr>
              <w:spacing w:after="0"/>
              <w:rPr>
                <w:sz w:val="1"/>
                <w:szCs w:val="1"/>
                <w:color w:val="auto"/>
              </w:rPr>
            </w:pPr>
          </w:p>
        </w:tc>
      </w:tr>
      <w:tr>
        <w:trPr>
          <w:trHeight w:val="432"/>
        </w:trPr>
        <w:tc>
          <w:tcPr>
            <w:tcW w:w="904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349,073</w:t>
            </w:r>
          </w:p>
        </w:tc>
        <w:tc>
          <w:tcPr>
            <w:tcW w:w="340" w:type="dxa"/>
            <w:vAlign w:val="bottom"/>
          </w:tcPr>
          <w:p>
            <w:pPr>
              <w:spacing w:after="0"/>
              <w:rPr>
                <w:sz w:val="24"/>
                <w:szCs w:val="2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excluding current installments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13,409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43,071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25,157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1,811</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819,824</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687,999</w:t>
            </w:r>
          </w:p>
        </w:tc>
        <w:tc>
          <w:tcPr>
            <w:tcW w:w="0" w:type="dxa"/>
            <w:vAlign w:val="bottom"/>
          </w:tcPr>
          <w:p>
            <w:pPr>
              <w:spacing w:after="0"/>
              <w:rPr>
                <w:sz w:val="1"/>
                <w:szCs w:val="1"/>
                <w:color w:val="auto"/>
              </w:rPr>
            </w:pPr>
          </w:p>
        </w:tc>
      </w:tr>
      <w:tr>
        <w:trPr>
          <w:trHeight w:val="432"/>
        </w:trPr>
        <w:tc>
          <w:tcPr>
            <w:tcW w:w="904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40" w:type="dxa"/>
            <w:vAlign w:val="bottom"/>
          </w:tcPr>
          <w:p>
            <w:pPr>
              <w:ind w:left="220"/>
              <w:spacing w:after="0" w:line="201" w:lineRule="exact"/>
              <w:rPr>
                <w:sz w:val="20"/>
                <w:szCs w:val="20"/>
                <w:color w:val="auto"/>
              </w:rPr>
            </w:pPr>
            <w:r>
              <w:rPr>
                <w:rFonts w:ascii="Arial" w:cs="Arial" w:eastAsia="Arial" w:hAnsi="Arial"/>
                <w:sz w:val="18"/>
                <w:szCs w:val="18"/>
                <w:color w:val="auto"/>
                <w:w w:val="97"/>
              </w:rPr>
              <w:t>Common Stock, $0.02 par value. Authorized 90,000,000 shares at December 31, 2006 and 60,000,000 shares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420"/>
              <w:spacing w:after="0"/>
              <w:rPr>
                <w:sz w:val="20"/>
                <w:szCs w:val="20"/>
                <w:color w:val="auto"/>
              </w:rPr>
            </w:pPr>
            <w:r>
              <w:rPr>
                <w:rFonts w:ascii="Arial" w:cs="Arial" w:eastAsia="Arial" w:hAnsi="Arial"/>
                <w:sz w:val="18"/>
                <w:szCs w:val="18"/>
                <w:color w:val="auto"/>
              </w:rPr>
              <w:t>December 31, 2005; issued and outstanding 37,440,027 shares at December 31, 2006 and 35,776,431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42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c>
          <w:tcPr>
            <w:tcW w:w="3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338,216</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312,025</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(196)</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(58,480)</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(104,787)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reserve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288,315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40" w:type="dxa"/>
            <w:vAlign w:val="bottom"/>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1,108,139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$ 894,352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2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559"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 (1)</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130,748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105,551</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Processing Segment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470,861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411,279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Software Solutions Segment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27,572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14,329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629,181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531,159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381,080</w:t>
            </w:r>
          </w:p>
        </w:tc>
        <w:tc>
          <w:tcPr>
            <w:tcW w:w="0" w:type="dxa"/>
            <w:vAlign w:val="bottom"/>
          </w:tcPr>
          <w:p>
            <w:pPr>
              <w:spacing w:after="0"/>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435,476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370,758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74,256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58,760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31,489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29,050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22,375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576,883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483,382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351,351</w:t>
            </w: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52,298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47,777</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29,729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13,750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(8,459)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660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10,166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62,127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38,882</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(14,976)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22,990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46,307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22,355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37,037,435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35,020,499</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31,267,617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42,456,137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36,831,320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33,351,648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26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802"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8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No. of</w:t>
            </w:r>
          </w:p>
        </w:tc>
        <w:tc>
          <w:tcPr>
            <w:tcW w:w="10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8"/>
              </w:rPr>
              <w:t>Common</w:t>
            </w:r>
          </w:p>
        </w:tc>
        <w:tc>
          <w:tcPr>
            <w:tcW w:w="3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10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Treasury</w:t>
            </w:r>
          </w:p>
        </w:tc>
        <w:tc>
          <w:tcPr>
            <w:tcW w:w="3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Employee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Paid in</w:t>
            </w:r>
          </w:p>
        </w:tc>
        <w:tc>
          <w:tcPr>
            <w:tcW w:w="3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Loans for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Capital (1)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29,525,554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$ 220,500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920" w:type="dxa"/>
            <w:vAlign w:val="bottom"/>
          </w:tcPr>
          <w:p>
            <w:pPr>
              <w:jc w:val="right"/>
              <w:spacing w:after="0"/>
              <w:rPr>
                <w:sz w:val="20"/>
                <w:szCs w:val="20"/>
                <w:color w:val="auto"/>
              </w:rPr>
            </w:pPr>
            <w:r>
              <w:rPr>
                <w:rFonts w:ascii="Arial" w:cs="Arial" w:eastAsia="Arial" w:hAnsi="Arial"/>
                <w:sz w:val="18"/>
                <w:szCs w:val="18"/>
                <w:color w:val="auto"/>
              </w:rPr>
              <w:t>1,572,943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8,623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7,001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Shares issued for acquisitions</w:t>
            </w:r>
          </w:p>
        </w:tc>
        <w:tc>
          <w:tcPr>
            <w:tcW w:w="920" w:type="dxa"/>
            <w:vAlign w:val="bottom"/>
          </w:tcPr>
          <w:p>
            <w:pPr>
              <w:jc w:val="right"/>
              <w:spacing w:after="0"/>
              <w:rPr>
                <w:sz w:val="20"/>
                <w:szCs w:val="20"/>
                <w:color w:val="auto"/>
              </w:rPr>
            </w:pPr>
            <w:r>
              <w:rPr>
                <w:rFonts w:ascii="Arial" w:cs="Arial" w:eastAsia="Arial" w:hAnsi="Arial"/>
                <w:sz w:val="18"/>
                <w:szCs w:val="18"/>
                <w:color w:val="auto"/>
              </w:rPr>
              <w:t>1,326,573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25,840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of shares</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423,699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Warrants exercised</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277,269</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1,207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Employee loans for stock</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33,126,038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663</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263,257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Recognition of cumulative translation adjustment from</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liquidation of France subsidiary</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1,289,922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8,305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5,582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acquisitions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1,384,782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34,882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Employee loans for stock</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(24,311)</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20" w:type="dxa"/>
            <w:vAlign w:val="bottom"/>
            <w:gridSpan w:val="2"/>
          </w:tcPr>
          <w:p>
            <w:pPr>
              <w:spacing w:after="0"/>
              <w:rPr>
                <w:sz w:val="20"/>
                <w:szCs w:val="20"/>
                <w:color w:val="auto"/>
              </w:rPr>
            </w:pPr>
            <w:r>
              <w:rPr>
                <w:rFonts w:ascii="Arial" w:cs="Arial" w:eastAsia="Arial" w:hAnsi="Arial"/>
                <w:sz w:val="18"/>
                <w:szCs w:val="18"/>
                <w:color w:val="auto"/>
              </w:rPr>
              <w:t>Balance at December 31, 2005</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35,776,431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717</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312,025</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1,539,014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14,630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7,366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acquisitions</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109,542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15,040</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37,440,027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749</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$ 338,216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26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Subscription</w:t>
            </w:r>
          </w:p>
        </w:tc>
        <w:tc>
          <w:tcPr>
            <w:tcW w:w="174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Restricted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1"/>
              </w:rPr>
              <w:t>Total (1)</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Receivable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3"/>
              </w:rPr>
              <w:t>Deficit (1)</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Reserve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(139,994)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777</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81,869</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12,852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4,196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17,048</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Stock issued under employee stock plans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Shares issued for acquisitions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of shares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Warrants exercised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Employee loans for stock</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(127,142)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141,914</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22,355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(7,487)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Recognition of cumulative translation adjustment from</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liquidation of France subsidiary</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acquisitions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Employee loans for stock</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Balance at December 31, 2005</w:t>
            </w: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(104,787)</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206,353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46,307</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acquisitions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(58,480)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780</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288,315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26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w w:val="95"/>
              </w:rPr>
              <w:t>2005 (1)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
              <w:spacing w:after="0" w:line="142" w:lineRule="exact"/>
              <w:rPr>
                <w:sz w:val="20"/>
                <w:szCs w:val="20"/>
                <w:color w:val="auto"/>
              </w:rPr>
            </w:pPr>
            <w:r>
              <w:rPr>
                <w:rFonts w:ascii="Arial" w:cs="Arial" w:eastAsia="Arial" w:hAnsi="Arial"/>
                <w:sz w:val="14"/>
                <w:szCs w:val="14"/>
                <w:b w:val="1"/>
                <w:bCs w:val="1"/>
                <w:color w:val="auto"/>
                <w:w w:val="91"/>
              </w:rPr>
              <w:t>2004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46,307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22,355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(10,102)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disposal of property and equipment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assigned to minority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discount on notes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Amortization of debt obligations issuance expense</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Income taxes payable, net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Inventory — PINs and other</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(21,395)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(28,999)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(53,938)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8,403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(16,340)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52,295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44,631</w:t>
            </w:r>
          </w:p>
        </w:tc>
        <w:tc>
          <w:tcPr>
            <w:tcW w:w="0" w:type="dxa"/>
            <w:vAlign w:val="bottom"/>
          </w:tcPr>
          <w:p>
            <w:pPr>
              <w:spacing w:after="0"/>
              <w:rPr>
                <w:sz w:val="1"/>
                <w:szCs w:val="1"/>
                <w:color w:val="auto"/>
              </w:rPr>
            </w:pPr>
          </w:p>
        </w:tc>
      </w:tr>
      <w:tr>
        <w:trPr>
          <w:trHeight w:val="439"/>
        </w:trPr>
        <w:tc>
          <w:tcPr>
            <w:tcW w:w="78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(120,689)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(20,454)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(4,665)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(26,125)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(139,510)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(25,135)</w:t>
            </w:r>
          </w:p>
        </w:tc>
        <w:tc>
          <w:tcPr>
            <w:tcW w:w="0" w:type="dxa"/>
            <w:vAlign w:val="bottom"/>
          </w:tcPr>
          <w:p>
            <w:pPr>
              <w:spacing w:after="0"/>
              <w:rPr>
                <w:sz w:val="1"/>
                <w:szCs w:val="1"/>
                <w:color w:val="auto"/>
              </w:rPr>
            </w:pPr>
          </w:p>
        </w:tc>
      </w:tr>
      <w:tr>
        <w:trPr>
          <w:trHeight w:val="439"/>
        </w:trPr>
        <w:tc>
          <w:tcPr>
            <w:tcW w:w="7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Net borrowings (repayments) on short-term debt obligations and revolving credit agreements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16,600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12,766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Proceeds from long-term debt obligations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175,000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78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24,722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186,214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82,174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differences on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78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101,126</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95,734</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104,953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219,932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124,198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8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321,058</w:t>
            </w:r>
          </w:p>
        </w:tc>
        <w:tc>
          <w:tcPr>
            <w:tcW w:w="1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219,932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124,198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12,851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Income taxes paid during the period</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18,147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14,143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2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235" w:gutter="0" w:footer="0" w:header="0"/>
        </w:sectPr>
      </w:pPr>
    </w:p>
    <w:bookmarkStart w:id="72" w:name="page73"/>
    <w:bookmarkEnd w:id="72"/>
    <w:p>
      <w:pPr>
        <w:ind w:right="1040"/>
        <w:spacing w:after="0" w:line="378" w:lineRule="auto"/>
        <w:rPr>
          <w:sz w:val="20"/>
          <w:szCs w:val="20"/>
          <w:color w:val="auto"/>
        </w:rPr>
      </w:pPr>
      <w:r>
        <w:rPr>
          <w:rFonts w:ascii="Arial" w:cs="Arial" w:eastAsia="Arial" w:hAnsi="Arial"/>
          <w:sz w:val="18"/>
          <w:szCs w:val="18"/>
          <w:b w:val="1"/>
          <w:bCs w:val="1"/>
          <w:color w:val="auto"/>
        </w:rPr>
        <w:t>NOTES TO THE CONSOLIDATED FINANCIAL STATEMENTS FOR THE YEARS ENDED DECEMBER 31, 2006, 2005 AND 2004 (1) ORGANIZATION</w:t>
      </w:r>
    </w:p>
    <w:p>
      <w:pPr>
        <w:ind w:right="120"/>
        <w:spacing w:after="0" w:line="277" w:lineRule="auto"/>
        <w:rPr>
          <w:sz w:val="20"/>
          <w:szCs w:val="20"/>
          <w:color w:val="auto"/>
        </w:rPr>
      </w:pPr>
      <w:r>
        <w:rPr>
          <w:rFonts w:ascii="Arial" w:cs="Arial" w:eastAsia="Arial" w:hAnsi="Arial"/>
          <w:sz w:val="18"/>
          <w:szCs w:val="18"/>
          <w:color w:val="auto"/>
        </w:rPr>
        <w:t>Euronet Worldwide, Inc. was established as a Delaware corporation on December 13, 1997. Euronet Worldwide, Inc. succeeded Euronet Holding N.V. as the group holding company, which was founded and established in 1994.</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Euronet Worldwide, Inc. and its subsidiaries (the “Company” or “Euronet”) is an industry leader in processing secure electronic financial transactions. Euronet is one of the world’s largest providers of “top-up” services for prepaid products, such as mobile airtime, long distance and debit cards and also operates the largest independent pan-European automated teller machine (“ATM”) network and the largest shared ATM network in India. In its EFT Processing Segment, as of December 31, 2006, the Company processes transactions for a network of ATMs across Europe, the Middle East, Africa, India and China. Euronet provides comprehensive electronic payment solutions consisting of ATM network participation, outsourced ATM management solutions, outsourced point-of-sale (“POS”) EFT solutions, outsourced card solutions and electronic recharge services (for prepaid mobile airtime purchases via ATM or directly from the handset). Through its Prepaid Processing Segment, Euronet provides processing, or top-up, services for prepaid mobile airtime and other prepaid products, and money transfer and bill payment services. As of December 31, 2006, the Company operates a network of POS terminals providing electronic processing of top-up services in the U.S., Europe, Africa and Asia Pacific, and money transfer and bill payment services primarily to customers in the U.S. Through Euronet’s Software Solutions Segment, the Company offers integrated EFT software solutions for electronic payment and transaction delivery systems. Euronet’s principal customers are banks, mobile phone operators and retailers that require electronic financial transaction processing services. The Company’s solutions are used in nearly 100 countries worldwide. As of December 31, 2006, Euronet had 17 offices in Europe, four in the Asia Pacific region, four in the U.S. and one in the Middle East. The Company’s executive offices are located in Leawood, Kansas, U.S.A.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and include the accounts of Euronet and its wholly owned and majority owned subsidiaries. All significant intercompany balances and transactions have been eliminated. The Company’s investments in companies that it does not control, but has the ability to exercise significant influence, are accounted for under the equity method. Euronet is not involved with any variable interest entities, as defined by the Financial Accounting Standards Board (“FASB”) Interpretation No. 46R, “Consolidation of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period. Significant items subject to such estimates and assumptions include computing income taxes, estimating the useful lives and potential impairment of long-lived assets and goodwill, as well as allocating the purchase price to assets acquired in acquisitions. Actual results could differ from those estimates.</w:t>
      </w:r>
    </w:p>
    <w:p>
      <w:pPr>
        <w:spacing w:after="0" w:line="8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adopted the provisions of Statement of Financial Accounting Standards (“SFAS”) No. 123(R), “Share-Based Payment,” (“SFAS No. 123R”) on January 1, 2006. The Company elected to adopt SFAS No. 123R utilizing the modified retrospective application method and, accordingly, financial statement amounts for the prior periods presented herein have been adjusted to reflect the fair value method of expensing prescribed by SFAS No. 123R. See Note 3 – Summary of Significant Accounting Policies and Practices and Note 14 – Stock Plans for further discussion.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Foreign currencies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income.</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stockholders’ equity.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(b)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Inventory — PINs and other</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Inventory — PINs and other is valued at the lower of cost or fair market value and represents primarily prepaid personal identification number (“PIN”) inventory for prepaid mobile airtime related to the Prepaid Processing Segment. PIN inventory is generally managed on a specific identification basis that approximates first in, first out for the respective denomination of prepaid mobile airtime sold. Additionally, from time to time, Inventory — PINs and other may include POS terminals, mobile phone handsets and ATMs held by the Company for resale.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Property and equipment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Depreciation is calculated using the straight-line method over the estimated useful lives of the respective assets. Depreciation and amortization rates are generally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Automated teller machines (ATMs) or ATM upgrades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57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POS terminals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Vehicles and office equipment</w:t>
            </w:r>
          </w:p>
        </w:tc>
        <w:tc>
          <w:tcPr>
            <w:tcW w:w="578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ATM cassettes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780" w:type="dxa"/>
            <w:vAlign w:val="bottom"/>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Goodwill and other intangible assets</w:t>
      </w:r>
    </w:p>
    <w:p>
      <w:pPr>
        <w:spacing w:after="0" w:line="11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Company accounts for goodwill and other intangible assets in accordance with Statement of Financial Accounting Standards (“SFAS”) No. 142, “Goodwill and Other Intangible Assets.” SFAS No. 142 requires that the Company test for impairment on an annual basis and whenever events or circumstances dictate.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The Company’s annual impairment tests for the years ended December 31, 2006, 2005 and 2004 indicated that there were no impairments.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material non-cash impairment charges during the year in which these changes take place.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accordance with SFAS No. 142, intangible assets with finite lives are amortized over their estimated useful lives. Unless otherwise noted, amortization is calculated using the straight-line method over the estimated useful lives of the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Trademark and trade name</w:t>
            </w:r>
          </w:p>
        </w:tc>
        <w:tc>
          <w:tcPr>
            <w:tcW w:w="648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Developed software technology</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480" w:type="dxa"/>
            <w:vAlign w:val="bottom"/>
          </w:tcPr>
          <w:p>
            <w:pPr>
              <w:jc w:val="right"/>
              <w:spacing w:after="0"/>
              <w:rPr>
                <w:sz w:val="20"/>
                <w:szCs w:val="20"/>
                <w:color w:val="auto"/>
              </w:rPr>
            </w:pPr>
            <w:r>
              <w:rPr>
                <w:rFonts w:ascii="Arial" w:cs="Arial" w:eastAsia="Arial" w:hAnsi="Arial"/>
                <w:sz w:val="18"/>
                <w:szCs w:val="18"/>
                <w:color w:val="auto"/>
              </w:rPr>
              <w:t>8 – 9 years</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Patent</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Per transaction basis over an estimated life of 7 years</w:t>
            </w:r>
          </w:p>
        </w:tc>
      </w:tr>
    </w:tbl>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See Note 8 – Goodwill and Acquired Intangible Assets, Net for additional information regarding SFAS No. 142 and the treatment of goodwill and other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Other assets</w:t>
      </w:r>
    </w:p>
    <w:p>
      <w:pPr>
        <w:spacing w:after="0" w:line="11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Other assets include deferred financing costs, costs related to in process acquisitions that are probable of being consummated, investments in unconsolidated affiliates, capitalized software development costs and capitalized payments for new or renewed contracts, contract renewals and customer conversion costs. Deferred financing costs represent expenses incurred to obtain financing that have been deferred and amortized over the life of the loan. Euronet capitalizes initial payments for new or renewed contracts 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ind w:right="20"/>
        <w:spacing w:after="0" w:line="264" w:lineRule="auto"/>
        <w:rPr>
          <w:sz w:val="20"/>
          <w:szCs w:val="20"/>
          <w:color w:val="auto"/>
        </w:rPr>
      </w:pPr>
      <w:r>
        <w:rPr>
          <w:rFonts w:ascii="Arial" w:cs="Arial" w:eastAsia="Arial" w:hAnsi="Arial"/>
          <w:sz w:val="18"/>
          <w:szCs w:val="18"/>
          <w:color w:val="auto"/>
        </w:rPr>
        <w:t>the extent recoverable through future operations, contractual minimums and/or penalties in the case of early termination. The Company’s accounting policy is to limit the amount of capitalized costs for a given contract to the lesser of the estimated ongoing future cash flows from the contract or the termination fees the Company would receive in the event of early termination of the contract by the customer.</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accounts for investments in affiliates using the equity method of accounting when the Company has the ability to exercise significant influence over the affiliate. Equity losses in affiliates are generally recognized until the Company’s investment is zero. Euronet’s investment in affiliates, primarily related to the Company’s 40% investment in e-pay Malaysia, as of December 31, 2006 and 2005 was $3.3 million and $2.0 million, respectively. Undistributed earnings in these affiliates as of December 31, 2006 and 2005 were $3.3 million and $1.9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Income taxes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EFT Processing</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Substantially all of the revenue generated in the EFT Processing Segment is derived from ATM and other transaction-based fees and management fees from the operation of ATMs on an outsourced basis. Transaction-based fees include charges for cash withdrawals, balance inquiries, transactions not completed because the relevant card issuer does not give authorization or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6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As prescribed in SEC Staff Accounting Bulletin (“SAB”) 101, “Revenue Recognition in Financial Statements,” as amended by SAB 104, “Revenue Recognition,”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Processing</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Substantially all of the revenue generated in the Prepaid Processing Segment is derived from commissions or processing fees associated with distribution and/or processing of prepaid mobile airtime and other telecommunication products. These fees and commissions are received from mobile and other telecommunication operators, top-up distributors or retailers. In accordance with Emerging Issues Task Force (“EITF”) 99-19, “Reporting Revenue Gross as Principal versus Net as an Agent,” commissions received from mobile and other telecommunication operators are recognized as revenue during the period in which the Company provides the service. The portion of the commission that is paid to retailers is recorded as a direct operating cost. Transactions are processed through a network of POS terminals and direct connections to the electronic payment systems of retailers. Transaction processing fees are recognized at the time the transactions are processed.</w:t>
      </w:r>
    </w:p>
    <w:p>
      <w:pPr>
        <w:spacing w:after="0" w:line="7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During 2005, with the acquisition of TelecommUSA (See Note 4 – Acquisitions) and formation of Euronet Payments and Remittance, Inc. (“Euronet Payments and Remittance”), the Company entered the international money transfer business. Revenue is earned by charging a transaction fee in addition to the difference between purchasing currency at wholesale exchange rates and selling the currency to consumers at retail exchange rates. The Company has origination and distribution agents in place, which each earn a fee for the respective service. These fees are reflected as direct operating costs. Revenue for money transfer services, and the associated direct operating cost, is recognized at the time the transaction is processed.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Software Solutions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Revenue from the Software Solutions Segment is derived from the sale of EFT software solutions for electronic payment and transaction delivery systems. The components of revenue represent software license fees, professional service fees for installation and customization, ongoing software maintenance fees and revenue from the sale of hardware associated with the system.</w:t>
      </w:r>
    </w:p>
    <w:p>
      <w:pPr>
        <w:spacing w:after="0" w:line="7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recognizes professional service fee revenue in accordance with the provisions of Statement of Position (“SOP”) 97-2, “Software Revenue Recognition,” as amended by SOP 98-4, SOP 98-9 and clarified by Staff Accounting Bulletin (“SAB”) 101, “Revenue Recognition in Financial Statements,” SAB 104, “Revenue Recognition,” and EITF Issue No. 00-21, “Accounting for Revenue Arrangements with Multiple Deliverables.” SOP 97-2, as amended, generally requires revenue earned on software arrangements involving multiple-elements to be allocated to each element based on the relative fair values of those elements. Revenue from multiple-element software arrangements is recognized using the residual method. Under the residual method, revenue is recognized in a multiple-element arrangement when vendor-specific objective evidence of fair value exists for all of the undelivered elements in the arrangement, but does not exist for one or more of the delivered elements in the arrangement. The Company allocates revenue to each element in a multiple-element arrangement based on the element’s respective fair value, with the fair value determined by the price charged when that element is sold separately.</w:t>
      </w:r>
    </w:p>
    <w:p>
      <w:pPr>
        <w:spacing w:after="0" w:line="5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Revenues from software licensing agreement contracts are recognized over the professional services portion of the contract term using the percentage of completion method, following the guidance in SOP 81-1, “Accounting for Performance of Construction-Type and Certain Production-Type Contracts,” as prescribed by SOP 97-2. This method is based on the percentage of professional service fees that are provided compared with the total estimated professional services to be provided over the entire contract. The effect of changes to total estimated contract costs is recognized in the period such changes are determined and provisions for estimated losses are made in the period in which the loss first becomes probable and estimable. Revenues from software licensing agreement contracts representing newly released products deemed to have a higher than normal risk of failure during installation are recognized on a completed contract basis whereby revenues and related costs are deferred until the contract is complete. Software maintenance revenue is recognized over the contractual period or as the maintenance-related service is performed. Revenue from the sale of hardware is generally recognized when title passes to the customer. Revenue in excess of billings on software licensing agreements contracts was $2.1 million and $0.3 million as of December 31, 2006 and 2005, respectively, and is recorded in prepaid expenses and other current assets. Billings in excess of revenue on software license agreements contracts was</w:t>
      </w:r>
    </w:p>
    <w:p>
      <w:pPr>
        <w:spacing w:after="0" w:line="6"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$5.0 million and $1.2 million as of December 31, 2006 and 2005, respectively and is recorded as deferred revenue until such time the above revenue recognition criteria are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Research and development costs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applies SFAS No. 2, “Accounting for Research and Development Costs,” and SFAS No. 86, “Accounting for the Costs of Computer Software to be Sold, Leased or Otherwise Marketed,” in recording research and development costs. Research costs related to the discovery of new knowledge with the hope that such knowledge will be useful in developing a new product or service, or a new process or technique, or in bringing about significant improvement to an existing product or process, are expensed as incurred (see Note 17 – Research and Development). Development costs aimed at the translation of research findings or other knowledge into a plan or design for a new product or process, or for a significant improvement to an existing product or process, whether intended for sale or use, are capitalized on a product-by-product basis when technological feasibility is established. Capitalization of computer software costs is discontinued when the computer software product is available to be sold, leased, or otherwise marketed.</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Technological feasibility of computer software products is established when the Company has completed all planning, designing, coding, and testing activities that are necessary to establish that the product can be produced to meet its design specifications including functions, features, and technical performance requirements. Technological feasibility is evidenced by the existence of a working model of the product or by completion of a detail program design. The detail program design (i) establishes that the necessary skills, hardware, and software technology are available to produce the product, (ii) is complete and consistent with the product design, and (iii) has been reviewed for high-risk development issues, with any uncertainties related to identified high-risk development issues being adequately resolved.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costs are included in other assets and are amortized on a product-by-product basis, equal to the greater of the amount computed using</w:t>
      </w:r>
    </w:p>
    <w:p>
      <w:pPr>
        <w:spacing w:after="0" w:line="46" w:lineRule="exact"/>
        <w:rPr>
          <w:sz w:val="20"/>
          <w:szCs w:val="20"/>
          <w:color w:val="auto"/>
        </w:rPr>
      </w:pPr>
    </w:p>
    <w:p>
      <w:pPr>
        <w:jc w:val="both"/>
        <w:ind w:right="200" w:firstLine="8"/>
        <w:spacing w:after="0" w:line="255"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 that current gross revenues for a product bear to the total of current and anticipated future gross revenues for that product or (ii) the straight-line method over the remaining estimated economic life of the product, generally three years, including the period being reported on. Amortization commences when the product is available for general release to customers.</w:t>
      </w:r>
    </w:p>
    <w:p>
      <w:pPr>
        <w:spacing w:after="0" w:line="190" w:lineRule="exact"/>
        <w:rPr>
          <w:rFonts w:ascii="Arial" w:cs="Arial" w:eastAsia="Arial" w:hAnsi="Arial"/>
          <w:sz w:val="18"/>
          <w:szCs w:val="18"/>
          <w:color w:val="auto"/>
        </w:rPr>
      </w:pPr>
    </w:p>
    <w:p>
      <w:pPr>
        <w:ind w:left="220" w:hanging="212"/>
        <w:spacing w:after="0"/>
        <w:tabs>
          <w:tab w:leader="none" w:pos="2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has been computed by dividing income available to common stockholders by the weighted average number of common shares outstanding during the respective period. Diluted earnings per share reflect the weighted-average shares outstanding during the respective period, after adjusting for the potential dilution upon the assumed conversion of the Company’s convertible debentures, options to purchase the Company’s common stock, restricted stock and shares issuable in connection with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right="120"/>
        <w:spacing w:after="0" w:line="308" w:lineRule="auto"/>
        <w:rPr>
          <w:sz w:val="20"/>
          <w:szCs w:val="20"/>
          <w:color w:val="auto"/>
        </w:rPr>
      </w:pPr>
      <w:r>
        <w:rPr>
          <w:rFonts w:ascii="Arial" w:cs="Arial" w:eastAsia="Arial" w:hAnsi="Arial"/>
          <w:sz w:val="17"/>
          <w:szCs w:val="17"/>
          <w:color w:val="auto"/>
        </w:rPr>
        <w:t>acquisition obligations. The following table provides a reconciliation of the weighted average number of common shares outstanding to the diluted weighted average number of common shares outstanding and a reconciliation of net income to earnings available to common stockholders: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37,037,435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35,020,499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31,267,617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Additional shares from assumed conversion of 1.625% convertible debentures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4,163,488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issuable in connection with acquisition obligations (See Note 4 -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36,514</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Incremental shares from assumed conversion of stock options and restricted stock (1)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1,218,700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1,810,821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2,084,031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Potentially diluted 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42,456,137</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36,831,320</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33,351,648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46,307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22,355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 interest expense of 1.625% convertible debentures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Earnings available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49,496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22,355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60" w:hanging="452"/>
        <w:spacing w:after="0" w:line="34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a result of the adoption of SFAS No. 123R, the computation of incremental shares from the assumed conversion of stock options changed. The incremental shares previously reported for the years ended December 31, 2005 and 2004 were 2,167,488 and 2,529,082, respectively.</w:t>
      </w:r>
    </w:p>
    <w:p>
      <w:pPr>
        <w:spacing w:after="0" w:line="1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table includes all stock options and restricted stock that are dilutive to Euronet’s weighted average common shares outstanding during the period. For the years ended December 31, 2006, 2005 and 2004, the table does not include 240,000, 762,000 and 1,483,000 options or shares of restricted stock, respectively, that are anti-dilutive to the Company’s weighted average common shares outstanding.</w:t>
      </w:r>
    </w:p>
    <w:p>
      <w:pPr>
        <w:spacing w:after="0" w:line="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has $140 million of 1.625% convertible debentures due 2024 and $175 million of 3.50% convertible debentures due 2025 (see Note 10 – Debt Obligations) outstanding that, if converted, would have a potentially dilutive effect on the Company’s stock. These debentures are convertible into 4.2 million shares of Common Stock for the $140 million 1.625% issue, and 4.3 million shares of Common Stock for the $175 million 3.50% issue, initially in December 2009 and October 2012, respectively, or earlier upon the occurrence of certain conditions. As required by EITF Issue No. 04-8, “The Effect of Contingently Convertible Debt on Diluted Earnings per Share,” if dilutive, the impact of the contingently issuable shares must be included in the calculation of diluted net income per share under the “if-converted” method, regardless of whether the conditions upon which the debentures would be convertible into shares of the Company’s Common Stock have been met. Under the if-converted method, the assumed conversion of the 1.625% convertible debentures was dilutive for the year ended December 31, 2006 and, accordingly, the impact has been included in the above computation of potentially diluted weighted average shares outstanding for 2006. The assumed conversion of the 1.625% convertible debentures was anti-dilutive for the years ended December 31, 2005 and 2004 and, accordingly, the impact has been excluded from the above computations for 2005 and 2004. Under the if-converted method, the assumed conversion of the 3.50% convertible debentures was anti-dilutive for the years ended December 31, 2006 and 2005. Accordingly, the impact has been excluded from the above computation of potentially dilutive weighted average shares outstanding. The 3.50% convertible debentures were not outstanding for the year ended December 31,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Share-based compensation</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Effective January 1, 2006, the Company adopted the provisions of SFAS No. 123R, which is a revision of SFAS No. 123, “Accounting for Stock-Based Compensation,” and supersedes Accounting Principles Board (“APB”) Opinion No. 25, “Accounting for Stock Issued to Employees.” For equity classified awards, SFAS No. 123R requires the determination of the fair value of the share-based compensation at the grant date and subsequent recognition of the related expense over the period in which the share-based compensation is earned (“requisite service period”). The portion of share-based compensation to be settled in cash is accounted for as a liability classified award. The fair value of these awards is remeasured at each reporting period and the related compensation expense is adjusted. The Company elected to adopt SFAS No. 123R utilizing the modified retrospective application method and, accordingly, financial statement amounts for the prior periods presented herein have been adjusted to reflect the fair value method of expensing prescribed by SFAS No. 123R. The Company believes that this method achieves the highest level of clarity and comparability among the presented periods.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assets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with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The Company has elected to use the with and without method when calculating the income tax benefit associated with its share-based payment arrangements. See Note 14 – Stock Plans for further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Recent accounting pronouncements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2005, the Financial Accounting Standards Board (“FASB”) issued an exposure draft that would amend Statement of Financial Accounting Standards (“SFAS”) No. 141, “Business Combinations.” During rediliberations, the FASB has reaffirmed certain decisions including, among other things: 1) identifiable intangible assets acquired in a business combination should be measured at a current exchange value rather than at an entity-specific value, 2) the acquiring company should measure and recognize the acquiree’s identifiable assets and liabilities and goodwill in a step or partial acquisition at 100 percent of their acquisition date fair values and 3) accounting for transaction related costs as expenses in the period incurred, rather than capitalizing these costs as a component of the respective purchase price. The FASB has not yet reaffirmed decisions on other items, including recording contingent liabilities, as well as earn-out obligations, at estimated value at the acquisition date, with subsequent adjustments being recorded in net income, rather than as an adjustment to goodwill. The FASB expects to issue the final statement during the first half of 2007. If adopted, the changes described above, as well as other possible changes, would likely have a significant impact on the accounting treatment for acquisitions occurring after the effective date.</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2005, the Financial Accounting Standards Board (“FASB”) issued an exposure draft, “Consolidated Financial Statements, Including Accounting and Reporting of Noncontrolling Interests in Subsidiaries,” that would replace Accounting Research Bulletin (“ARB”) 51, “Consolidated Financial Statements.” During rediliberations, the FASB has reaffirmed that noncontrolling interests in subsidiaries should be presented in the consolidated balance sheet within equity, separate from the parent shareholders’ equity. The FASB expects to issue the final statement during the first half of 2007. If adopted, this would result in a change of classification of the Company’s minority interest from a component of liabilities to a component of equity in consolidated balance sheets issued after the effective date.</w:t>
      </w:r>
    </w:p>
    <w:p>
      <w:pPr>
        <w:spacing w:after="0" w:line="8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During 2006, the Emerging Issues Task Force (“EITF”) issued EITF 06-3, “How Taxes Collected and Remitted to Governmental Authorities Should Be Presented in the Income Statement (That Is, Gross versus Net Presentation).” If significant, this issue requires companies to disclose the policy of presenting such taxes in the income statement on either a gross or net basis. The provisions of this issue will be effective for Euronet beginning January 1, 2007. The Company presents taxes collected and remitted to governmental authorities net on the income statement and, if considered significant, disclosure of this policy will be included in our financial statement footnotes beginning in 2007.</w:t>
      </w:r>
    </w:p>
    <w:p>
      <w:pPr>
        <w:spacing w:after="0" w:line="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2006, the Financial Accounting Standards Board (“FASB”) issued FASB Interpretation No. 48 (“FIN 48”), “Accounting for Uncertainty in Income Taxes.” FIN 48 is an interpretation of SFAS No. 109, “Accounting for Income Taxes,” and seeks to reduce the diversity in practice associated with certain aspects of the measurement and recognition related to accounting for income taxes. This interpretation also requires expanded disclosure with respect to uncertain tax positions. The provisions of FIN 48 will be effective for Euronet beginning January 1, 2007. The Company is currently evaluating the impact of adopting FIN 48 and has not yet determined the effect on its financial condition, results from operations and cash flows.</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2006, the FASB issued SFAS No. 157, “Fair Value Measurements.”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The provisions of SFAS No. 157 will be effective for Euronet beginning January 1, 2008. The Company is in the process of determining the effect, if any, that the adoption of SFAS No. 157 will have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SFAS No. 141, “Business Combinations,” the Company allocates the purchase price of its acquisitions to the tangible assets, liabilities and intangible assets acquired based on estimated fair values. Any excess purchase price over those fair values is recorded as goodwill. The fair value assigned to intangible assets acquired is supported by valuations using estimates and assumptions provided by management. Generally, for certain large acquisitions management engages an appraiser to assist in the valuation process.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2006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Essentis, Limited</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2006, the Company completed the acquisition of the assets of Essentis, Limited (“Essentis”) for approximately $3.0 million, which was comprised of $0.9 million in cash and approximately $2.1 million in assumed liabilities. Essentis is a U.K. company that owns and develops software packages that enhance Euronet’s outsourcing and software offerings to banks. Essentis is reported in the Company’s Software Solutions Segment. The Company’s allocation of the purchase price to the fair values of acquired tangible and intangible assets is preliminary and remains so while management completes its assessment of the fair value of the net assets acquired and liabilities assumed. There are no potential additional purchase price or escrow arrangements associated with the acquisition of Essentis.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to acquire RIA Envia, Inc.</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fourth quarter 2006, subject to regulatory approvals and customary closing conditions, the Company agreed to acquire the common stock of RIA Envia, Inc. (“RIA”). The agreement states that purchase price is comprised of $380 million in cash, $110 million in Euronet Common Stock and certain contingent value and stock appreciation rights. This acquisition is expected to close during the first half of 2007 and will expand the Company’s money transfer product in the U.S. and internationally. The expected purchase price will be determined when the fair value of the contingent value and stock appreciation rights are computed. The Company expects to finance the cash portion of the purchase price through a combination of cash on hand and additional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Acquisitions: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During 2005, the Company completed seven acquisitions for an aggregate purchase price of $120.7 million. The following table summarizes the allocation of the purchase price and adjustments to preliminary allocations, including $2.9 million paid in prior years for acquisitions accounted for as step acquisitions, to the fair values of the acquired tangible and intangible assets at the acquisition dates.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Estimated</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Telerecarga</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Life</w:t>
            </w:r>
          </w:p>
        </w:tc>
        <w:tc>
          <w:tcPr>
            <w:tcW w:w="1100" w:type="dxa"/>
            <w:vAlign w:val="bottom"/>
            <w:gridSpan w:val="3"/>
            <w:vMerge w:val="continue"/>
          </w:tcPr>
          <w:p>
            <w:pPr>
              <w:spacing w:after="0"/>
              <w:rPr>
                <w:sz w:val="14"/>
                <w:szCs w:val="14"/>
                <w:color w:val="auto"/>
              </w:rPr>
            </w:pPr>
          </w:p>
        </w:tc>
        <w:tc>
          <w:tcPr>
            <w:tcW w:w="1420" w:type="dxa"/>
            <w:vAlign w:val="bottom"/>
            <w:gridSpan w:val="4"/>
          </w:tcPr>
          <w:p>
            <w:pPr>
              <w:ind w:left="300"/>
              <w:spacing w:after="0"/>
              <w:rPr>
                <w:sz w:val="20"/>
                <w:szCs w:val="20"/>
                <w:color w:val="auto"/>
              </w:rPr>
            </w:pPr>
            <w:r>
              <w:rPr>
                <w:rFonts w:ascii="Arial" w:cs="Arial" w:eastAsia="Arial" w:hAnsi="Arial"/>
                <w:sz w:val="14"/>
                <w:szCs w:val="14"/>
                <w:b w:val="1"/>
                <w:bCs w:val="1"/>
                <w:color w:val="auto"/>
              </w:rPr>
              <w:t>Acquisitions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various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3,051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8 years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10,295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Software</w:t>
            </w:r>
          </w:p>
        </w:tc>
        <w:tc>
          <w:tcPr>
            <w:tcW w:w="560" w:type="dxa"/>
            <w:vAlign w:val="bottom"/>
          </w:tcPr>
          <w:p>
            <w:pPr>
              <w:spacing w:after="0"/>
              <w:rPr>
                <w:sz w:val="18"/>
                <w:szCs w:val="18"/>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5 years</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Patent</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7 years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Trade name</w:t>
            </w:r>
          </w:p>
        </w:tc>
        <w:tc>
          <w:tcPr>
            <w:tcW w:w="560" w:type="dxa"/>
            <w:vAlign w:val="bottom"/>
          </w:tcPr>
          <w:p>
            <w:pPr>
              <w:spacing w:after="0"/>
              <w:rPr>
                <w:sz w:val="18"/>
                <w:szCs w:val="18"/>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2 years</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5 years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1,055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5"/>
              </w:rPr>
              <w:t>Indefinite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42,144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Assets acquired</w:t>
            </w: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54,910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78,666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133,576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(5,442)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assets acquired</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51,018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72,537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the amounts allocated to goodwill and intangible assets (i.e. customer relationships, software, patent, trade name and non-compete agreements), approximately $74.7 million is deductible for income tax purposes. Of the total goodwill recorded of $95.6 million, $16.8 million relates acquisitions recorded in the Company’s EFT Processing Segment and the remaining $78.8 million relates to acquisitions recorded in the Company’s Prepaid Processing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Telerecarga S.L.</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March 2005, to supplement the Company’s prepaid processing business in Spain, Euronet purchased 100% of the assets of Telerecarga S.L. (“Telerecarga”), a Spanish company that distributes prepaid mobile airtime and other prepaid products via Point of Sale (“POS”) terminals throughout Spain. The purchase price of €38.1 million (approximately $51.0 million) was settled through the assumption of €25.4 million (approximately $34.0 million) in liabilities and cash payments of €12.7 million (approximately $17.0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2005, Euronet completed six other acquisitions described below for a total purchase price of $69.6 million, comprised of $39.6 million in cash, 864,131 shares of Euronet Common Stock (including 109,542 shares issued in settlement of contingent payment arrangements discussed below), valued at $23.6 million and $6.4 million in liabilities assumed. Additionally, the purchase price for acquisitions accounted for as step acquisitions, in accordance with SFAS No. 141, include $2.9 million paid in prior years.</w:t>
      </w:r>
    </w:p>
    <w:p>
      <w:pPr>
        <w:spacing w:after="0" w:line="79" w:lineRule="exact"/>
        <w:rPr>
          <w:sz w:val="20"/>
          <w:szCs w:val="20"/>
          <w:color w:val="auto"/>
        </w:rPr>
      </w:pPr>
    </w:p>
    <w:p>
      <w:pPr>
        <w:ind w:left="660" w:right="40" w:hanging="436"/>
        <w:spacing w:after="0" w:line="259"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In December 2005, EFT Services Holding B.V. (a wholly-owned subsidiary of Euronet) purchased 6.25% of Euronet Services Private Limited, the Company’s subsidiary in India (“Euronet India”), increasing its share ownership of Euronet India to 100%. Euronet India is included in the Company’s EFT Processing Segment and, since the Company’s ownership share previously exceeded 50%, has been a consolidated subsidiary since inception.</w:t>
      </w:r>
    </w:p>
    <w:p>
      <w:pPr>
        <w:spacing w:after="0" w:line="92" w:lineRule="exact"/>
        <w:rPr>
          <w:rFonts w:ascii="Arial" w:cs="Arial" w:eastAsia="Arial" w:hAnsi="Arial"/>
          <w:sz w:val="18"/>
          <w:szCs w:val="18"/>
          <w:b w:val="1"/>
          <w:bCs w:val="1"/>
          <w:color w:val="auto"/>
        </w:rPr>
      </w:pPr>
    </w:p>
    <w:p>
      <w:pPr>
        <w:ind w:left="660" w:right="100" w:hanging="436"/>
        <w:spacing w:after="0" w:line="276" w:lineRule="auto"/>
        <w:tabs>
          <w:tab w:leader="none" w:pos="6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In two separate transactions, one in April 2005 and one in December 2005, EFT Services Holding B.V. purchased an additional 64% of Europlanet a.d. (“Europlanet”), a Serbian company, increasing its share ownership in Europlanet to 100%. Europlanet is an ATM and card processor that owns, operates and manages a network of ATMs and POS terminals. Upon obtaining a controlling interest in April 2005, Euronet began consolidating Europlanet’s financial position and results of operations. Euronet’s $0.2 million share of dividends declared prior to acquiring a controlling ownership share of Europlanet was recognized as income from unconsolidated affiliates during 2005.</w:t>
      </w:r>
    </w:p>
    <w:p>
      <w:pPr>
        <w:spacing w:after="0" w:line="77" w:lineRule="exact"/>
        <w:rPr>
          <w:rFonts w:ascii="Arial" w:cs="Arial" w:eastAsia="Arial" w:hAnsi="Arial"/>
          <w:sz w:val="17"/>
          <w:szCs w:val="17"/>
          <w:b w:val="1"/>
          <w:bCs w:val="1"/>
          <w:color w:val="auto"/>
        </w:rPr>
      </w:pPr>
    </w:p>
    <w:p>
      <w:pPr>
        <w:ind w:left="660" w:right="160" w:hanging="436"/>
        <w:spacing w:after="0" w:line="259"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In October 2005, Euronet EFT Services Hellas EPE (a wholly-owned subsidiary of Euronet) acquired all of the share capital of Instreamline S.A. (“Instreamline”), a Greek company that provides card processing services in addition to debit card and transaction gateway switching services in Greece and the Balkan region. Instreamline will complement the Company’s EFT Processing Segment. Subsequent to the acquisition, Instreamline was renamed Euronet Card Services Greece.</w:t>
      </w:r>
    </w:p>
    <w:p>
      <w:pPr>
        <w:spacing w:after="0" w:line="92" w:lineRule="exact"/>
        <w:rPr>
          <w:rFonts w:ascii="Arial" w:cs="Arial" w:eastAsia="Arial" w:hAnsi="Arial"/>
          <w:sz w:val="18"/>
          <w:szCs w:val="18"/>
          <w:b w:val="1"/>
          <w:bCs w:val="1"/>
          <w:color w:val="auto"/>
        </w:rPr>
      </w:pPr>
    </w:p>
    <w:p>
      <w:pPr>
        <w:ind w:left="660" w:right="120" w:hanging="436"/>
        <w:spacing w:after="0" w:line="279" w:lineRule="auto"/>
        <w:tabs>
          <w:tab w:leader="none" w:pos="6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In May 2005, Euronet acquired all of the outstanding membership interests in Continental Transfer, LLC and a wholly-owned subsidiary, TelecommUSA, Limited (“TelecommUSA”), a company based in North Carolina. TelecommUSA, now known as Euronet Payments and Remittance, Inc. (“Euronet Payments &amp; Remittance”), provides money transfer services, primarily to consumers in the U.S. to destinations in Latin America, and bill payment services within the U.S. This acquisition launched the Company’s money transfer and bill payment business.</w:t>
      </w:r>
    </w:p>
    <w:p>
      <w:pPr>
        <w:spacing w:after="0" w:line="76" w:lineRule="exact"/>
        <w:rPr>
          <w:rFonts w:ascii="Arial" w:cs="Arial" w:eastAsia="Arial" w:hAnsi="Arial"/>
          <w:sz w:val="17"/>
          <w:szCs w:val="17"/>
          <w:b w:val="1"/>
          <w:bCs w:val="1"/>
          <w:color w:val="auto"/>
        </w:rPr>
      </w:pPr>
    </w:p>
    <w:p>
      <w:pPr>
        <w:ind w:left="660" w:right="120" w:hanging="436"/>
        <w:spacing w:after="0" w:line="259"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In March 2005, to enhance the Company’s U.S. prepaid processing business, PaySpot (a wholly-owned subsidiary of Euronet) purchased substantially all of the assets of Dynamic Telecom, Inc. (“Dynamic Telecom”), a company based in Iowa. Dynamic Telecom’s distribution network in convenience store chains throughout the U.S. provides several types of prepaid products including wireless, long distance and gift cards via POS terminals.</w:t>
      </w:r>
    </w:p>
    <w:p>
      <w:pPr>
        <w:spacing w:after="0" w:line="92" w:lineRule="exact"/>
        <w:rPr>
          <w:rFonts w:ascii="Arial" w:cs="Arial" w:eastAsia="Arial" w:hAnsi="Arial"/>
          <w:sz w:val="18"/>
          <w:szCs w:val="18"/>
          <w:b w:val="1"/>
          <w:bCs w:val="1"/>
          <w:color w:val="auto"/>
        </w:rPr>
      </w:pPr>
    </w:p>
    <w:p>
      <w:pPr>
        <w:ind w:left="660" w:hanging="436"/>
        <w:spacing w:after="0" w:line="279" w:lineRule="auto"/>
        <w:tabs>
          <w:tab w:leader="none" w:pos="6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In March 2005, the Company exercised its option to acquire an additional 41% of the shares of ATX Software, Ltd. (“ATX”) and increased its share ownership in ATX to 51%. Euronet originally acquired a 10% share in ATX in May 2004. Euronet’s $0.1 million share of dividends declared prior to acquiring the additional 41% ownership share of ATX was recognized as income from unconsolidated affiliates during 2005. Upon the increase in ownership from 10% to 51%, Euronet consolidated ATX’s financial position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these six acquisitions, $2.0 million in cash remains in escrow, subject to the achievement of certain performance criteria. This cash has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been reflected in the purchase price allocation because the Company has determined beyond a reasonable doubt that the performance criteria will be met.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2006, the Company issued 109,542 shares of Euronet Common Stock, valued at $4.1 million, in settlement of contingent payment arrangements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associated with the Company’s 2005 acquisitions. This settlement was recorded as an increase in goodwill. Also during 2006, the Company identified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 million of additional capital lease obligations assumed in connection with these six acquisitions that was recorded as an increase to the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an increase to property and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Acquisitions: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2004, the Company completed four acquisitions for an aggregate purchase price of $51.6 million. The following table summarizes the allocation of the purchase price to the fair values of the acquired tangible and intangible assets at the acquisition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560" w:type="dxa"/>
            <w:vAlign w:val="bottom"/>
          </w:tcPr>
          <w:p>
            <w:pPr>
              <w:spacing w:after="0"/>
              <w:rPr>
                <w:sz w:val="14"/>
                <w:szCs w:val="14"/>
                <w:color w:val="auto"/>
              </w:rPr>
            </w:pPr>
          </w:p>
        </w:tc>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Movilcarga</w:t>
            </w:r>
          </w:p>
        </w:tc>
        <w:tc>
          <w:tcPr>
            <w:tcW w:w="14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56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10,902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various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Software</w:t>
            </w:r>
          </w:p>
        </w:tc>
        <w:tc>
          <w:tcPr>
            <w:tcW w:w="5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Non-compete agreements</w:t>
            </w:r>
          </w:p>
        </w:tc>
        <w:tc>
          <w:tcPr>
            <w:tcW w:w="5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25,785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Assets acquired</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31,159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40,281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(10,544)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Deferred income tax</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(1,722)</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(5,813)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tcPr>
          <w:p>
            <w:pPr>
              <w:ind w:left="400"/>
              <w:spacing w:after="0"/>
              <w:rPr>
                <w:sz w:val="20"/>
                <w:szCs w:val="20"/>
                <w:color w:val="auto"/>
              </w:rPr>
            </w:pPr>
            <w:r>
              <w:rPr>
                <w:rFonts w:ascii="Arial" w:cs="Arial" w:eastAsia="Arial" w:hAnsi="Arial"/>
                <w:sz w:val="18"/>
                <w:szCs w:val="18"/>
                <w:color w:val="auto"/>
              </w:rPr>
              <w:t>Net assets acquired</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23,624</w:t>
            </w:r>
          </w:p>
        </w:tc>
        <w:tc>
          <w:tcPr>
            <w:tcW w:w="6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27,939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the amounts allocated to goodwill and intangible assets (i.e. customer relationships, software, trade name and non-compete agreements), approximately $25.0 million is deductible for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Movilcarga</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November 2004, expanding the Company’s prepaid processing segment business into Spain, Euronet indirectly acquired certain prepaid mobile airtime top-up assets and a network of POS terminals through which mobile phone time is distributed, contracts with retailers that operate the POS terminals, certain employees, and various operating contracts from Grupo Meflur Corporacion (“Meflur”), a Spanish telecommunications distribution company (the “Movilcarga Assets”). With this acquisition Euronet entered into a service agreement with Meflur to provide certain administrative and support functions necessary to operate the Movilcarga Assets, a lease agreement for office space and a license agreement for technology used to process transactions. To implement the acquisition, Euronet purchased 80% of a non-operating Spanish subsidiary (“Movilcarga”) that acquired the Movilcarga Assets. Meflur owns the remaining 20%. Euronet purchased the Movilcarga Assets for €18.0 million (approximately $23.3 million) in two installments: €8.0 million in cash at closing and €10.0 million in cash paid in January 2005 that was subject to certain revenue targets and adjustments. The revenue targets were met as of December 31, 2004; therefore, €10.0 million (approximately $13.0 million) was recorded as a purchase price payable, and included in the asset allocation, as of December 31, 2004. The purchase price also included $0.3 million in transaction costs. An additional payment may be due during 2007, subject to the fulfillment of certain financial conditions. Based upon presently available information management does not believe any additional payments will be required. The seller has disputed this conclusion and may seek arbitration as provided for in the purchase agreement. Any additional payments, if ultimately determined to be owed the seller, would be recorded as additional goodwill and could be made in either cash of a combination of cash and Euronet common stock at the company’s option.</w:t>
      </w:r>
    </w:p>
    <w:p>
      <w:pPr>
        <w:spacing w:after="0" w:line="7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table above also includes adjustments to Movilcarga’s purchase price allocation based on the finalization of an independent appraisal. The appraisal resulted in a $0.6 million reclassification of the initial purchase price from goodwill to amortizable intangible assets, primarily customer relationships. The related deferred income tax liability increased by $0.2 million, which had the impact of increasing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2004, further expanding the Company’s prepaid processing business in the U.S., Euronet completed the three other acquisitions described below for a total purchase price of $27.9 million, consisting of $5.1 million in cash, 948,898 shares of Euronet Common Stock, valued at $18.8 million, and issued notes payable of $4.0 million. The notes payable were repaid during 2004.</w:t>
      </w:r>
    </w:p>
    <w:p>
      <w:pPr>
        <w:spacing w:after="0" w:line="73" w:lineRule="exact"/>
        <w:rPr>
          <w:sz w:val="20"/>
          <w:szCs w:val="20"/>
          <w:color w:val="auto"/>
        </w:rPr>
      </w:pPr>
    </w:p>
    <w:p>
      <w:pPr>
        <w:ind w:left="660" w:right="320" w:hanging="436"/>
        <w:spacing w:after="0" w:line="277"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 July 2004, PaySpot purchased all of the shares of Call Processing, Inc. (“CPI”), a company based in Texas that distributes prepaid services via POS terminals to convenience store chains throughout the U.S.</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 May 2004, PaySpot purchased all of the net assets of Electronic Payment Solutions (“EPS”), a company based in Texas that distributes prepaid services via POS terminals throughout the U.S.</w:t>
      </w:r>
    </w:p>
    <w:p>
      <w:pPr>
        <w:spacing w:after="0" w:line="75"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 January 2004, PaySpot purchased all of the shares of Prepaid Concepts, Inc. (“Precept”), a company based in California that distributes prepaid services via POS terminals throughout the 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81" w:name="page82"/>
    <w:bookmarkEnd w:id="81"/>
    <w:p>
      <w:pPr>
        <w:ind w:right="20"/>
        <w:spacing w:after="0" w:line="297" w:lineRule="auto"/>
        <w:rPr>
          <w:sz w:val="20"/>
          <w:szCs w:val="20"/>
          <w:color w:val="auto"/>
        </w:rPr>
      </w:pPr>
      <w:r>
        <w:rPr>
          <w:rFonts w:ascii="Arial" w:cs="Arial" w:eastAsia="Arial" w:hAnsi="Arial"/>
          <w:sz w:val="16"/>
          <w:szCs w:val="16"/>
          <w:color w:val="auto"/>
        </w:rPr>
        <w:t>In connection with these three other acquisitions, Euronet Common Stock has been placed in escrow as security with respect to potential indemnification claims and/or the achievement of certain performance criteria to be satisfied. As of December 31, 2006, 57,954 shares remain in escrow related to 2004 acquisitions that were reflected in the initial purchase price allocation because it was been determined beyond a reasonable doubt that the performance criteria will be met. During the first quarter 2007, these shares were released from escrow to the sellers of the respective business. During 2005, the Company settled the earn-out obligation to the seller of EPS for $0.9 million in Euronet Common Stock, which was recorded as goodwill, and is included in the table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investment in ATX Software, Ltd.</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May 2004, Euronet purchased 10% of the shares of ATX, a provider of electronic prepaid voucher solutions incorporated in the U.K. ATX offers software and outsourcing solutions for prepaid processing to existing scratch card distributors willing to switch to electronic top-up solutions. ATX works directly with scratch card distributors, who in turn contract with the mobile operators and individual retailers. The purchase price of $2.9 million, including professional fees, was settled through the issuance of 125,590 shares of Euronet Common Stock for the ATX shares. Euronet was also granted an option to purchase an additional 41% of the shares of ATX at any time prior to April 1, 2005, which, as discussed above, Euronet exercised in March 2005.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NON-CASH FINANCING AND INVESTING ACTIVITIES</w:t>
      </w:r>
    </w:p>
    <w:p>
      <w:pPr>
        <w:spacing w:after="0" w:line="12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Capital lease obligations of $4.9 million, $3.8 million and $19.9 million during the years ended December 31, 2006, 2005 and 2004, respectively, were incurred when the Company entered into leases primarily for new ATMs, to upgrade ATMs or for data center computer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4 – Acquisitions for a description of non-cash financing and investing activities related to the Company’s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2006 and 2005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held in trust and/or cash held on behalf of others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64,715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Collateral on bank credit arrangements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14,167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ATM network cash</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1,184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80,703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73,942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Cash held in trust and/or cash held on behalf of others is in connection with the administration of the customer collection and vendor remittance activities in the Prepaid Processing Segment. Amounts collected on behalf of mobile operators are deposited into a restricted cash account. The Company has deposits with commercial banks to cover guarantees. The bank credit arrangements primarily represent cash collateral for bank guarantees. ATM network cash represents balances held that are equivalent to the value of certain banks’ cash held in Euronet’s ATM network.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(7)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of accumulated depreciation and amortization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20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9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POS terminals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25,473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and office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Computers and software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147,057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(91,883)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(66,644)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55,174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2006, 2005 and 2004 was $19.3 million, $14.7 million and $10.9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INTANGIBLES ASSETS, NET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3"/>
              </w:rPr>
              <w:t>December 31, 2006</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3"/>
              </w:rPr>
              <w:t>December 31, 2005</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Gross Carrying</w:t>
            </w:r>
          </w:p>
        </w:tc>
        <w:tc>
          <w:tcPr>
            <w:tcW w:w="1400" w:type="dxa"/>
            <w:vAlign w:val="bottom"/>
            <w:gridSpan w:val="3"/>
          </w:tcPr>
          <w:p>
            <w:pPr>
              <w:ind w:left="660"/>
              <w:spacing w:after="0" w:line="123" w:lineRule="exact"/>
              <w:rPr>
                <w:sz w:val="20"/>
                <w:szCs w:val="20"/>
                <w:color w:val="auto"/>
              </w:rPr>
            </w:pPr>
            <w:r>
              <w:rPr>
                <w:rFonts w:ascii="Arial" w:cs="Arial" w:eastAsia="Arial" w:hAnsi="Arial"/>
                <w:sz w:val="14"/>
                <w:szCs w:val="14"/>
                <w:color w:val="auto"/>
                <w:w w:val="88"/>
              </w:rPr>
              <w:t>Accumulated</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gridSpan w:val="3"/>
          </w:tcPr>
          <w:p>
            <w:pPr>
              <w:ind w:left="3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5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Amount</w:t>
            </w:r>
          </w:p>
        </w:tc>
        <w:tc>
          <w:tcPr>
            <w:tcW w:w="1740" w:type="dxa"/>
            <w:vAlign w:val="bottom"/>
            <w:gridSpan w:val="4"/>
          </w:tcPr>
          <w:p>
            <w:pPr>
              <w:ind w:left="66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gridSpan w:val="4"/>
          </w:tcPr>
          <w:p>
            <w:pPr>
              <w:ind w:left="32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56,123</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17,288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53,451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Software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2,208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2,959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Patent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1,699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40" w:type="dxa"/>
            <w:vAlign w:val="bottom"/>
            <w:gridSpan w:val="2"/>
          </w:tcPr>
          <w:p>
            <w:pPr>
              <w:spacing w:after="0"/>
              <w:rPr>
                <w:sz w:val="20"/>
                <w:szCs w:val="20"/>
                <w:color w:val="auto"/>
              </w:rPr>
            </w:pPr>
            <w:r>
              <w:rPr>
                <w:rFonts w:ascii="Arial" w:cs="Arial" w:eastAsia="Arial" w:hAnsi="Arial"/>
                <w:sz w:val="18"/>
                <w:szCs w:val="18"/>
                <w:color w:val="auto"/>
              </w:rPr>
              <w:t>Totals</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68,235</w:t>
            </w:r>
          </w:p>
        </w:tc>
        <w:tc>
          <w:tcPr>
            <w:tcW w:w="8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20,696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62,642</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intangible activity for the years ended December 31, 2005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Amortizable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Intangible</w:t>
            </w:r>
          </w:p>
        </w:tc>
        <w:tc>
          <w:tcPr>
            <w:tcW w:w="30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Assets</w:t>
            </w: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2005</w:t>
            </w:r>
          </w:p>
        </w:tc>
        <w:tc>
          <w:tcPr>
            <w:tcW w:w="2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28,930</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$ 183,668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$ 212,598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Increases (decreases):</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Telerecarga</w:t>
            </w:r>
          </w:p>
        </w:tc>
        <w:tc>
          <w:tcPr>
            <w:tcW w:w="2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3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42,225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Other 2005 acquisitions</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17,070</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49,998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67,068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to Transact purchase price allocation</w:t>
            </w:r>
          </w:p>
        </w:tc>
        <w:tc>
          <w:tcPr>
            <w:tcW w:w="2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3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(1,025)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Adjustment to Movilcarga purchase price allocation</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568</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(338)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(6,441)</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(2,543)</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(7,333)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2720" w:type="dxa"/>
            <w:vAlign w:val="bottom"/>
            <w:gridSpan w:val="3"/>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50,724</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$ 267,195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$ 317,919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Increases (decreases):</w:t>
            </w:r>
          </w:p>
        </w:tc>
        <w:tc>
          <w:tcPr>
            <w:tcW w:w="2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 acquisitions</w:t>
            </w:r>
          </w:p>
        </w:tc>
        <w:tc>
          <w:tcPr>
            <w:tcW w:w="2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Earn-out payment related to 2005 acquisitions</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4,125</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other 2005 acquisitions</w:t>
            </w:r>
          </w:p>
        </w:tc>
        <w:tc>
          <w:tcPr>
            <w:tcW w:w="2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(8,350)</w:t>
            </w:r>
          </w:p>
        </w:tc>
        <w:tc>
          <w:tcPr>
            <w:tcW w:w="3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2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20" w:type="dxa"/>
            <w:vAlign w:val="bottom"/>
            <w:gridSpan w:val="2"/>
          </w:tcPr>
          <w:p>
            <w:pPr>
              <w:spacing w:after="0"/>
              <w:rPr>
                <w:sz w:val="20"/>
                <w:szCs w:val="20"/>
                <w:color w:val="auto"/>
              </w:rPr>
            </w:pPr>
            <w:r>
              <w:rPr>
                <w:rFonts w:ascii="Arial" w:cs="Arial" w:eastAsia="Arial" w:hAnsi="Arial"/>
                <w:sz w:val="18"/>
                <w:szCs w:val="18"/>
                <w:color w:val="auto"/>
              </w:rPr>
              <w:t>Balance as of December 31, 2006</w:t>
            </w:r>
          </w:p>
        </w:tc>
        <w:tc>
          <w:tcPr>
            <w:tcW w:w="2720" w:type="dxa"/>
            <w:vAlign w:val="bottom"/>
            <w:gridSpan w:val="3"/>
          </w:tcPr>
          <w:p>
            <w:pPr>
              <w:ind w:left="2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47,539</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$ 278,743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$ 326,282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20" w:type="dxa"/>
            <w:vAlign w:val="bottom"/>
            <w:vMerge w:val="restart"/>
          </w:tcPr>
          <w:p>
            <w:pPr>
              <w:jc w:val="right"/>
              <w:ind w:right="1250"/>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auto"/>
        </w:rPr>
        <w:t>Of the total goodwill balance of $278.7 million as of December 31, 2006, $258.0 million relates to the Prepaid Processing Segment and the remaining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$20.7 million relates to the EFT Processing Segment. Amortization expense for intangible assets with finite lives was $8.4 million, $6.4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 million for the years ended December 31, 2006, 2005 and 2004, respectively. Estimated amortization expense on intangible assets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2006 with finite lives is expected to be $8.4 million for 2007, $8.2 million for 2008, $8.2 million for 2009, $8.1 million for 2010 and $6.3 million for 2011.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annual impairment tests during the years ended December 31, 2006, 2005 and 2004 indicated that there were no impairments.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2006 and 2005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22,326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Accrued amounts due to mobile operators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76,713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52,183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99,039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77,101</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DEBT OBLIGATIONS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i w:val="1"/>
                <w:iCs w:val="1"/>
                <w:color w:val="auto"/>
              </w:rPr>
              <w:t>Short-term debt obligations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Short-term debt obligations outstanding were $3.5 million at December 31, 2006 and $22.9 million at December 31, 2005, with weighted average interest rates of 3.5% and 5.3%,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obligations consist of the following as of December 31,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2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00" w:type="dxa"/>
            <w:vAlign w:val="bottom"/>
            <w:gridSpan w:val="3"/>
            <w:vMerge w:val="continue"/>
          </w:tcPr>
          <w:p>
            <w:pPr>
              <w:spacing w:after="0"/>
              <w:rPr>
                <w:sz w:val="12"/>
                <w:szCs w:val="12"/>
                <w:color w:val="auto"/>
              </w:rPr>
            </w:pPr>
          </w:p>
        </w:tc>
        <w:tc>
          <w:tcPr>
            <w:tcW w:w="7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$ 140,000</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3.50% convertible debentures, unsecured, due 2025</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175,000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agreements</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34,073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jc w:val="right"/>
              <w:spacing w:after="0"/>
              <w:rPr>
                <w:sz w:val="20"/>
                <w:szCs w:val="20"/>
                <w:color w:val="auto"/>
              </w:rPr>
            </w:pPr>
            <w:r>
              <w:rPr>
                <w:rFonts w:ascii="Arial" w:cs="Arial" w:eastAsia="Arial" w:hAnsi="Arial"/>
                <w:sz w:val="18"/>
                <w:szCs w:val="18"/>
                <w:color w:val="auto"/>
              </w:rPr>
              <w:t>923</w:t>
            </w:r>
          </w:p>
        </w:tc>
        <w:tc>
          <w:tcPr>
            <w:tcW w:w="6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349,996</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432"/>
        </w:trPr>
        <w:tc>
          <w:tcPr>
            <w:tcW w:w="8900" w:type="dxa"/>
            <w:vAlign w:val="bottom"/>
            <w:gridSpan w:val="3"/>
          </w:tcPr>
          <w:p>
            <w:pPr>
              <w:spacing w:after="0"/>
              <w:rPr>
                <w:sz w:val="20"/>
                <w:szCs w:val="20"/>
                <w:color w:val="auto"/>
              </w:rPr>
            </w:pPr>
            <w:r>
              <w:rPr>
                <w:rFonts w:ascii="Arial" w:cs="Arial" w:eastAsia="Arial" w:hAnsi="Arial"/>
                <w:sz w:val="18"/>
                <w:szCs w:val="18"/>
                <w:color w:val="auto"/>
              </w:rPr>
              <w:t>Less current maturities of long-term debt obligations</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(923)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 obligations</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$ 349,073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$ 315,000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October 4, 2005, the Company completed the sale of $175 million of our private offering 3.50% Contingent Convertible Debentures Due 2025 (“Convertible Debentures”). The Company received net proceeds from the sales of $169.9 million, after fees totaling $5.1 million. The Convertible Debentures have an interest rate of 3.50% per annum payable semi-annually in April and October, and are convertible into a total of 4.3 million shares of Euronet Common Stock at a conversion price of $40.48 per share if certain conditions are met (relating to the closing prices of Euronet common stock exceeding certain thresholds for specified periods). The Company will pay contingent interest, during any six-month period commencing with the period from October 15, 2012 through April 14, 2013, and for each six-month period thereafter for which the average trading price of the debentures for the applicable five trading-day period preceding such applicable interest period equals or exceeds 120% of the principal amount of the debentures. Contingent interest will equal 0.35% per annum of the average trading price of a debenture for such five trading-day periods. The Convertible Debentures may not be redeemed by the Company until October 20, 2012 but are redeemable at any time thereafter at par. Holders of the Convertible Debentures have the option to require the Company to purchase their debentures at par on October 15, 2012, 2015 and 2020, and upon a change in control of the Company. These terms and other material terms and conditions applicable to the Convertible Debentures are set forth in the indenture governing the debentures. In connection with the Convertible Debentures, the Company recorded $5.1 million in debt issuance costs, which is being amortized over seven years, the term of the initial put option by the holders of the Convertible Debentures. The Convertible Debentures are general unsecured obligations, and are subordinated in right of payment to all obligations under “Senior Debt,” which is defined to include secured credit facilities (including secured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spacing w:after="0" w:line="272" w:lineRule="auto"/>
        <w:rPr>
          <w:sz w:val="20"/>
          <w:szCs w:val="20"/>
          <w:color w:val="auto"/>
        </w:rPr>
      </w:pPr>
      <w:r>
        <w:rPr>
          <w:rFonts w:ascii="Arial" w:cs="Arial" w:eastAsia="Arial" w:hAnsi="Arial"/>
          <w:sz w:val="17"/>
          <w:szCs w:val="17"/>
          <w:color w:val="auto"/>
        </w:rPr>
        <w:t>replacements, renewals or refinancings thereof, including with different lenders and in higher amounts) and will rank equally in right of payment with all other existing and future unsecured obligations and senior in right of payment to all future subordinated indebtedness. The Convertible Debentures will not be subordinated in right of payment to the $140 million 1.625% Convertible Senior Debentures described below. The Convertible Debentures will be effectively subordinated to any existing and future secured indebtedness, with respect to any collateral securing such indebtedness and all liabilities of Euronet’s subsidiaries. The Convertible Debentures will not be guaranteed by any of Euronet’s subsidiaries and, accordingly, are effectively subordinated to the indebtedness and other liabilities of Euronet’s subsidiaries, including trade creditors. The Company and its subsidiaries are not restricted under the indenture from incurring additional secured indebtedness, Senior Debt or other additional indebtedness.</w:t>
      </w:r>
    </w:p>
    <w:p>
      <w:pPr>
        <w:spacing w:after="0" w:line="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15, 2004, the Company completed the sale of $140 million of our private offering 1.625% Contingent Convertible Senior Debentures Due 2024 (“Convertible Senior Debentures”). The Company received net proceeds from the sales of $135.4 million, after fees totaling $4.6 million. The Convertible Senior Debentures have an interest rate of 1.625% per annum payable semi-annually in June and December, and are convertible into a total of 4.2 million shares of Euronet Common Stock at a conversion price of $33.63 per share if certain conditions are met (relating to the closing prices of Euronet common stock exceeding certain thresholds for specified periods). The Company will pay contingent interest, during any six-month period commencing with the period from December 20, 2009 through June 14, 2010, and for each six-month period thereafter for which the average trading price of the debentures for the applicable five trading-day period preceding such applicable interest period equals or exceeds 120% of the principal amount of the debentures. Contingent interest will equal 0.30% per annum of the average trading price of a debenture for such five trading-day periods. The Convertible Senior Debentures may not be redeemed by the Company until December 20, 2009 but are redeemable at any time thereafter at par. Holders of the Convertible Senior Debentures have the option to require the Company to purchase their debentures at par on December 15, 2009, 2014 and 2019, and upon a change in control of the Company. These terms and other material terms and conditions applicable to the Convertible Senior Debentures are set forth in the indenture governing the debentures. In connection with the Convertible Senior Debentures, the Company recorded $4.6 million in debt issuance costs, which is being amortized over five years, the term of the initial put option by the holders of the Convertible Senior Debentures. The Convertible Senior Debentures are general unsecured and unsubordinated obligations and rank equally in right of payment with all other existing and future unsecured and unsubordinated obligations and senior in right of payment to all of the Company’s future subordinated indebtedness. The Convertible Senior Debentures are effectively subordinated to existing and future secured indebtedness, including indebtedness under the Company’s credit facilities with respect to any collateral securing such indebtedness. The Convertible Senior Debentures are not be guaranteed by any of Euronet’s subsidiaries and, accordingly, are effectively subordinated to the indebtedness and other liabilities of Euronet’s subsidiaries, including trade creditors. The Company and its subsidiaries are not restricted under the indenture from incurring additional secured indebtedness or other additional indebtedness.</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1998, the Company sold 12 </w:t>
      </w:r>
      <w:r>
        <w:rPr>
          <w:rFonts w:ascii="Arial" w:cs="Arial" w:eastAsia="Arial" w:hAnsi="Arial"/>
          <w:sz w:val="14"/>
          <w:szCs w:val="14"/>
          <w:color w:val="auto"/>
        </w:rPr>
        <w:t>3</w:t>
      </w:r>
      <w:r>
        <w:rPr>
          <w:rFonts w:ascii="Arial" w:cs="Arial" w:eastAsia="Arial" w:hAnsi="Arial"/>
          <w:sz w:val="17"/>
          <w:szCs w:val="17"/>
          <w:color w:val="auto"/>
        </w:rPr>
        <w:t xml:space="preserve"> /8% Senior Discount Notes due on July 1, 2006 along with 729,633 warrants to purchase 766,114 shares of Common Stock. Each warrant entitled the holder to purchase, on or after June 22, 1998 and prior to July 1, 2006, 1.05 shares of Common Stock at an exercise price of $5 per share. The notes and warrants were separately transferable. During 2004, the Company repurchased or redeemed the balance of its 12 </w:t>
      </w:r>
      <w:r>
        <w:rPr>
          <w:rFonts w:ascii="Arial" w:cs="Arial" w:eastAsia="Arial" w:hAnsi="Arial"/>
          <w:sz w:val="14"/>
          <w:szCs w:val="14"/>
          <w:color w:val="auto"/>
        </w:rPr>
        <w:t>3</w:t>
      </w:r>
      <w:r>
        <w:rPr>
          <w:rFonts w:ascii="Arial" w:cs="Arial" w:eastAsia="Arial" w:hAnsi="Arial"/>
          <w:sz w:val="17"/>
          <w:szCs w:val="17"/>
          <w:color w:val="auto"/>
        </w:rPr>
        <w:t xml:space="preserve"> / 8 % Senior Discount Notes and recognized $0.9 million as a loss on the early retirement of debt due to the combination of redemption premiums and the elimination of capitalized debt issuance costs. The final 277,269 warrants were exercised during 2004.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second quarter 2006 the Company amended its October 2004, $50 million revolving credit agreement to extend the maturity date to May 26, 2009 and established a new credit facility in India maturing on May 26, 2009. The amended facility also increased the number of participating financial institutions from one to three. The credit agreement, as amended, comprises the following:</w:t>
      </w:r>
    </w:p>
    <w:p>
      <w:pPr>
        <w:spacing w:after="0" w:line="73" w:lineRule="exact"/>
        <w:rPr>
          <w:sz w:val="20"/>
          <w:szCs w:val="20"/>
          <w:color w:val="auto"/>
        </w:rPr>
      </w:pPr>
    </w:p>
    <w:p>
      <w:pPr>
        <w:ind w:left="660" w:right="20" w:hanging="436"/>
        <w:spacing w:after="0" w:line="293" w:lineRule="auto"/>
        <w:tabs>
          <w:tab w:leader="none" w:pos="66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A $10 million facility is to be used by the Company and certain U.S. subsidiaries (the “U.S. facility”) and drawn in U.S. dollars. This facility bears interest at either (i) the prime rate plus an applicable margin specified in the respective agreement, or (ii) a fixed rate equal to the U.S. dollar London Interbank Offered Rate (“LIBOR”), plus an applicable margin set forth in the agreement, and varies based on a consolidated funded debt to earnings before interest, taxes, depreciation and amortization (“EBITDA”) ratio, adjusted for certain other items as defined in the agreements. Fixed rate borrowings are made with maturities of one month, two months or three months. The U.S. facility is secured by approximately 65% of the share capital of Euronet Services Holding B.V. and the share capital of a majority of the Company’s U.S. subsidiaries.</w:t>
      </w:r>
    </w:p>
    <w:p>
      <w:pPr>
        <w:spacing w:after="0" w:line="70" w:lineRule="exact"/>
        <w:rPr>
          <w:rFonts w:ascii="Arial" w:cs="Arial" w:eastAsia="Arial" w:hAnsi="Arial"/>
          <w:sz w:val="16"/>
          <w:szCs w:val="16"/>
          <w:b w:val="1"/>
          <w:bCs w:val="1"/>
          <w:color w:val="auto"/>
        </w:rPr>
      </w:pPr>
    </w:p>
    <w:p>
      <w:pPr>
        <w:ind w:left="660" w:right="20" w:hanging="436"/>
        <w:spacing w:after="0" w:line="297" w:lineRule="auto"/>
        <w:tabs>
          <w:tab w:leader="none" w:pos="66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A $30 million facility for use by the Company and certain European subsidiaries (the “European facility”). The European facility is a multi-currency facility that may be drawn in any combination of U.S. dollar, euro or British pound denominations. U.S. dollar draws are subject to interest charges similar to the $10 million U.S. facility described above. Borrowings in euro or British pounds bear interest at a rate fixed to the Euro Interbank Offered Rate (“EURIBOR”) or LIBOR rate, respectively, plus a margin that varies based on a consolidated debt to EBITDA ratio, plus ancillary costs. Fixed rate borrowings are made with maturities of one month, two months or three months. Borrowings under this facility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5" w:name="page86"/>
    <w:bookmarkEnd w:id="85"/>
    <w:p>
      <w:pPr>
        <w:ind w:left="660" w:right="200"/>
        <w:spacing w:after="0" w:line="277" w:lineRule="auto"/>
        <w:rPr>
          <w:sz w:val="20"/>
          <w:szCs w:val="20"/>
          <w:color w:val="auto"/>
        </w:rPr>
      </w:pPr>
      <w:r>
        <w:rPr>
          <w:rFonts w:ascii="Arial" w:cs="Arial" w:eastAsia="Arial" w:hAnsi="Arial"/>
          <w:sz w:val="18"/>
          <w:szCs w:val="18"/>
          <w:color w:val="auto"/>
        </w:rPr>
        <w:t>are secured by the share capital of e-pay Ltd., Euronet Services GmbH, Transact GmbH and Delta Euronet GmbH, and are secured and guaranteed by a majority of the Company’s U.S. subsidiaries.</w:t>
      </w:r>
    </w:p>
    <w:p>
      <w:pPr>
        <w:spacing w:after="0" w:line="62" w:lineRule="exact"/>
        <w:rPr>
          <w:sz w:val="20"/>
          <w:szCs w:val="20"/>
          <w:color w:val="auto"/>
        </w:rPr>
      </w:pPr>
    </w:p>
    <w:p>
      <w:pPr>
        <w:ind w:left="660" w:right="60" w:hanging="436"/>
        <w:spacing w:after="0" w:line="279" w:lineRule="auto"/>
        <w:tabs>
          <w:tab w:leader="none" w:pos="66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A $10 million facility, to be drawn in Indian rupees, for use by the Company’s Indian subsidiary (the “Rupee facility”). Borrowings under the Rupee facility either (i) bear interest at a floating rate equal to the Indian prime lending rate or the Mumbai Interbank Offered Rate (“MIBOR”), plus an applicable margin, or (ii) at a fixed MIBOR rate plus an applicable margin. Fixed rate borrowings are made with maturities of one month, two months or three months. Borrowings under this facility are unsecured and guaranteed by Euronet Worldwide, Inc.</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agreement allows the Company to elect to increase the aggregate commitments under the credit facility from $50 million to $65 million. The borrowings under the agreement may be used to refinance debt, for working capital needs, for permitted acquisitions and for other general corporate purposes. The agreement places certain restrictions on use of the facility to finance investments in, or operations of, “money services businesses” such as those engaged in money transfer activities. The agreement contains customary events of cross-default and covenants related to limitations on indebtedness and the maintenance of certain financial ratios. The Company is in compliance with all debt covenants as of December 31, 2006. Total debt issuance costs of $0.3 million are being amortized over three years.</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2006, the Company had $34.1 million in borrowings and $2.8 million in stand-by letters of credit outstanding against these facilities. The borrowings were classified as long-term debt obligations in the December 31, 2006 Consolidated Balance Sheets and accrued interest at 8.1% per annum. As of December 31, 2005, the Company had $7.3 million in borrowings, accruing interest at 4.7% per annum, and $6.7 million in stand-by letters of credit outstanding against these facilities. Because the revolving credit agreement was to expire in October 2006, the borrowings were classified as short-term debt obligations in the December 31, 2005 Consolidated Balance Sheets. The Company pays fixed interest at 1.75% per annum for stand-by letters of credit outstanding against these facilities.</w:t>
      </w:r>
    </w:p>
    <w:p>
      <w:pPr>
        <w:spacing w:after="0" w:line="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2006, aggregate annual maturities of long-term debt are $0.9 million in 2007, zero in 2008, $174.1 million in 2009, zero in 2010 and 2011 and $175.0 million in periods thereafter. This maturity schedule reflects amounts borrowed under the revolving credit agreement maturing in 2009, consistent with the contractual maturity of the agreement. For Convertible Debentures, the maturity schedule reflects a due date that coincides with the term of the initial put option by the holders of the Convertible Debentures.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leases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leases certain of its ATMs and computer equipment under capital lease agreements that expire between 2007 and 2012 and bear interest at rates between 2.5% and 12.5%.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of the ATMs and computer equipment and related accumulated amortization recorded under capital leases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84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28,931</w:t>
            </w: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(20,977)</w:t>
            </w: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14,192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Operating leases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has non-cancelable operating rental leases for office space, which expire over the next eleven years. Rent expense for the years ended December 31, 2006, 2005 and 2004 amounted to $5.9 million, $4.3 million, and $3.4 million, respectively.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(c) Future minimum lease payments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the capital leases and the noncancelable operating leases (with initial or remaining lease terms in excess of one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Capital Leases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8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2007</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2008</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2010</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minimum lease payments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23,958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48,416</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Less amounts representing interest</w:t>
            </w: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(3,957)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Present value of net minimum capital lease payments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240" w:type="dxa"/>
            <w:vAlign w:val="bottom"/>
            <w:gridSpan w:val="2"/>
          </w:tcPr>
          <w:p>
            <w:pPr>
              <w:spacing w:after="0"/>
              <w:rPr>
                <w:sz w:val="20"/>
                <w:szCs w:val="20"/>
                <w:color w:val="auto"/>
              </w:rPr>
            </w:pPr>
            <w:r>
              <w:rPr>
                <w:rFonts w:ascii="Arial" w:cs="Arial" w:eastAsia="Arial" w:hAnsi="Arial"/>
                <w:sz w:val="18"/>
                <w:szCs w:val="18"/>
                <w:color w:val="auto"/>
              </w:rPr>
              <w:t>Less current installments of obligations under capital leases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Obligations under capital lease obligations, less current installments</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13,409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TAXES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Deferred tax assets and liabilities are determined based on the temporary differences between the financial statement and tax bases of assets and liabilities as measured by the enacted tax rates which will be in effect when these differences reverse. Deferred tax benefit (expense) is generally the result of changes in the assets and liabilities for deferred taxes.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before income taxes for the years ended December 31, 2006, 2005 and 2004 are presented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vMerge w:val="continue"/>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1"/>
              </w:rPr>
              <w:t>2005(1)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5"/>
              </w:rPr>
              <w:t>2004(1)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continuing operations:</w:t>
            </w:r>
          </w:p>
        </w:tc>
        <w:tc>
          <w:tcPr>
            <w:tcW w:w="2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22,831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(20,508)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Europe</w:t>
            </w:r>
          </w:p>
        </w:tc>
        <w:tc>
          <w:tcPr>
            <w:tcW w:w="2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32,915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20"/>
              <w:spacing w:after="0"/>
              <w:rPr>
                <w:sz w:val="20"/>
                <w:szCs w:val="20"/>
                <w:color w:val="auto"/>
              </w:rPr>
            </w:pPr>
            <w:r>
              <w:rPr>
                <w:rFonts w:ascii="Arial" w:cs="Arial" w:eastAsia="Arial" w:hAnsi="Arial"/>
                <w:sz w:val="18"/>
                <w:szCs w:val="18"/>
                <w:color w:val="auto"/>
              </w:rPr>
              <w:t>Asia Pacific</w:t>
            </w:r>
          </w:p>
        </w:tc>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Income from continuing operations before income taxes</w:t>
            </w:r>
          </w:p>
        </w:tc>
        <w:tc>
          <w:tcPr>
            <w:tcW w:w="2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61,150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40" w:type="dxa"/>
            <w:vAlign w:val="bottom"/>
          </w:tcPr>
          <w:p>
            <w:pPr>
              <w:spacing w:after="0"/>
              <w:rPr>
                <w:sz w:val="20"/>
                <w:szCs w:val="20"/>
                <w:color w:val="auto"/>
              </w:rPr>
            </w:pPr>
            <w:r>
              <w:rPr>
                <w:rFonts w:ascii="Arial" w:cs="Arial" w:eastAsia="Arial" w:hAnsi="Arial"/>
                <w:sz w:val="18"/>
                <w:szCs w:val="18"/>
                <w:color w:val="auto"/>
              </w:rPr>
              <w:t>Loss from discontinued operations — Europe</w:t>
            </w: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income before income taxes</w:t>
            </w:r>
          </w:p>
        </w:tc>
        <w:tc>
          <w:tcPr>
            <w:tcW w:w="2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61,150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37,331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120" w:type="dxa"/>
            <w:vAlign w:val="bottom"/>
            <w:vMerge w:val="restart"/>
          </w:tcPr>
          <w:p>
            <w:pPr>
              <w:jc w:val="right"/>
              <w:ind w:right="137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4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spacing w:after="0" w:line="277" w:lineRule="auto"/>
        <w:rPr>
          <w:sz w:val="20"/>
          <w:szCs w:val="20"/>
          <w:color w:val="auto"/>
        </w:rPr>
      </w:pPr>
      <w:r>
        <w:rPr>
          <w:rFonts w:ascii="Arial" w:cs="Arial" w:eastAsia="Arial" w:hAnsi="Arial"/>
          <w:sz w:val="18"/>
          <w:szCs w:val="18"/>
          <w:color w:val="auto"/>
        </w:rPr>
        <w:t>There was no income tax expense or benefit associated with the Company’s results from discontinued operations in 2005. The Company’s income tax expense for the years ended December 31, 2006, 2005 and 2004 attributable to continuing operations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6"/>
              </w:rPr>
              <w:t>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296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14,646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12,299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800" w:type="dxa"/>
            <w:vAlign w:val="bottom"/>
            <w:gridSpan w:val="2"/>
          </w:tcPr>
          <w:p>
            <w:pPr>
              <w:ind w:left="400"/>
              <w:spacing w:after="0"/>
              <w:rPr>
                <w:sz w:val="20"/>
                <w:szCs w:val="20"/>
                <w:color w:val="auto"/>
              </w:rPr>
            </w:pPr>
            <w:r>
              <w:rPr>
                <w:rFonts w:ascii="Arial" w:cs="Arial" w:eastAsia="Arial" w:hAnsi="Arial"/>
                <w:sz w:val="18"/>
                <w:szCs w:val="18"/>
                <w:color w:val="auto"/>
              </w:rPr>
              <w:t>Total current</w:t>
            </w: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14,892</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12,595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11,958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439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(111)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800" w:type="dxa"/>
            <w:vAlign w:val="bottom"/>
            <w:gridSpan w:val="2"/>
          </w:tcPr>
          <w:p>
            <w:pPr>
              <w:ind w:left="400"/>
              <w:spacing w:after="0"/>
              <w:rPr>
                <w:sz w:val="20"/>
                <w:szCs w:val="20"/>
                <w:color w:val="auto"/>
              </w:rPr>
            </w:pPr>
            <w:r>
              <w:rPr>
                <w:rFonts w:ascii="Arial" w:cs="Arial" w:eastAsia="Arial" w:hAnsi="Arial"/>
                <w:sz w:val="18"/>
                <w:szCs w:val="18"/>
                <w:color w:val="auto"/>
              </w:rPr>
              <w:t>Total deferred</w:t>
            </w:r>
          </w:p>
        </w:tc>
        <w:tc>
          <w:tcPr>
            <w:tcW w:w="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tax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14,843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14,976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differences that caused Euronet’s effective income tax rates related to continuing operations to vary from the 34% federal statutory rate applicable to corporations with U.S. taxable income less than $10 million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1"/>
              </w:rPr>
              <w:t>2005(1)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1"/>
              </w:rPr>
              <w:t>2004(1)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expense at applicable statutory rate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20,792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Tax effect of:</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State income tax expense (benefit) at statutory rates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Non-deductible expenses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Other permanent differences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4,343</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Difference between U.S. Federal and foreign tax rates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Impact of changes in tax rates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in excess of foreign statutory rates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Change in valuation allowance</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Total income tax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14,843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14,976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1"/>
        </w:trPr>
        <w:tc>
          <w:tcPr>
            <w:tcW w:w="84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84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2005 (1)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Tax loss carryforwards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27,555</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Billings in excess of earnings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Deferred financing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Gross deferred tax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42,756</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(14,396)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(22,461)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Net deferred tax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28,360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8,806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Intangibles related to purchase 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(14,752)</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amortizable goodwill</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(1,889)</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notes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(5,667)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(12,708)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Earnings in excess of billings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research and development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(2,867)</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affiliates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(3,603)</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(47,179)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(28,180)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Net deferred tax liabilities</w:t>
            </w:r>
          </w:p>
        </w:tc>
        <w:tc>
          <w:tcPr>
            <w:tcW w:w="5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(18,819)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2006 will be allocated to income taxes in the consolidated statements of income with the following exceptions. The tax benefit of net operating losses generated from share based compensation have been excluded from the amounts disclosed for Tax Loss Carry Forwards and Valuation Allowance to the extent the benefit will be recognized in equity if realized. The excluded tax benefit of $18.9 million will be allocated to additional paid in capital when utilized to offset taxable income.</w:t>
      </w:r>
    </w:p>
    <w:p>
      <w:pPr>
        <w:spacing w:after="0" w:line="46"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As of December 31, 2006, 2005 and 2004, the Company’s U.S. Federal and foreign tax loss carryforwards were $135.1 million, $90.9 million and $74.9 million, respectively, and U.S. state tax loss carryforwards were $60.7 million, $64.5 million and $50.4 million, respectively.</w:t>
      </w:r>
    </w:p>
    <w:p>
      <w:pPr>
        <w:spacing w:after="0" w:line="3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at December 31, 2006. The amount of the deferred tax assets considered realizable, however, could be reduced if estimates of future taxable income during the carryforward period are reduced.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At December 31, 2006, the Company had U.S. Federal and foreign tax net operating loss carryforwards of $135.1 million, which will expire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60" w:type="dxa"/>
            <w:vAlign w:val="bottom"/>
            <w:gridSpan w:val="3"/>
          </w:tcPr>
          <w:p>
            <w:pPr>
              <w:spacing w:after="0"/>
              <w:rPr>
                <w:sz w:val="20"/>
                <w:szCs w:val="20"/>
                <w:color w:val="auto"/>
              </w:rPr>
            </w:pPr>
            <w:r>
              <w:rPr>
                <w:rFonts w:ascii="Arial" w:cs="Arial" w:eastAsia="Arial" w:hAnsi="Arial"/>
                <w:sz w:val="14"/>
                <w:szCs w:val="14"/>
                <w:color w:val="auto"/>
              </w:rPr>
              <w:t>Year ending December 31, (in thousands)</w:t>
            </w:r>
          </w:p>
        </w:tc>
        <w:tc>
          <w:tcPr>
            <w:tcW w:w="100" w:type="dxa"/>
            <w:vAlign w:val="bottom"/>
          </w:tcPr>
          <w:p>
            <w:pPr>
              <w:spacing w:after="0"/>
              <w:rPr>
                <w:sz w:val="14"/>
                <w:szCs w:val="14"/>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Gross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Tax Effected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2008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3,028</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2010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2,142</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2,440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107,822</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Unlimited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18,851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0"/>
        </w:trPr>
        <w:tc>
          <w:tcPr>
            <w:tcW w:w="916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135,108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43,820</w:t>
            </w: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w w:val="95"/>
              </w:rPr>
              <w:t>In addition, the Company’s state tax net operating losses of $60.7 million will expire periodically from 2008 through 2026.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1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Except for a portion of the earnings of e-pay Australia Pty Ltd., e-pay New Zealand Pty Ltd., and ATX Software, Ltd., no provision has been made in the accounts as of December 31, 2006, 2005 and 2004 for U.S. Federal income taxes which would be payable if the undistributed earnings of the foreign subsidiaries were distributed to the Company since management has determined that the earnings are permanently reinvested in these foreign operations. Determination of the amount of unrecognized deferred U.S. income tax liabilities and foreign tax credits, if any, is not practicable to calculate at this time.</w:t>
      </w:r>
    </w:p>
    <w:p>
      <w:pPr>
        <w:spacing w:after="0" w:line="46"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Company is subject to corporate income tax audits in each of its various taxing jurisdictions. Although, the Company believes that its tax positions comply with applicable tax law, a taxing authority could take a position contrary to that reported by the Company and assess additional taxes due. The Company believes it has made adequate provisions for exposures identified.</w:t>
      </w:r>
    </w:p>
    <w:p>
      <w:pPr>
        <w:spacing w:after="0" w:line="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15, 2004, the Company completed the sale of $140 million of 1.625% stated interest Convertible Senior Debentures in a private offering. Additionally, on October 4, 2005, the Company completed the sale of $175 million of 3.50% stated interest Convertible Debentures in a private offering. Pursuant to the rules applicable to contingent payment debt instruments, the holders are generally required to include amounts in their taxable income, and the issuer is able to deduct such amounts from its taxable income, based on the rate at which Euronet would issue a non-contingent, non-convertible, fixed-rate debt instrument with terms and conditions otherwise similar to those of the Convertible Debentures. Euronet has determined that amount to be 9.05% and 8.50% for the Convertible Senior Debentures and Convertible Debentures, respectively, which is substantially in excess of the stated interest rate.</w:t>
      </w:r>
    </w:p>
    <w:p>
      <w:pPr>
        <w:spacing w:after="0" w:line="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An issuer of convertible debt may not deduct any premium paid upon its repurchase of such debt if the premium exceeds a normal call premium. This denial of an interest deduction, however, does not apply to accruals of interest based on the comparable yield of a convertible debt instrument. Nonetheless, the anti-abuse regulation, set forth in Section 1.1275(g) of the Internal Revenue Code (“Code”), grants the Commissioner of the Internal Revenue Service authority to depart from the regulation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the debentures described above and ultimately sustained, our deductions for these debentures could be limited to the stated interest. The scope of the application of the anti-abuse regulations is unclear. The Company believes that the application of the Contingent Debt Regulations to the debentures is a reasonable result such that the anti-abuse regulation should not apply. If a contrary position were asserted and ultimately sustained, our tax deductions would be severely diminished; however, such a contrary position would not have any adverse impact on our reported tax expense because there has been no tax benefit recognized for the difference between the stated interest and the comparable yield of the debentures as such benefit is allocated to additional paid in capital when realized.</w:t>
      </w:r>
    </w:p>
    <w:p>
      <w:pPr>
        <w:spacing w:after="0" w:line="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Section 279(b) of the Code, no deduction is allowed for interest expense paid or incurred on corporate acquisition indebtedness in excess of $5 million. The $5 million interest deduction limit is reduced by the amount of interest paid or incurred on certain obligations that do not qualify as corporate acquisition indebtedness within the meaning ascribed by Section 279 but were issued to provide consideration for acquisitions. If a portion of the proceeds from the issuance of the Convertible Debentures or the Convertible Senior Debentures, either alone or together with other debt proceeds, were used for a domestic acquisition and the Convertible Debentures or Convertible Senior Debentures and other debt, if any, were deemed to be corporate acquisition indebtedness as defined in Section 279, interest deductions on such debt would be disallowed for tax purposes. We do not currently anticipate that this limitation would have a material impact on our ability to deduct the interest on the debentures.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(13) VALUATION AND QUALIFYING ACCOUNTS</w:t>
      </w:r>
    </w:p>
    <w:p>
      <w:pPr>
        <w:spacing w:after="0" w:line="1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2006, 2005 and 2004: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balance-allowance for doubtful accounts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Additions-charged to expense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Amounts written off</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320" w:type="dxa"/>
            <w:vAlign w:val="bottom"/>
            <w:gridSpan w:val="2"/>
          </w:tcPr>
          <w:p>
            <w:pPr>
              <w:spacing w:after="0"/>
              <w:rPr>
                <w:sz w:val="20"/>
                <w:szCs w:val="20"/>
                <w:color w:val="auto"/>
              </w:rPr>
            </w:pPr>
            <w:r>
              <w:rPr>
                <w:rFonts w:ascii="Arial" w:cs="Arial" w:eastAsia="Arial" w:hAnsi="Arial"/>
                <w:sz w:val="18"/>
                <w:szCs w:val="18"/>
                <w:color w:val="auto"/>
              </w:rPr>
              <w:t>Ending balance-allowance for doubtful accounts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2,137</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1,995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PLANS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has established, and shareholders have approved, share compensation plans (“SCPs”) that allow the Company to grant restricted shares, or options to purchase shares, of Common Stock to certain current and prospective key employees, directors and consultants of the Company. These awards generally vest over periods ranging from three to seven years from the date of grant, are generally exercisable during the shorter of a ten-year term or the term of employment arrangement with the Company and are settled through the issuance of new shares under the provisions of the SCPs. As of December 31, 2006, the Company has reserved a total of 13,663,991 shares of Common Stock. Of the total shares reserved, 9,970,980 have been awarded to employees.</w:t>
      </w:r>
    </w:p>
    <w:p>
      <w:pPr>
        <w:spacing w:after="0" w:line="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consolidated statements of income and comprehensive income includes share-based compensation expense of $7.4 million, $5.6 million and $7.0 million for the years ended December 31, 2006, 2005 and 20004, respectively. The amounts are recorded as salaries and benefits expense in the accompanying consolidated statements of income. The Company recorded a tax benefit of $0.3 million during the year ended December 31, 2006 for the portion of this expense that relates to foreign tax jurisdictions in which an income tax benefit is expected to be derived. The Company did not record any tax benefit for the years ended December 31, 2005 and 2004.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(a) Adoption of SFAS No. 123R</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discussed in Note 2 and Note 3, the Company elected to adopt SFAS No. 123R under the modified retrospective application method applied to all periods for which SFAS No 123 was effective. Accordingly, financial statement amounts for the prior periods presented herein have been adjusted to reflect the fair value method of expensing prescribed by SFAS No. 123R. The following table outlines the impact of adopting SFAS No. 123R on previously reported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As Previously</w:t>
            </w:r>
          </w:p>
        </w:tc>
        <w:tc>
          <w:tcPr>
            <w:tcW w:w="480" w:type="dxa"/>
            <w:vAlign w:val="bottom"/>
          </w:tcPr>
          <w:p>
            <w:pPr>
              <w:spacing w:after="0"/>
              <w:rPr>
                <w:sz w:val="14"/>
                <w:szCs w:val="14"/>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Impact of</w:t>
            </w:r>
          </w:p>
        </w:tc>
        <w:tc>
          <w:tcPr>
            <w:tcW w:w="480" w:type="dxa"/>
            <w:vAlign w:val="bottom"/>
          </w:tcPr>
          <w:p>
            <w:pPr>
              <w:spacing w:after="0"/>
              <w:rPr>
                <w:sz w:val="14"/>
                <w:szCs w:val="14"/>
                <w:color w:val="auto"/>
              </w:rPr>
            </w:pPr>
          </w:p>
        </w:tc>
        <w:tc>
          <w:tcPr>
            <w:tcW w:w="124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624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311"/>
              <w:spacing w:after="0"/>
              <w:rPr>
                <w:sz w:val="20"/>
                <w:szCs w:val="20"/>
                <w:color w:val="auto"/>
              </w:rPr>
            </w:pPr>
            <w:r>
              <w:rPr>
                <w:rFonts w:ascii="Arial" w:cs="Arial" w:eastAsia="Arial" w:hAnsi="Arial"/>
                <w:sz w:val="14"/>
                <w:szCs w:val="14"/>
                <w:b w:val="1"/>
                <w:bCs w:val="1"/>
                <w:color w:val="auto"/>
                <w:w w:val="94"/>
              </w:rPr>
              <w:t>Reported</w:t>
            </w:r>
          </w:p>
        </w:tc>
        <w:tc>
          <w:tcPr>
            <w:tcW w:w="480" w:type="dxa"/>
            <w:vAlign w:val="bottom"/>
          </w:tcPr>
          <w:p>
            <w:pPr>
              <w:spacing w:after="0"/>
              <w:rPr>
                <w:sz w:val="14"/>
                <w:szCs w:val="14"/>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Adoption</w:t>
            </w:r>
          </w:p>
        </w:tc>
        <w:tc>
          <w:tcPr>
            <w:tcW w:w="4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Year Ended December 31, 2005:</w:t>
            </w: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43,902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(5,020)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38,882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28,010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22,990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27,375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(5,020)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0.78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(0.14)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For Year Ended December 31, 2004: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30,003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24,428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18,427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(5,575)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0.59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(0.18)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As of December 31, 2005:</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5"/>
              </w:rPr>
              <w:t>279,307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8"/>
              </w:rPr>
              <w:t>32,718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312,025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11"/>
              <w:spacing w:after="0"/>
              <w:rPr>
                <w:sz w:val="20"/>
                <w:szCs w:val="20"/>
                <w:color w:val="auto"/>
              </w:rPr>
            </w:pPr>
            <w:r>
              <w:rPr>
                <w:rFonts w:ascii="Arial" w:cs="Arial" w:eastAsia="Arial" w:hAnsi="Arial"/>
                <w:sz w:val="18"/>
                <w:szCs w:val="18"/>
                <w:color w:val="auto"/>
              </w:rPr>
              <w:t>(72,069)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w w:val="89"/>
              </w:rPr>
              <w:t>(32,718)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88"/>
              </w:rPr>
              <w:t>(104,787)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deferred income tax liabilities</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19,374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19,374</w:t>
            </w: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As of December 31, 2004: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5"/>
              </w:rPr>
              <w:t>235,559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8"/>
              </w:rPr>
              <w:t>27,698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263,257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11"/>
              <w:spacing w:after="0"/>
              <w:rPr>
                <w:sz w:val="20"/>
                <w:szCs w:val="20"/>
                <w:color w:val="auto"/>
              </w:rPr>
            </w:pPr>
            <w:r>
              <w:rPr>
                <w:rFonts w:ascii="Arial" w:cs="Arial" w:eastAsia="Arial" w:hAnsi="Arial"/>
                <w:sz w:val="18"/>
                <w:szCs w:val="18"/>
                <w:color w:val="auto"/>
              </w:rPr>
              <w:t>(99,444)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w w:val="89"/>
              </w:rPr>
              <w:t>(27,698)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88"/>
              </w:rPr>
              <w:t>(127,142)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2003:</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71"/>
              <w:spacing w:after="0"/>
              <w:rPr>
                <w:sz w:val="20"/>
                <w:szCs w:val="20"/>
                <w:color w:val="auto"/>
              </w:rPr>
            </w:pPr>
            <w:r>
              <w:rPr>
                <w:rFonts w:ascii="Arial" w:cs="Arial" w:eastAsia="Arial" w:hAnsi="Arial"/>
                <w:sz w:val="18"/>
                <w:szCs w:val="18"/>
                <w:color w:val="auto"/>
                <w:w w:val="95"/>
              </w:rPr>
              <w:t>198,377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w w:val="98"/>
              </w:rPr>
              <w:t>22,123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w w:val="95"/>
              </w:rPr>
              <w:t>220,500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8"/>
              </w:rPr>
              <w:t>(117,871)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(22,123)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8"/>
              </w:rPr>
              <w:t>(139,994)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Changes to the Company’s consolidated statement of cash flows for the years ended December 31, 2005 and 2004 for the adoption of SFAS No. 123R were limited to the impact on net income shown above and the offsetting adjustment for share-based compensation as an adjustment to reconcile net income to net cash provided by operating activities.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(b)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Weighted</w:t>
            </w:r>
          </w:p>
        </w:tc>
        <w:tc>
          <w:tcPr>
            <w:tcW w:w="4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46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Number of</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tcPr>
          <w:p>
            <w:pPr>
              <w:jc w:val="right"/>
              <w:ind w:right="230"/>
              <w:spacing w:after="0" w:line="149" w:lineRule="exact"/>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460" w:type="dxa"/>
            <w:vAlign w:val="bottom"/>
          </w:tcPr>
          <w:p>
            <w:pPr>
              <w:spacing w:after="0"/>
              <w:rPr>
                <w:sz w:val="14"/>
                <w:szCs w:val="14"/>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 (2,142,090 shares exercisable)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3,803,261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11.91</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(1,458,072)</w:t>
            </w: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8.83</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(128,886)</w:t>
            </w: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17.69</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Expired</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(2,414)</w:t>
            </w: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4.53</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2,213,889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13.66</w:t>
            </w:r>
          </w:p>
        </w:tc>
        <w:tc>
          <w:tcPr>
            <w:tcW w:w="13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5"/>
              </w:rPr>
              <w:t>5.9</w:t>
            </w:r>
          </w:p>
        </w:tc>
        <w:tc>
          <w:tcPr>
            <w:tcW w:w="16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$35,489</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tcPr>
          <w:p>
            <w:pPr>
              <w:spacing w:after="0"/>
              <w:rPr>
                <w:sz w:val="20"/>
                <w:szCs w:val="20"/>
                <w:color w:val="auto"/>
              </w:rPr>
            </w:pPr>
            <w:r>
              <w:rPr>
                <w:rFonts w:ascii="Arial" w:cs="Arial" w:eastAsia="Arial" w:hAnsi="Arial"/>
                <w:sz w:val="18"/>
                <w:szCs w:val="18"/>
                <w:color w:val="auto"/>
              </w:rPr>
              <w:t>Exercisable at December 31, 2006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1,309,559</w:t>
            </w:r>
          </w:p>
        </w:tc>
        <w:tc>
          <w:tcPr>
            <w:tcW w:w="280" w:type="dxa"/>
            <w:vAlign w:val="bottom"/>
          </w:tcPr>
          <w:p>
            <w:pPr>
              <w:spacing w:after="0"/>
              <w:rPr>
                <w:sz w:val="24"/>
                <w:szCs w:val="24"/>
                <w:color w:val="auto"/>
              </w:rPr>
            </w:pP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11.16</w:t>
            </w:r>
          </w:p>
        </w:tc>
        <w:tc>
          <w:tcPr>
            <w:tcW w:w="1380" w:type="dxa"/>
            <w:vAlign w:val="bottom"/>
            <w:gridSpan w:val="2"/>
          </w:tcPr>
          <w:p>
            <w:pPr>
              <w:jc w:val="center"/>
              <w:ind w:left="370"/>
              <w:spacing w:after="0"/>
              <w:rPr>
                <w:sz w:val="20"/>
                <w:szCs w:val="20"/>
                <w:color w:val="auto"/>
              </w:rPr>
            </w:pPr>
            <w:r>
              <w:rPr>
                <w:rFonts w:ascii="Arial" w:cs="Arial" w:eastAsia="Arial" w:hAnsi="Arial"/>
                <w:sz w:val="18"/>
                <w:szCs w:val="18"/>
                <w:color w:val="auto"/>
                <w:w w:val="95"/>
              </w:rPr>
              <w:t>5.3</w:t>
            </w:r>
          </w:p>
        </w:tc>
        <w:tc>
          <w:tcPr>
            <w:tcW w:w="1640" w:type="dxa"/>
            <w:vAlign w:val="bottom"/>
            <w:gridSpan w:val="2"/>
          </w:tcPr>
          <w:p>
            <w:pPr>
              <w:ind w:left="720"/>
              <w:spacing w:after="0"/>
              <w:rPr>
                <w:sz w:val="20"/>
                <w:szCs w:val="20"/>
                <w:color w:val="auto"/>
              </w:rPr>
            </w:pPr>
            <w:r>
              <w:rPr>
                <w:rFonts w:ascii="Arial" w:cs="Arial" w:eastAsia="Arial" w:hAnsi="Arial"/>
                <w:sz w:val="18"/>
                <w:szCs w:val="18"/>
                <w:color w:val="auto"/>
              </w:rPr>
              <w:t>$24,270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2,128,792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13.48</w:t>
            </w:r>
          </w:p>
        </w:tc>
        <w:tc>
          <w:tcPr>
            <w:tcW w:w="13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5"/>
              </w:rPr>
              <w:t>5.8</w:t>
            </w:r>
          </w:p>
        </w:tc>
        <w:tc>
          <w:tcPr>
            <w:tcW w:w="16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$34,512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Options outstanding that are expected to vest are net of estimated future option forfeitures. There were no options granted during the years ended December 31, 2006 or 2005. The Company received cash of $12.9 million, $7.0 million and $7.7 million in connection with stock options exercised during the years ended December 31, 2006, 2005 and 2004, respectively. The intrinsic value of these options exercised was $34.2 million, $24.3 million and $24.5 million during the years ended December 31, 2006, 2005 and 2004, respectively. As of December 31, 2006, unrecognized compensation expense related to nonvested stock options that are expected to vest totaled $3.4 million and will be recognized over the next 24 months, with an overall weighted average period of one year. The following table provides the fair value of options granted under the SCP during 2004, together with a description of the assumptions used to calculate the fair value using the Black-Scholes pricing model: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103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r>
      <w:tr>
        <w:trPr>
          <w:trHeight w:val="210"/>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52.7%</w:t>
            </w: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3.6%</w:t>
            </w: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0.0%</w:t>
            </w: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Expected lives</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6.6 years</w:t>
            </w: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10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  10.51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Restricted stock</w:t>
      </w:r>
    </w:p>
    <w:p>
      <w:pPr>
        <w:spacing w:after="0" w:line="117"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78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500" w:type="dxa"/>
            <w:vAlign w:val="bottom"/>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543,063</w:t>
            </w:r>
          </w:p>
        </w:tc>
        <w:tc>
          <w:tcPr>
            <w:tcW w:w="5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860" w:type="dxa"/>
            <w:vAlign w:val="bottom"/>
            <w:gridSpan w:val="4"/>
          </w:tcPr>
          <w:p>
            <w:pPr>
              <w:jc w:val="right"/>
              <w:ind w:right="320"/>
              <w:spacing w:after="0"/>
              <w:rPr>
                <w:sz w:val="20"/>
                <w:szCs w:val="20"/>
                <w:color w:val="auto"/>
              </w:rPr>
            </w:pPr>
            <w:r>
              <w:rPr>
                <w:rFonts w:ascii="Arial" w:cs="Arial" w:eastAsia="Arial" w:hAnsi="Arial"/>
                <w:sz w:val="18"/>
                <w:szCs w:val="18"/>
                <w:color w:val="auto"/>
              </w:rPr>
              <w:t>544,650</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(12,138)</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(36,900)</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1540" w:type="dxa"/>
            <w:vAlign w:val="bottom"/>
            <w:gridSpan w:val="3"/>
            <w:shd w:val="clear" w:color="auto" w:fill="CCEEFF"/>
          </w:tcPr>
          <w:p>
            <w:pPr>
              <w:jc w:val="center"/>
              <w:ind w:left="730"/>
              <w:spacing w:after="0"/>
              <w:rPr>
                <w:sz w:val="20"/>
                <w:szCs w:val="20"/>
                <w:color w:val="auto"/>
              </w:rPr>
            </w:pPr>
            <w:r>
              <w:rPr>
                <w:rFonts w:ascii="Arial" w:cs="Arial" w:eastAsia="Arial" w:hAnsi="Arial"/>
                <w:sz w:val="18"/>
                <w:szCs w:val="18"/>
                <w:color w:val="auto"/>
                <w:w w:val="89"/>
              </w:rPr>
              <w:t>1,038,675</w:t>
            </w: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intrinsic value of shares vested during the years ended December 31, 2006, 2005 and 2004 was $0.4 million, $2.7 million and zero, respectively. As of December 31, 2006, there was $15.6 million of total unrecognized compensation cost related to unvested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auto"/>
        </w:rPr>
        <w:t>restricted stock, which is expected to be recognized over a weighted average period of 5.0 years. The weighted average grant date fair value of restricted stock granted during the years ended December 31, 2006, 2005 and 2004 was $28.48, $28.87 and $16.38 per share,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Employee stock purchase plans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500,000 shares of Common Stock for purchase under the ESPP. Pursuant to the ESPP, during the years ended December 31, 2006, 2005 and 2004 the Company issued 41,492, 42,365 and 44,670 rights, respectively, to purchase shares of Common Stock at a weighted average price per share of $24.00, $23.54 and $15.99, respectively. The grant date fair value of the option to purchase shares at the lower of the closing price at the beginning or end of the quarterly period, plus the actual total discount provided, are recorded as compensation expense. Total compensation expense recorded was $0.2 million for each of the years ended December 31, 2006, 2005 and 2004. The following table provides the weighted average fair value of the ESPP stock purchase rights during the years ended December 31, 2006, 2005 and 2004 and the assumptions used to calculate the fair value using the Black-Scholes pricing model: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vMerge w:val="restart"/>
          </w:tcPr>
          <w:p>
            <w:pPr>
              <w:spacing w:after="0"/>
              <w:rPr>
                <w:sz w:val="14"/>
                <w:szCs w:val="14"/>
                <w:color w:val="auto"/>
              </w:rPr>
            </w:pPr>
          </w:p>
        </w:tc>
        <w:tc>
          <w:tcPr>
            <w:tcW w:w="10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31.6%</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33.8%</w:t>
            </w:r>
          </w:p>
        </w:tc>
        <w:tc>
          <w:tcPr>
            <w:tcW w:w="15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4.2%</w:t>
            </w:r>
          </w:p>
        </w:tc>
        <w:tc>
          <w:tcPr>
            <w:tcW w:w="1560" w:type="dxa"/>
            <w:vAlign w:val="bottom"/>
            <w:gridSpan w:val="2"/>
          </w:tcPr>
          <w:p>
            <w:pPr>
              <w:jc w:val="right"/>
              <w:ind w:right="99"/>
              <w:spacing w:after="0"/>
              <w:rPr>
                <w:sz w:val="20"/>
                <w:szCs w:val="20"/>
                <w:color w:val="auto"/>
              </w:rPr>
            </w:pPr>
            <w:r>
              <w:rPr>
                <w:rFonts w:ascii="Arial" w:cs="Arial" w:eastAsia="Arial" w:hAnsi="Arial"/>
                <w:sz w:val="18"/>
                <w:szCs w:val="18"/>
                <w:color w:val="auto"/>
              </w:rPr>
              <w:t>4.0%</w:t>
            </w:r>
          </w:p>
        </w:tc>
        <w:tc>
          <w:tcPr>
            <w:tcW w:w="1540" w:type="dxa"/>
            <w:vAlign w:val="bottom"/>
            <w:gridSpan w:val="2"/>
          </w:tcPr>
          <w:p>
            <w:pPr>
              <w:jc w:val="right"/>
              <w:ind w:right="9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0.0%</w:t>
            </w:r>
          </w:p>
        </w:tc>
        <w:tc>
          <w:tcPr>
            <w:tcW w:w="15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Expected lives</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3 months</w:t>
            </w:r>
          </w:p>
        </w:tc>
        <w:tc>
          <w:tcPr>
            <w:tcW w:w="5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3 months</w:t>
            </w:r>
          </w:p>
        </w:tc>
        <w:tc>
          <w:tcPr>
            <w:tcW w:w="5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3 months</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$ 4.88</w:t>
            </w:r>
          </w:p>
        </w:tc>
        <w:tc>
          <w:tcPr>
            <w:tcW w:w="15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$ 4.73</w:t>
            </w:r>
          </w:p>
        </w:tc>
        <w:tc>
          <w:tcPr>
            <w:tcW w:w="15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$ 3.66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three principal business segments.</w:t>
      </w:r>
    </w:p>
    <w:p>
      <w:pPr>
        <w:spacing w:after="0" w:line="117" w:lineRule="exact"/>
        <w:rPr>
          <w:sz w:val="20"/>
          <w:szCs w:val="20"/>
          <w:color w:val="auto"/>
        </w:rPr>
      </w:pPr>
    </w:p>
    <w:p>
      <w:pPr>
        <w:ind w:left="660" w:right="300" w:hanging="436"/>
        <w:spacing w:after="0" w:line="31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Asia and Africa. The Company provides comprehensive electronic payment solutions consisting of ATM network participation, outsourced ATM and POS management solutions and electronic recharge services for prepaid mobile airtime purchases via ATM or directly from the handset.</w:t>
      </w:r>
    </w:p>
    <w:p>
      <w:pPr>
        <w:spacing w:after="0" w:line="52" w:lineRule="exact"/>
        <w:rPr>
          <w:rFonts w:ascii="Arial" w:cs="Arial" w:eastAsia="Arial" w:hAnsi="Arial"/>
          <w:sz w:val="16"/>
          <w:szCs w:val="16"/>
          <w:color w:val="auto"/>
        </w:rPr>
      </w:pPr>
    </w:p>
    <w:p>
      <w:pPr>
        <w:ind w:left="660" w:right="60" w:hanging="436"/>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prepaid processing, or top-up services, for prepaid mobile airtime and other prepaid products. The Company operates a network of POS terminals providing electronic processing of prepaid mobile airtime services in the U.S., Europe, Africa and Asia Pacific. This segment includes the results of Euronet Payments &amp; Remittance, a licensed money transfer and bill payment company.</w:t>
      </w:r>
    </w:p>
    <w:p>
      <w:pPr>
        <w:spacing w:after="0" w:line="92"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the Software Solutions Segment, the Company offers a suite of integrated electronic financial transaction (“EFT”) software solutions for electronic payment, merchant acquiring, card issuing and transaction delivery systems.</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in its administrative division, “Corporate Services, Eliminations and Other,” the Company accounts for non-operating results, certain intercompany eliminations and the costs of providing corporate and other administrative services to the three business segments. These services are not directly identifiable with the Company’s business segments. The Company’s Software Solutions Segment recorded intersegment revenues of $0.6 million and $0.6 million in relation to software and services provided to EFT Processing Segment entities during the years ended December 31, 2006 and 2005, respectively. Salaries and benefits expense related to share-based compensation is generally recorded as a corporate expense.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The following tables present the segment results of the Company’s operations for the years ended December 31, 2006, 2005 and 2004: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8"/>
          </w:tcPr>
          <w:p>
            <w:pPr>
              <w:jc w:val="right"/>
              <w:ind w:right="1160"/>
              <w:spacing w:after="0"/>
              <w:rPr>
                <w:sz w:val="20"/>
                <w:szCs w:val="20"/>
                <w:color w:val="auto"/>
              </w:rPr>
            </w:pPr>
            <w:r>
              <w:rPr>
                <w:rFonts w:ascii="Arial" w:cs="Arial" w:eastAsia="Arial" w:hAnsi="Arial"/>
                <w:sz w:val="14"/>
                <w:szCs w:val="14"/>
                <w:b w:val="1"/>
                <w:bCs w:val="1"/>
                <w:color w:val="auto"/>
              </w:rPr>
              <w:t>For the year ended December 31, 2006</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3"/>
              </w:rPr>
              <w:t>Prepaid</w:t>
            </w:r>
          </w:p>
        </w:tc>
        <w:tc>
          <w:tcPr>
            <w:tcW w:w="132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8"/>
              </w:rPr>
              <w:t>Software</w:t>
            </w:r>
          </w:p>
        </w:tc>
        <w:tc>
          <w:tcPr>
            <w:tcW w:w="12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7"/>
              </w:rPr>
              <w:t>Processing</w:t>
            </w:r>
          </w:p>
        </w:tc>
        <w:tc>
          <w:tcPr>
            <w:tcW w:w="260" w:type="dxa"/>
            <w:vAlign w:val="bottom"/>
          </w:tcPr>
          <w:p>
            <w:pPr>
              <w:spacing w:after="0"/>
              <w:rPr>
                <w:sz w:val="14"/>
                <w:szCs w:val="14"/>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7"/>
              </w:rPr>
              <w:t>Processing</w:t>
            </w:r>
          </w:p>
        </w:tc>
        <w:tc>
          <w:tcPr>
            <w:tcW w:w="13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3"/>
              </w:rPr>
              <w:t>Solutions</w:t>
            </w: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130,748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470,861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28,188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629,181</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55,614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378,261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19,312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24,914</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16,745</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13,285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12,757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14,041</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98,902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436,090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24,203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31,846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34,771</w:t>
            </w:r>
          </w:p>
        </w:tc>
        <w:tc>
          <w:tcPr>
            <w:tcW w:w="12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(18,304)</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52,298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8,734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(3,752)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4,519</w:t>
            </w:r>
          </w:p>
        </w:tc>
        <w:tc>
          <w:tcPr>
            <w:tcW w:w="12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8,985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9"/>
              </w:rPr>
              <w:t>Income (loss) from continuing operations before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 and minority interest</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28,094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39,290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4,062</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(9,319)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(5,941)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(8,290)</w:t>
            </w:r>
          </w:p>
        </w:tc>
        <w:tc>
          <w:tcPr>
            <w:tcW w:w="12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22,499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29,677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(9,469)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 as of December 31, 2006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154,561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691,323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17,630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244,625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1,108,139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Property and equipment as of December 31, 2006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42,762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11,000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55,174</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rPr>
              <w:t>For the year ended December 31, 2005</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3"/>
              </w:rPr>
              <w:t>Prepaid</w:t>
            </w:r>
          </w:p>
        </w:tc>
        <w:tc>
          <w:tcPr>
            <w:tcW w:w="13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Software</w:t>
            </w:r>
          </w:p>
        </w:tc>
        <w:tc>
          <w:tcPr>
            <w:tcW w:w="10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9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30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Solutions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and Other (1)</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105,551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411,279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14,898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531,159</w:t>
            </w:r>
          </w:p>
        </w:tc>
        <w:tc>
          <w:tcPr>
            <w:tcW w:w="0" w:type="dxa"/>
            <w:vAlign w:val="bottom"/>
          </w:tcPr>
          <w:p>
            <w:pPr>
              <w:spacing w:after="0"/>
              <w:rPr>
                <w:sz w:val="1"/>
                <w:szCs w:val="1"/>
                <w:color w:val="auto"/>
              </w:rPr>
            </w:pPr>
          </w:p>
        </w:tc>
      </w:tr>
      <w:tr>
        <w:trPr>
          <w:trHeight w:val="439"/>
        </w:trPr>
        <w:tc>
          <w:tcPr>
            <w:tcW w:w="49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325,594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17,063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22,834</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8,336</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10,527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11,740</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376,568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11,383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15,449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483,382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25,569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34,711</w:t>
            </w: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(16,018)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47,777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3,664</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1,003</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exchange loss,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gridSpan w:val="2"/>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(1,953)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3,721</w:t>
            </w: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(10,663)</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income taxes and minority interest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23,616</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38,432</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(26,681)</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(4,104)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(10,849)</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19,285</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26,894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(26,681)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 as of December 31, 2005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124,772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477,893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285,379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894,352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Property and equipment as of December 31, 2005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32,814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11,534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44,852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60" w:hanging="452"/>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rPr>
              <w:t>For the year ended December 31, 2004</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3"/>
              </w:rPr>
              <w:t>Prepaid</w:t>
            </w:r>
          </w:p>
        </w:tc>
        <w:tc>
          <w:tcPr>
            <w:tcW w:w="13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Software</w:t>
            </w:r>
          </w:p>
        </w:tc>
        <w:tc>
          <w:tcPr>
            <w:tcW w:w="10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30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Solutions</w:t>
            </w: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and Other (1)</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77,600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289,810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13,670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381,080</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34,129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229,908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264,602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13,470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15,226</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8,456</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10,218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10,048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8,329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6,355</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62,553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261,537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11,879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351,351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15,047</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28,273</w:t>
            </w: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(15,382)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29,729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2,711</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early retirement of debt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Foreign exchange loss,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2,469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w w:val="99"/>
              </w:rPr>
              <w:t>Income (loss) from continuing operations before</w:t>
            </w: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800"/>
              <w:spacing w:after="0"/>
              <w:rPr>
                <w:sz w:val="20"/>
                <w:szCs w:val="20"/>
                <w:color w:val="auto"/>
              </w:rPr>
            </w:pPr>
            <w:r>
              <w:rPr>
                <w:rFonts w:ascii="Arial" w:cs="Arial" w:eastAsia="Arial" w:hAnsi="Arial"/>
                <w:sz w:val="18"/>
                <w:szCs w:val="18"/>
                <w:color w:val="auto"/>
              </w:rPr>
              <w:t>income taxes and minority interest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13,600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30,742</w:t>
            </w: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(21,704)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(7,187)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Minority interest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9,279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23,497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(21,714)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60" w:hanging="452"/>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revenues for the years ended December 31, 2006, 2005 and 2004, and property and equipment and total assets as of December 31, 2005 and 2004 summarized by geographic location,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Revenues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Property &amp; Equipment, net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Total Assets</w:t>
            </w:r>
          </w:p>
        </w:tc>
        <w:tc>
          <w:tcPr>
            <w:tcW w:w="0" w:type="dxa"/>
            <w:vAlign w:val="bottom"/>
          </w:tcPr>
          <w:p>
            <w:pPr>
              <w:spacing w:after="0"/>
              <w:rPr>
                <w:sz w:val="1"/>
                <w:szCs w:val="1"/>
                <w:color w:val="auto"/>
              </w:rPr>
            </w:pPr>
          </w:p>
        </w:tc>
      </w:tr>
      <w:tr>
        <w:trPr>
          <w:trHeight w:val="171"/>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25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left="293"/>
              <w:spacing w:after="0" w:line="142" w:lineRule="exact"/>
              <w:rPr>
                <w:sz w:val="20"/>
                <w:szCs w:val="20"/>
                <w:color w:val="auto"/>
              </w:rPr>
            </w:pPr>
            <w:r>
              <w:rPr>
                <w:rFonts w:ascii="Arial" w:cs="Arial" w:eastAsia="Arial" w:hAnsi="Arial"/>
                <w:sz w:val="14"/>
                <w:szCs w:val="14"/>
                <w:b w:val="1"/>
                <w:bCs w:val="1"/>
                <w:color w:val="auto"/>
                <w:w w:val="89"/>
              </w:rPr>
              <w:t>2005</w:t>
            </w: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U.K.</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$ 198,362</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$ 184,421</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$ 170,968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239,197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Australia</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100,291</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83,061</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60,557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88,209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100,455</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74,845</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43,929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389,501</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Poland</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58,770</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46,746</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30,615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19,900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15,545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54,590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41,749</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45,314</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130,770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Germany</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47,276</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37,144</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33,839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7,195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6,533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104,717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Hungary</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10,718</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10,731</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16,847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71,560</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48,897</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27,837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10,233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6,711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84,308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77,552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$ 629,181</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$ 531,159</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$ 381,080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55,174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44,852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1,108,139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$ 894,352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revenues are attributed to countries based on location of the customer for the EFT Processing and Prepaid Processing Segments. All revenues generated by Software Solutions Segment activities are attributed to the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(16)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Concentrations of credit risk</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Euronet’s credit risk primarily relates to trade accounts receivable and cash and cash equivalents. Euronet’s EFT Processing Segment’s customer base includes the most significant international card organizations and certain banks in the Company’s markets. The Prepaid Processing Segment’s customer base is diverse and includes several major retailers and/or distributors in markets that they operate. Euronet performs ongoing evaluations of its customers’ financial condition and limits the amount of credit extended, or purchases credit enhancement protection, when deemed necessary, but generally requires no collateral.</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 The Company limits its concentration of these financial instruments with any one institution, and periodically reviews the credit worthiness of these financial institutions.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Fair value of financial instruments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carrying amount of cash and cash equivalents, trade accounts receivable, trade accounts payable and short-term debt obligations approximates fair value, as the maturities are less than one year in duration. Based on quoted market prices, as of December 31, 2006 the fair value of the Company’s Convertible Debentures was $183.8 million, compared to a carrying value of $175.0 million and the fair value of the Company’s Convertible Senior Debentures was $151.8 million, compared to a carrying value of $140.0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RESEARCH AND DEVELOPMENT</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Euronet engages in research and development activities, primarily in the Software Solutions Segment, to continually improve the Company’s core software products. The following table provides the detailed activity related to capitalized software development costs for the years ended December 31, 2006, 2005 and 2004.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balance-capitalized development cost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3,197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320" w:type="dxa"/>
            <w:vAlign w:val="bottom"/>
            <w:gridSpan w:val="2"/>
          </w:tcPr>
          <w:p>
            <w:pPr>
              <w:spacing w:after="0"/>
              <w:rPr>
                <w:sz w:val="20"/>
                <w:szCs w:val="20"/>
                <w:color w:val="auto"/>
              </w:rPr>
            </w:pPr>
            <w:r>
              <w:rPr>
                <w:rFonts w:ascii="Arial" w:cs="Arial" w:eastAsia="Arial" w:hAnsi="Arial"/>
                <w:sz w:val="18"/>
                <w:szCs w:val="18"/>
                <w:color w:val="auto"/>
              </w:rPr>
              <w:t>Net capitalized development cost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3,509</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1,440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Research and development costs expensed for the years ending December 31, 2006, 2005 and 2004 were $4.1 million, $1.9 million and $1.9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LOSS FROM DISCONTINUED OPERATIONS</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July 2002, the Company sold substantially all of the non-current assets and related capital lease obligations of its ATM processing business in France to Atos S.A. During the period since the initial sale of the France ATM Network Processing Services Business in 2002, the Company relocated certain administrative functions to other Euronet subsidiaries and cleared liquidation procedures in France. Discontinued operations recorded during the year ended December 31, 2005 represent a $0.6 million loss on the final liquidation of France. This loss consists primarily of the reclassification to net income of the Company’s cumulative translation adjustment that had previously been recorded as a component stockholders’ equity (accumulated other comprehensive income) due to the prior years’ consolidation of the France operations. There were no assets or liabilities held for sale at December 31, 2006 or 2005.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is a party to litigation arising in the ordinary course of its business.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The claim is currently in arbitration. Management believes it has strong defenses to this action and, accordingly, has not recorded any liability or expense related to this claim. The Company will continue to monitor and assess this claim until ultimate resolution.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8" w:name="page99"/>
    <w:bookmarkEnd w:id="98"/>
    <w:p>
      <w:pPr>
        <w:jc w:val="both"/>
        <w:ind w:right="140"/>
        <w:spacing w:after="0" w:line="264"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 The Company expenses legal costs in connection with loss contingencies when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contingency</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2006, the Internal Revenue Service announced that Internal Revenue Code Section 4251 (relating to communications excise tax) will no longer apply to, among other services, prepaid mobile airtime such as the services offered by the Company’s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The Company plans to claim refunds for amounts paid during this period. As of December 31, 2006, the refund claim had not been quantified. No amounts have been recorded, or will be recorded for any potential recovery, in the Consolidated Financial Statements until such time as the refund is considered “realizable” as stipulated under SFAS No. 5, “Accounting for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GUARANTEES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December 31, 2006 and 2005 the Company had $32.0 million and $27.4 million, respectively, of bank guarantees issued on its behalf, of which $14.2 million and $16.9 million, respectively, are collateralized by cash deposits held by the respective issuing banks.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Euronet Worldwide, Inc. regularly grants guarantees of the obligations of its wholly-owned subsidiaries. As of December 31, 2006, the Company had granted guarantees in the following amounts:</w:t>
      </w:r>
    </w:p>
    <w:p>
      <w:pPr>
        <w:spacing w:after="0" w:line="62" w:lineRule="exact"/>
        <w:rPr>
          <w:sz w:val="20"/>
          <w:szCs w:val="20"/>
          <w:color w:val="auto"/>
        </w:rPr>
      </w:pPr>
    </w:p>
    <w:p>
      <w:pPr>
        <w:ind w:left="660" w:hanging="436"/>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Cash in various ATM networks — $19.4 million over the terms of the cash supply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Other vendor supply agreements — $3.1 million over the term of the vendor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Performance guarantees — $18.6 million over the terms of the agreements with the customers.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obligations is not stated in the agreements. Our liability under such indemnification provision may be subject to time and materiality limitations, monetary caps and other conditions and defenses. Such indemnity obligations include the following:</w:t>
      </w:r>
    </w:p>
    <w:p>
      <w:pPr>
        <w:spacing w:after="0" w:line="79" w:lineRule="exact"/>
        <w:rPr>
          <w:sz w:val="20"/>
          <w:szCs w:val="20"/>
          <w:color w:val="auto"/>
        </w:rPr>
      </w:pPr>
    </w:p>
    <w:p>
      <w:pPr>
        <w:ind w:left="660" w:right="20" w:hanging="436"/>
        <w:spacing w:after="0" w:line="264" w:lineRule="auto"/>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260" w:hanging="436"/>
        <w:spacing w:after="0" w:line="264" w:lineRule="auto"/>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our vendors and into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93" w:lineRule="auto"/>
        <w:tabs>
          <w:tab w:leader="none" w:pos="66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60" w:hanging="436"/>
        <w:spacing w:after="0" w:line="264" w:lineRule="auto"/>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In connection with the Company’s entry into the money transfer business, the Company has issued surety bonds in compliance with licensing requirements of those states.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2006 and 2005.</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ordinary course of business, Euronet enters into contractual commitments for ATM maintenance, cleaning, telecommunication and cash replenishment operating expenses. For the years ended December 31, 2006, 2005 and 2004, the Company incurred $16.7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million, $15.1 million and $11.7 million, respectively, under such agreements. While contractual payments may be higher or lower based on the number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ATMs and transaction levels, the table below summarizes the future minimum payments under these arrangements: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Purchase</w:t>
            </w:r>
          </w:p>
        </w:tc>
      </w:tr>
      <w:tr>
        <w:trPr>
          <w:trHeight w:val="171"/>
        </w:trPr>
        <w:tc>
          <w:tcPr>
            <w:tcW w:w="9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360" w:type="dxa"/>
            <w:vAlign w:val="bottom"/>
            <w:gridSpan w:val="4"/>
          </w:tcPr>
          <w:p>
            <w:pPr>
              <w:ind w:left="540"/>
              <w:spacing w:after="0"/>
              <w:rPr>
                <w:sz w:val="20"/>
                <w:szCs w:val="20"/>
                <w:color w:val="auto"/>
              </w:rPr>
            </w:pPr>
            <w:r>
              <w:rPr>
                <w:rFonts w:ascii="Arial" w:cs="Arial" w:eastAsia="Arial" w:hAnsi="Arial"/>
                <w:sz w:val="14"/>
                <w:szCs w:val="14"/>
                <w:b w:val="1"/>
                <w:bCs w:val="1"/>
                <w:color w:val="auto"/>
              </w:rPr>
              <w:t>Obligations</w:t>
            </w:r>
          </w:p>
        </w:tc>
      </w:tr>
      <w:tr>
        <w:trPr>
          <w:trHeight w:val="210"/>
        </w:trPr>
        <w:tc>
          <w:tcPr>
            <w:tcW w:w="20" w:type="dxa"/>
            <w:vAlign w:val="bottom"/>
          </w:tcPr>
          <w:p>
            <w:pPr>
              <w:spacing w:after="0"/>
              <w:rPr>
                <w:sz w:val="18"/>
                <w:szCs w:val="18"/>
                <w:color w:val="auto"/>
              </w:rPr>
            </w:pPr>
          </w:p>
        </w:tc>
        <w:tc>
          <w:tcPr>
            <w:tcW w:w="9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ending December 31, 2007</w:t>
            </w: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2008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1,304</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2010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w:t>
            </w: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4 – Acquisitions for a description of notes payable, deferred payment and additional equity issued and contingently issuable to the former business owners (now Euronet shareholders) in connection with various acquisitions.</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the terms of certain debt agreements entered into in connection with the acquisitions of e-pay, the Company paid approximately $1.4 million in interest in 2004 to former e-pay shareholders who were appointed as a director and officers of the Company. This indebtedness was repaid in full in December 2004, accordingly, there was no interest incurred for this indebtedness during 2005 or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2007, the Company entered agreements to acquire the following companies for a total purchase price of approximately $52 million.</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Agreement to acquire La Nacional</w:t>
      </w:r>
      <w:r>
        <w:rPr>
          <w:rFonts w:ascii="Arial" w:cs="Arial" w:eastAsia="Arial" w:hAnsi="Arial"/>
          <w:sz w:val="17"/>
          <w:szCs w:val="17"/>
          <w:color w:val="auto"/>
        </w:rPr>
        <w:t xml:space="preserve"> — During January 2007, the Company signed a stock purchase agreement to acquire La Nacional, subject to regulatory approvals and other customary closing conditions. La Nacional is a money transfer company originating transactions through a network of sending agents and company-owned stores. The La Nacional acquisition will strengthen the Company’s retail presence in the Northeastern U.S. In connection with signing the agreement, the Company deposited funds in an escrow account created for the proposed acquisition. The escrowed funds can only be released by mutual agreement of the Company and La Nacional or through legal remedies available in the agreement.</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become aware that on February 6, 2007, two employees of La Nacional working in different La Nacional stores were arrested for allegedly violating federal money laundering laws and certain state statutes. The Company is currently gathering additional information to assess the impact of these arrests on La Nacional and on the potential acquisition of that company. The outcome of our analysis is currently uncertain. No assurance can be given that the Company will close the La Nacional acquisition.</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Acquisition of Brodos SRL</w:t>
      </w:r>
      <w:r>
        <w:rPr>
          <w:rFonts w:ascii="Arial" w:cs="Arial" w:eastAsia="Arial" w:hAnsi="Arial"/>
          <w:sz w:val="18"/>
          <w:szCs w:val="18"/>
          <w:color w:val="auto"/>
        </w:rPr>
        <w:t xml:space="preserve"> – During January 2007, EFT Services Holding BV and Euronet Adminisztracios Kft, both wholly-owned subsidiaries of Euronet, completed the acquisition of Brodos SRL (“Brodos”). Brodos is a leading electronic prepaid mobile airtime processor in Romania and will expand the Company’s Prepaid Processing Segment business to Romania.</w:t>
      </w:r>
    </w:p>
    <w:p>
      <w:pPr>
        <w:spacing w:after="0" w:line="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Acquisition of Omega Logic, Ltd.</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During February 2007, e-pay Holdings Limited, a wholly-owned subsidiary of Euronet, completed the acquisition of Omega Logic, Ltd. (“Omega Logic”). Omega Logic is a prepaid top-up company based, and primarily operating, in the U.K. This acquisition will enhance our Prepaid Processing Segment business in the U.K.</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(23) SELECTED QUARTERLY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First</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w w:val="94"/>
              </w:rPr>
              <w:t>Second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Fourth</w:t>
            </w:r>
          </w:p>
        </w:tc>
      </w:tr>
      <w:tr>
        <w:trPr>
          <w:trHeight w:val="171"/>
        </w:trPr>
        <w:tc>
          <w:tcPr>
            <w:tcW w:w="500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33"/>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4"/>
                <w:szCs w:val="14"/>
                <w:color w:val="auto"/>
              </w:rPr>
            </w:pPr>
          </w:p>
        </w:tc>
        <w:tc>
          <w:tcPr>
            <w:tcW w:w="11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Quarter (1)</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2006:</w:t>
            </w: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w w:val="86"/>
              </w:rPr>
              <w:t>146,970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w w:val="86"/>
              </w:rPr>
              <w:t>153,803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w w:val="89"/>
              </w:rPr>
              <w:t>161,653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w w:val="89"/>
              </w:rPr>
              <w:t>166,755</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12,328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12,248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13,130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14,592</w:t>
            </w: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9,351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11,127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10,416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15,413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common share:</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0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0.26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0.30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0.28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0.41</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0.24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0.28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0.38</w:t>
            </w: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2005 (3):</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117,206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132,245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9"/>
              </w:rPr>
              <w:t>137,390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9"/>
              </w:rPr>
              <w:t>144,318</w:t>
            </w: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10,467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11,267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12,589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13,454</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3,571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2,663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8,904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7,217</w:t>
            </w: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0.11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0.20</w:t>
            </w:r>
          </w:p>
        </w:tc>
      </w:tr>
      <w:tr>
        <w:trPr>
          <w:trHeight w:val="230"/>
        </w:trPr>
        <w:tc>
          <w:tcPr>
            <w:tcW w:w="20" w:type="dxa"/>
            <w:vAlign w:val="bottom"/>
          </w:tcPr>
          <w:p>
            <w:pPr>
              <w:spacing w:after="0"/>
              <w:rPr>
                <w:sz w:val="20"/>
                <w:szCs w:val="20"/>
                <w:color w:val="auto"/>
              </w:rPr>
            </w:pPr>
          </w:p>
        </w:tc>
        <w:tc>
          <w:tcPr>
            <w:tcW w:w="4980" w:type="dxa"/>
            <w:vAlign w:val="bottom"/>
          </w:tcPr>
          <w:p>
            <w:pPr>
              <w:ind w:left="400"/>
              <w:spacing w:after="0"/>
              <w:rPr>
                <w:sz w:val="20"/>
                <w:szCs w:val="20"/>
                <w:color w:val="auto"/>
              </w:rPr>
            </w:pPr>
            <w:r>
              <w:rPr>
                <w:rFonts w:ascii="Arial" w:cs="Arial" w:eastAsia="Arial" w:hAnsi="Arial"/>
                <w:sz w:val="18"/>
                <w:szCs w:val="18"/>
                <w:color w:val="auto"/>
              </w:rPr>
              <w:t>Diluted (2)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0.10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52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Fourth quarter 2005 net income includes a net loss of $0.6 million, or $0.02 per weighted average basic and diluted share, related to discontinued operations.</w:t>
      </w:r>
    </w:p>
    <w:p>
      <w:pPr>
        <w:spacing w:after="0" w:line="21"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each quarter beginning with the third quarter 2005, the assumed conversion of the Company’s $140 million 1.625% convertible debentures under the “if-converted” method was dilutive and, accordingly, the impact has been included in the computation of diluted earnings per common share for these periods.</w:t>
      </w:r>
    </w:p>
    <w:p>
      <w:pPr>
        <w:spacing w:after="0" w:line="32" w:lineRule="exact"/>
        <w:rPr>
          <w:rFonts w:ascii="Arial" w:cs="Arial" w:eastAsia="Arial" w:hAnsi="Arial"/>
          <w:sz w:val="18"/>
          <w:szCs w:val="18"/>
          <w:color w:val="auto"/>
        </w:rPr>
      </w:pPr>
    </w:p>
    <w:p>
      <w:pPr>
        <w:ind w:left="460" w:right="260" w:hanging="452"/>
        <w:spacing w:after="0" w:line="30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2, Basis of Preparation, Note 3, Summary of Significant Accounting Policies and Practices and Note 14, Stock Plans, to the Consolidated Financial Statements.</w:t>
      </w:r>
    </w:p>
    <w:p>
      <w:pPr>
        <w:spacing w:after="0" w:line="143" w:lineRule="exact"/>
        <w:rPr>
          <w:sz w:val="20"/>
          <w:szCs w:val="20"/>
          <w:color w:val="auto"/>
        </w:rPr>
      </w:pPr>
    </w:p>
    <w:p>
      <w:pPr>
        <w:ind w:right="12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the Company’s reports under the Exchange Act is recorded, processed, summarized and reported within the time periods specified in the rules and forms of the SEC, and that such information is accumulated and communicated to the Company’s management, including its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6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management, including our Chief Executive Officer and Chief Financial Officer, evaluated the effectiveness of the design and operation of our disclosure controls and procedures as of December 31, 2006. Based on this evaluation, our Chief Executive Officer and Chief Financial Officer have concluded that the design and operation of these disclosure controls and procedures were effective as of such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our fiscal year ended December 31, 2006 that has materially affected, or is reasonably likely to materially affect, our internal control over financial reporting.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1" w:name="page102"/>
    <w:bookmarkEnd w:id="101"/>
    <w:p>
      <w:pPr>
        <w:ind w:right="3960"/>
        <w:spacing w:after="0" w:line="378" w:lineRule="auto"/>
        <w:rPr>
          <w:sz w:val="20"/>
          <w:szCs w:val="20"/>
          <w:color w:val="auto"/>
        </w:rPr>
      </w:pPr>
      <w:r>
        <w:rPr>
          <w:rFonts w:ascii="Arial" w:cs="Arial" w:eastAsia="Arial" w:hAnsi="Arial"/>
          <w:sz w:val="18"/>
          <w:szCs w:val="18"/>
          <w:b w:val="1"/>
          <w:bCs w:val="1"/>
          <w:color w:val="auto"/>
        </w:rPr>
        <w:t xml:space="preserve">MANAGEMENT’S REPORT ON INTERNAL CONTROLS OVER FINANCIAL REPORTING </w:t>
      </w:r>
      <w:r>
        <w:rPr>
          <w:rFonts w:ascii="Arial" w:cs="Arial" w:eastAsia="Arial" w:hAnsi="Arial"/>
          <w:sz w:val="18"/>
          <w:szCs w:val="18"/>
          <w:color w:val="auto"/>
        </w:rPr>
        <w:t>To the Stockholders of Euronet Worldwide, Inc.:</w:t>
      </w: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and Exchange Act (“Exchange Act”)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2006.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r>
        <w:rPr>
          <w:rFonts w:ascii="Arial" w:cs="Arial" w:eastAsia="Arial" w:hAnsi="Arial"/>
          <w:sz w:val="18"/>
          <w:szCs w:val="18"/>
          <w:color w:val="auto"/>
        </w:rPr>
        <w:t>. Based on these criteria and our assessment, we have determined that, as of December 31, 2006,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was effective.</w:t>
      </w:r>
    </w:p>
    <w:p>
      <w:pPr>
        <w:spacing w:after="0" w:line="7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independent registered public accounting firm, KPMG LLP, audited management’s assessment and independently assessed the effectiveness of the Company’s internal control over financial reporting. KPMG LLP has issued an audit report concurring with management’s assessment, which is included herein.</w:t>
      </w:r>
    </w:p>
    <w:p>
      <w:pPr>
        <w:spacing w:after="0" w:line="181"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00"/>
        <w:spacing w:after="0"/>
        <w:rPr>
          <w:sz w:val="20"/>
          <w:szCs w:val="20"/>
          <w:color w:val="auto"/>
        </w:rPr>
      </w:pPr>
      <w:r>
        <w:rPr>
          <w:rFonts w:ascii="Arial" w:cs="Arial" w:eastAsia="Arial" w:hAnsi="Arial"/>
          <w:sz w:val="17"/>
          <w:szCs w:val="17"/>
          <w:b w:val="1"/>
          <w:bCs w:val="1"/>
          <w:color w:val="auto"/>
        </w:rPr>
        <w:t>Chairman, Chief Executive Officer and President</w:t>
      </w:r>
    </w:p>
    <w:p>
      <w:pPr>
        <w:spacing w:after="0" w:line="222"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Chief Financial Officer and Chief Accounting</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02" w:name="page103"/>
    <w:bookmarkEnd w:id="102"/>
    <w:p>
      <w:pPr>
        <w:ind w:right="260"/>
        <w:spacing w:after="0" w:line="282" w:lineRule="auto"/>
        <w:rPr>
          <w:sz w:val="20"/>
          <w:szCs w:val="20"/>
          <w:color w:val="auto"/>
        </w:rPr>
      </w:pPr>
      <w:r>
        <w:rPr>
          <w:rFonts w:ascii="Arial" w:cs="Arial" w:eastAsia="Arial" w:hAnsi="Arial"/>
          <w:sz w:val="18"/>
          <w:szCs w:val="18"/>
          <w:b w:val="1"/>
          <w:bCs w:val="1"/>
          <w:color w:val="auto"/>
        </w:rPr>
        <w:t>REPORT OF KPMG LLP, INDEPENDENT REGISTERED PUBLIC ACCOUNTING FIRM, ON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controls over financial reporting, that Euronet Worldwide, Inc. and subsidiaries (the Company) maintained effective internal control over financial reporting as of December 31, 2006, based on criteria established in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opinion, management’s assessment the Company maintained effective internal control over financial reporting as of December 31, 2006 is fairly stated, in all material respects, based on criteria established in Internal Control—Integrated Framework issued by the Committee of Sponsoring Organizations of the Treadway Commission (COSO). Also, in our opinion, Euronet Worldwide, Inc. maintained, in all material respects, effective internal control over financial reporting as of December 31, 2006, based on criteria established in Internal Control—Integrated Framework issued by the Committee of Sponsoring Organizations of the Treadway Commission (COSO).</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Euronet Worldwide, Inc. as of December 31, 2006 and 2005, and the related consolidated statements of income, changes in stockholders’ equity, and cash flows for each of the years in the three-year period ended December 31, 2006, and our report dated February 28, 2007 expressed an unqualified opinion on those consolidated financial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information under “Election of Directors,” “Section 16(a) Beneficial Ownership Compliance” and “Corporate Governance” in the Proxy Statement for the Annual Meeting of Shareholders for 2007, which will be filed with the Securities and Exchange Commission no later than 120 days after December 31, 2006, is incorporated herein by reference. Information concerning our Code of Ethics for our employees, including our Chief Executive Officer and Chief Financial Officer, is set forth under “Availability of Reports, Certain Committee Charters, and Other Information” in Part I and incorporated herein by reference. Information concerning executive officers is set forth under “Executive Officers of the Registrant” in Part I and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“Executive Compensation,” “Compensation Disclosure and Analysis” and “Compensation Committee Report” in the Proxy Statement for the Annual Meeting of Shareholders for 2007, which will be filed with the Securities and Exchange Commission no later than 120 days after December 31, 2006, is incorporated herein by reference.</w:t>
      </w:r>
    </w:p>
    <w:p>
      <w:pPr>
        <w:spacing w:after="0" w:line="177" w:lineRule="exact"/>
        <w:rPr>
          <w:sz w:val="20"/>
          <w:szCs w:val="20"/>
          <w:color w:val="auto"/>
        </w:rPr>
      </w:pPr>
    </w:p>
    <w:p>
      <w:pPr>
        <w:ind w:left="820" w:right="70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under “Ownership of Common Stock by Directors and Executive Officers” and “Election of Directors” in the Proxy Statement for the Annual Meeting of Shareholders for 2007, which will be filed with the Securities and Exchange Commission no later than 120 days after December 31, 2006,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Annual Meeting of Shareholders for 2007, which will be filed with the Securities and Exchange Commission no later than 120 days after December 31, 2006,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information under “Audit Committee Pre-Approval Policy” and “Fees of the Company’s Independent Auditors” in the Proxy Statement for the Annual Meeting of Shareholders for 2007, which will be filed with the Securities and Exchange Commission no later than 120 days after December 31, 2006, is incorporated herein by reference.</w:t>
      </w:r>
    </w:p>
    <w:p>
      <w:pPr>
        <w:spacing w:after="0" w:line="28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1"/>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reports of KPMG LLP appear in Part II Item 8 Financial Statements and Supplementary Data of this Form 10-K.</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Schedules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Date: February 28, 2007</w:t>
      </w:r>
      <w:r>
        <w:rPr>
          <w:sz w:val="20"/>
          <w:szCs w:val="20"/>
          <w:color w:val="auto"/>
        </w:rPr>
        <w:tab/>
      </w: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2"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Officer, President and Director (principal executive officer)</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28th day of February 2007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120" w:type="dxa"/>
            <w:vAlign w:val="bottom"/>
          </w:tcPr>
          <w:p>
            <w:pPr>
              <w:spacing w:after="0"/>
              <w:rPr>
                <w:sz w:val="14"/>
                <w:szCs w:val="14"/>
                <w:color w:val="auto"/>
              </w:rPr>
            </w:pPr>
          </w:p>
        </w:tc>
        <w:tc>
          <w:tcPr>
            <w:tcW w:w="514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r>
      <w:tr>
        <w:trPr>
          <w:trHeight w:val="426"/>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2"/>
                <w:szCs w:val="12"/>
                <w:color w:val="auto"/>
                <w:w w:val="97"/>
              </w:rPr>
              <w:t>S</w:t>
            </w:r>
            <w:r>
              <w:rPr>
                <w:rFonts w:ascii="Arial" w:cs="Arial" w:eastAsia="Arial" w:hAnsi="Arial"/>
                <w:sz w:val="18"/>
                <w:szCs w:val="18"/>
                <w:color w:val="auto"/>
                <w:w w:val="97"/>
              </w:rPr>
              <w:t>/ M</w:t>
            </w:r>
            <w:r>
              <w:rPr>
                <w:rFonts w:ascii="Arial" w:cs="Arial" w:eastAsia="Arial" w:hAnsi="Arial"/>
                <w:sz w:val="12"/>
                <w:szCs w:val="12"/>
                <w:color w:val="auto"/>
                <w:w w:val="97"/>
              </w:rPr>
              <w:t>ICHAEL</w:t>
            </w:r>
            <w:r>
              <w:rPr>
                <w:rFonts w:ascii="Arial" w:cs="Arial" w:eastAsia="Arial" w:hAnsi="Arial"/>
                <w:sz w:val="18"/>
                <w:szCs w:val="18"/>
                <w:color w:val="auto"/>
                <w:w w:val="97"/>
              </w:rPr>
              <w:t xml:space="preserve"> J. B</w:t>
            </w:r>
            <w:r>
              <w:rPr>
                <w:rFonts w:ascii="Arial" w:cs="Arial" w:eastAsia="Arial" w:hAnsi="Arial"/>
                <w:sz w:val="12"/>
                <w:szCs w:val="12"/>
                <w:color w:val="auto"/>
                <w:w w:val="97"/>
              </w:rPr>
              <w:t>ROWN</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Chairman of the Board of Directors, Chief Executive Officer,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J. Brown</w:t>
            </w:r>
          </w:p>
        </w:tc>
        <w:tc>
          <w:tcPr>
            <w:tcW w:w="1120" w:type="dxa"/>
            <w:vAlign w:val="bottom"/>
          </w:tcPr>
          <w:p>
            <w:pPr>
              <w:spacing w:after="0"/>
              <w:rPr>
                <w:sz w:val="19"/>
                <w:szCs w:val="19"/>
                <w:color w:val="auto"/>
              </w:rPr>
            </w:pPr>
          </w:p>
        </w:tc>
        <w:tc>
          <w:tcPr>
            <w:tcW w:w="5140" w:type="dxa"/>
            <w:vAlign w:val="bottom"/>
          </w:tcPr>
          <w:p>
            <w:pPr>
              <w:ind w:left="60"/>
              <w:spacing w:after="0"/>
              <w:rPr>
                <w:sz w:val="20"/>
                <w:szCs w:val="20"/>
                <w:color w:val="auto"/>
              </w:rPr>
            </w:pPr>
            <w:r>
              <w:rPr>
                <w:rFonts w:ascii="Arial" w:cs="Arial" w:eastAsia="Arial" w:hAnsi="Arial"/>
                <w:sz w:val="18"/>
                <w:szCs w:val="18"/>
                <w:color w:val="auto"/>
              </w:rPr>
              <w:t>President and Director (principal executive officer)</w:t>
            </w: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S</w:t>
            </w:r>
            <w:r>
              <w:rPr>
                <w:rFonts w:ascii="Arial" w:cs="Arial" w:eastAsia="Arial" w:hAnsi="Arial"/>
                <w:sz w:val="18"/>
                <w:szCs w:val="18"/>
                <w:color w:val="auto"/>
                <w:w w:val="96"/>
              </w:rPr>
              <w:t>/ R</w:t>
            </w:r>
            <w:r>
              <w:rPr>
                <w:rFonts w:ascii="Arial" w:cs="Arial" w:eastAsia="Arial" w:hAnsi="Arial"/>
                <w:sz w:val="12"/>
                <w:szCs w:val="12"/>
                <w:color w:val="auto"/>
                <w:w w:val="96"/>
              </w:rPr>
              <w:t>ICK</w:t>
            </w:r>
            <w:r>
              <w:rPr>
                <w:rFonts w:ascii="Arial" w:cs="Arial" w:eastAsia="Arial" w:hAnsi="Arial"/>
                <w:sz w:val="18"/>
                <w:szCs w:val="18"/>
                <w:color w:val="auto"/>
                <w:w w:val="96"/>
              </w:rPr>
              <w:t xml:space="preserve"> L. W</w:t>
            </w:r>
            <w:r>
              <w:rPr>
                <w:rFonts w:ascii="Arial" w:cs="Arial" w:eastAsia="Arial" w:hAnsi="Arial"/>
                <w:sz w:val="12"/>
                <w:szCs w:val="12"/>
                <w:color w:val="auto"/>
                <w:w w:val="96"/>
              </w:rPr>
              <w:t>ELLER</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Chief Accounting Officer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120" w:type="dxa"/>
            <w:vAlign w:val="bottom"/>
          </w:tcPr>
          <w:p>
            <w:pPr>
              <w:spacing w:after="0"/>
              <w:rPr>
                <w:sz w:val="19"/>
                <w:szCs w:val="19"/>
                <w:color w:val="auto"/>
              </w:rPr>
            </w:pPr>
          </w:p>
        </w:tc>
        <w:tc>
          <w:tcPr>
            <w:tcW w:w="5140" w:type="dxa"/>
            <w:vAlign w:val="bottom"/>
          </w:tcPr>
          <w:p>
            <w:pPr>
              <w:ind w:left="6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S</w:t>
            </w:r>
            <w:r>
              <w:rPr>
                <w:rFonts w:ascii="Arial" w:cs="Arial" w:eastAsia="Arial" w:hAnsi="Arial"/>
                <w:sz w:val="18"/>
                <w:szCs w:val="18"/>
                <w:color w:val="auto"/>
                <w:w w:val="96"/>
              </w:rPr>
              <w:t>/ D</w:t>
            </w:r>
            <w:r>
              <w:rPr>
                <w:rFonts w:ascii="Arial" w:cs="Arial" w:eastAsia="Arial" w:hAnsi="Arial"/>
                <w:sz w:val="12"/>
                <w:szCs w:val="12"/>
                <w:color w:val="auto"/>
                <w:w w:val="96"/>
              </w:rPr>
              <w:t>ANIEL</w:t>
            </w:r>
            <w:r>
              <w:rPr>
                <w:rFonts w:ascii="Arial" w:cs="Arial" w:eastAsia="Arial" w:hAnsi="Arial"/>
                <w:sz w:val="18"/>
                <w:szCs w:val="18"/>
                <w:color w:val="auto"/>
                <w:w w:val="96"/>
              </w:rPr>
              <w:t xml:space="preserve"> R. H</w:t>
            </w:r>
            <w:r>
              <w:rPr>
                <w:rFonts w:ascii="Arial" w:cs="Arial" w:eastAsia="Arial" w:hAnsi="Arial"/>
                <w:sz w:val="12"/>
                <w:szCs w:val="12"/>
                <w:color w:val="auto"/>
                <w:w w:val="96"/>
              </w:rPr>
              <w:t>ENRY</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3"/>
              </w:rPr>
              <w:t>Daniel R. Henry</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S</w:t>
            </w:r>
            <w:r>
              <w:rPr>
                <w:rFonts w:ascii="Arial" w:cs="Arial" w:eastAsia="Arial" w:hAnsi="Arial"/>
                <w:sz w:val="18"/>
                <w:szCs w:val="18"/>
                <w:color w:val="auto"/>
                <w:w w:val="96"/>
              </w:rPr>
              <w:t>/ P</w:t>
            </w:r>
            <w:r>
              <w:rPr>
                <w:rFonts w:ascii="Arial" w:cs="Arial" w:eastAsia="Arial" w:hAnsi="Arial"/>
                <w:sz w:val="12"/>
                <w:szCs w:val="12"/>
                <w:color w:val="auto"/>
                <w:w w:val="96"/>
              </w:rPr>
              <w:t>AUL</w:t>
            </w:r>
            <w:r>
              <w:rPr>
                <w:rFonts w:ascii="Arial" w:cs="Arial" w:eastAsia="Arial" w:hAnsi="Arial"/>
                <w:sz w:val="18"/>
                <w:szCs w:val="18"/>
                <w:color w:val="auto"/>
                <w:w w:val="96"/>
              </w:rPr>
              <w:t xml:space="preserve"> S. A</w:t>
            </w:r>
            <w:r>
              <w:rPr>
                <w:rFonts w:ascii="Arial" w:cs="Arial" w:eastAsia="Arial" w:hAnsi="Arial"/>
                <w:sz w:val="12"/>
                <w:szCs w:val="12"/>
                <w:color w:val="auto"/>
                <w:w w:val="96"/>
              </w:rPr>
              <w:t>LTHASEN</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0"/>
              </w:rPr>
              <w:t>Paul S. Althasen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S</w:t>
            </w:r>
            <w:r>
              <w:rPr>
                <w:rFonts w:ascii="Arial" w:cs="Arial" w:eastAsia="Arial" w:hAnsi="Arial"/>
                <w:sz w:val="18"/>
                <w:szCs w:val="18"/>
                <w:color w:val="auto"/>
                <w:w w:val="96"/>
              </w:rPr>
              <w:t>/ A</w:t>
            </w:r>
            <w:r>
              <w:rPr>
                <w:rFonts w:ascii="Arial" w:cs="Arial" w:eastAsia="Arial" w:hAnsi="Arial"/>
                <w:sz w:val="12"/>
                <w:szCs w:val="12"/>
                <w:color w:val="auto"/>
                <w:w w:val="96"/>
              </w:rPr>
              <w:t>NDZREJ</w:t>
            </w:r>
            <w:r>
              <w:rPr>
                <w:rFonts w:ascii="Arial" w:cs="Arial" w:eastAsia="Arial" w:hAnsi="Arial"/>
                <w:sz w:val="18"/>
                <w:szCs w:val="18"/>
                <w:color w:val="auto"/>
                <w:w w:val="96"/>
              </w:rPr>
              <w:t xml:space="preserve"> O</w:t>
            </w:r>
            <w:r>
              <w:rPr>
                <w:rFonts w:ascii="Arial" w:cs="Arial" w:eastAsia="Arial" w:hAnsi="Arial"/>
                <w:sz w:val="12"/>
                <w:szCs w:val="12"/>
                <w:color w:val="auto"/>
                <w:w w:val="96"/>
              </w:rPr>
              <w:t>LECHOWSKI</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1"/>
              </w:rPr>
              <w:t>Andzrej Olechowski</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2"/>
                <w:szCs w:val="12"/>
                <w:color w:val="auto"/>
                <w:w w:val="95"/>
              </w:rPr>
              <w:t>S</w:t>
            </w:r>
            <w:r>
              <w:rPr>
                <w:rFonts w:ascii="Arial" w:cs="Arial" w:eastAsia="Arial" w:hAnsi="Arial"/>
                <w:sz w:val="18"/>
                <w:szCs w:val="18"/>
                <w:color w:val="auto"/>
                <w:w w:val="95"/>
              </w:rPr>
              <w:t>/ E</w:t>
            </w:r>
            <w:r>
              <w:rPr>
                <w:rFonts w:ascii="Arial" w:cs="Arial" w:eastAsia="Arial" w:hAnsi="Arial"/>
                <w:sz w:val="12"/>
                <w:szCs w:val="12"/>
                <w:color w:val="auto"/>
                <w:w w:val="95"/>
              </w:rPr>
              <w:t>RIBERTO</w:t>
            </w:r>
            <w:r>
              <w:rPr>
                <w:rFonts w:ascii="Arial" w:cs="Arial" w:eastAsia="Arial" w:hAnsi="Arial"/>
                <w:sz w:val="18"/>
                <w:szCs w:val="18"/>
                <w:color w:val="auto"/>
                <w:w w:val="95"/>
              </w:rPr>
              <w:t xml:space="preserve"> R. S</w:t>
            </w:r>
            <w:r>
              <w:rPr>
                <w:rFonts w:ascii="Arial" w:cs="Arial" w:eastAsia="Arial" w:hAnsi="Arial"/>
                <w:sz w:val="12"/>
                <w:szCs w:val="12"/>
                <w:color w:val="auto"/>
                <w:w w:val="95"/>
              </w:rPr>
              <w:t>COCIMARA</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1"/>
              </w:rPr>
              <w:t>Eriberto R. Scocimara</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2"/>
                <w:szCs w:val="12"/>
                <w:color w:val="auto"/>
                <w:w w:val="99"/>
              </w:rPr>
              <w:t>S</w:t>
            </w:r>
            <w:r>
              <w:rPr>
                <w:rFonts w:ascii="Arial" w:cs="Arial" w:eastAsia="Arial" w:hAnsi="Arial"/>
                <w:sz w:val="18"/>
                <w:szCs w:val="18"/>
                <w:color w:val="auto"/>
                <w:w w:val="99"/>
              </w:rPr>
              <w:t>/ T</w:t>
            </w:r>
            <w:r>
              <w:rPr>
                <w:rFonts w:ascii="Arial" w:cs="Arial" w:eastAsia="Arial" w:hAnsi="Arial"/>
                <w:sz w:val="12"/>
                <w:szCs w:val="12"/>
                <w:color w:val="auto"/>
                <w:w w:val="99"/>
              </w:rPr>
              <w:t>HOMAS</w:t>
            </w:r>
            <w:r>
              <w:rPr>
                <w:rFonts w:ascii="Arial" w:cs="Arial" w:eastAsia="Arial" w:hAnsi="Arial"/>
                <w:sz w:val="18"/>
                <w:szCs w:val="18"/>
                <w:color w:val="auto"/>
                <w:w w:val="99"/>
              </w:rPr>
              <w:t xml:space="preserve"> A. M</w:t>
            </w:r>
            <w:r>
              <w:rPr>
                <w:rFonts w:ascii="Arial" w:cs="Arial" w:eastAsia="Arial" w:hAnsi="Arial"/>
                <w:sz w:val="12"/>
                <w:szCs w:val="12"/>
                <w:color w:val="auto"/>
                <w:w w:val="99"/>
              </w:rPr>
              <w:t>C</w:t>
            </w:r>
            <w:r>
              <w:rPr>
                <w:rFonts w:ascii="Arial" w:cs="Arial" w:eastAsia="Arial" w:hAnsi="Arial"/>
                <w:sz w:val="18"/>
                <w:szCs w:val="18"/>
                <w:color w:val="auto"/>
                <w:w w:val="99"/>
              </w:rPr>
              <w:t>D</w:t>
            </w:r>
            <w:r>
              <w:rPr>
                <w:rFonts w:ascii="Arial" w:cs="Arial" w:eastAsia="Arial" w:hAnsi="Arial"/>
                <w:sz w:val="12"/>
                <w:szCs w:val="12"/>
                <w:color w:val="auto"/>
                <w:w w:val="99"/>
              </w:rPr>
              <w:t>ONNELL</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1"/>
              </w:rPr>
              <w:t>Thomas A. McDonnell</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2"/>
                <w:szCs w:val="12"/>
                <w:color w:val="auto"/>
                <w:w w:val="97"/>
              </w:rPr>
              <w:t>S</w:t>
            </w:r>
            <w:r>
              <w:rPr>
                <w:rFonts w:ascii="Arial" w:cs="Arial" w:eastAsia="Arial" w:hAnsi="Arial"/>
                <w:sz w:val="18"/>
                <w:szCs w:val="18"/>
                <w:color w:val="auto"/>
                <w:w w:val="97"/>
              </w:rPr>
              <w:t>/ A</w:t>
            </w:r>
            <w:r>
              <w:rPr>
                <w:rFonts w:ascii="Arial" w:cs="Arial" w:eastAsia="Arial" w:hAnsi="Arial"/>
                <w:sz w:val="12"/>
                <w:szCs w:val="12"/>
                <w:color w:val="auto"/>
                <w:w w:val="97"/>
              </w:rPr>
              <w:t>NDREW</w:t>
            </w:r>
            <w:r>
              <w:rPr>
                <w:rFonts w:ascii="Arial" w:cs="Arial" w:eastAsia="Arial" w:hAnsi="Arial"/>
                <w:sz w:val="18"/>
                <w:szCs w:val="18"/>
                <w:color w:val="auto"/>
                <w:w w:val="97"/>
              </w:rPr>
              <w:t xml:space="preserve"> B. S</w:t>
            </w:r>
            <w:r>
              <w:rPr>
                <w:rFonts w:ascii="Arial" w:cs="Arial" w:eastAsia="Arial" w:hAnsi="Arial"/>
                <w:sz w:val="12"/>
                <w:szCs w:val="12"/>
                <w:color w:val="auto"/>
                <w:w w:val="97"/>
              </w:rPr>
              <w:t>CHMITT</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2"/>
              </w:rPr>
              <w:t>Andrew B. Schmitt</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S</w:t>
            </w:r>
            <w:r>
              <w:rPr>
                <w:rFonts w:ascii="Arial" w:cs="Arial" w:eastAsia="Arial" w:hAnsi="Arial"/>
                <w:sz w:val="18"/>
                <w:szCs w:val="18"/>
                <w:color w:val="auto"/>
                <w:w w:val="96"/>
              </w:rPr>
              <w:t>/ M. J</w:t>
            </w:r>
            <w:r>
              <w:rPr>
                <w:rFonts w:ascii="Arial" w:cs="Arial" w:eastAsia="Arial" w:hAnsi="Arial"/>
                <w:sz w:val="12"/>
                <w:szCs w:val="12"/>
                <w:color w:val="auto"/>
                <w:w w:val="96"/>
              </w:rPr>
              <w:t>EANNINE</w:t>
            </w:r>
            <w:r>
              <w:rPr>
                <w:rFonts w:ascii="Arial" w:cs="Arial" w:eastAsia="Arial" w:hAnsi="Arial"/>
                <w:sz w:val="18"/>
                <w:szCs w:val="18"/>
                <w:color w:val="auto"/>
                <w:w w:val="96"/>
              </w:rPr>
              <w:t xml:space="preserve"> S</w:t>
            </w:r>
            <w:r>
              <w:rPr>
                <w:rFonts w:ascii="Arial" w:cs="Arial" w:eastAsia="Arial" w:hAnsi="Arial"/>
                <w:sz w:val="12"/>
                <w:szCs w:val="12"/>
                <w:color w:val="auto"/>
                <w:w w:val="96"/>
              </w:rPr>
              <w:t>TRANDJORD</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2"/>
              </w:rPr>
              <w:t>M. Jeannine Strandjord</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508"/>
        </w:trPr>
        <w:tc>
          <w:tcPr>
            <w:tcW w:w="51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103</w:t>
            </w:r>
          </w:p>
        </w:tc>
        <w:tc>
          <w:tcPr>
            <w:tcW w:w="5140" w:type="dxa"/>
            <w:vAlign w:val="bottom"/>
          </w:tcPr>
          <w:p>
            <w:pPr>
              <w:spacing w:after="0"/>
              <w:rPr>
                <w:sz w:val="24"/>
                <w:szCs w:val="24"/>
                <w:color w:val="auto"/>
              </w:rPr>
            </w:pPr>
          </w:p>
        </w:tc>
      </w:tr>
      <w:tr>
        <w:trPr>
          <w:trHeight w:val="226"/>
        </w:trPr>
        <w:tc>
          <w:tcPr>
            <w:tcW w:w="5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160" w:type="dxa"/>
            <w:vAlign w:val="bottom"/>
            <w:tcBorders>
              <w:bottom w:val="single" w:sz="8" w:color="auto"/>
            </w:tcBorders>
          </w:tcPr>
          <w:p>
            <w:pPr>
              <w:jc w:val="right"/>
              <w:ind w:right="4648"/>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2.1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Stock Purchase Agreement dated November 21, 2006 by and among Euronet Payments &amp; Remittance, Inc. (the “Buyer”), Euronet</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Worldwide, Inc., the owner of all of the capital stock of Buyer (“Parent”); the Fred Kunik Family Trust and the Irving Barr Living Trust</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(collectively with the Fred Kunik Family Trust, the “Seller”) (filed as Exhibit 2.1 to the Company’s Current Report on Form 8-K filed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November 28, 2006,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3.1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Certificate of Incorporation of Euronet Worldwide, Inc., as amended (filed as Exhibit 4.2 to the Company’s Registration Statement under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Securities Act of 1933 on Form S-8 on August 10, 2006,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3.2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Bylaws of Euronet Worldwide, Inc. (filed as Exhibit 3.2 to the Company’s registration statement on Form S-1 filed on December 18, 1996</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(Registration No. 333-18121),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3.3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Amendment No. 1 to Bylaws of Euronet Worldwide, Inc. (filed as Exhibit 3(ii) to the Company’s Quarterly Report on Form 10-Q for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fiscal period ended March 31, 1997,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3.4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Amendment No. 2 to Bylaws of Euronet Worldwide, Inc. (filed as Exhibit 3.1 to the Company’s Current Report on Form 8-K filed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March 24, 2003,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4.1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Rights Agreement, dated as of March 21, 2003, between Euronet Worldwide, Inc. and EquiServe Trust Company, N.A. (filed as Exhibit 4.1</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to the Company’s Current Report on Form 8-K filed on March 24, 2003,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4.2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First Amendment to Rights Agreement, dated as of November 28, 2003, between Euronet Worldwide, Inc. and EquiServe Trust Company,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N.A. (filed as Exhibit 4.1 to the Company’s Current Report on Form 8-K filed on December 4, 2003,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4.3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Indenture, dated as of December 15, 2004, between Euronet Worldwide, Inc. and U.S. Bank National Association (filed as exhibit 4.10 to</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the Company’s Registration Statement on Form S-3 filed on January 26, 2005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4.4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Purchase Agreement, dated as of December 9, 2004, among Euronet Worldwide, Inc. and Banc of America Securities LLC (filed as exhibit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4.11 to the Company’s Registration Statement on Form S-3 filed on January 26, 2005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4.5</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Registration Rights Agreement, dated as of December 15, 2004, among Euronet Worldwide, Inc. and Banc of America Securities LLC (filed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as exhibit 4.12 to the Company’s Registration Statement on Form S-3 filed on January 26, 2005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4.6</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Specimen 1.625% Convertible Senior Debenture Due 2024 (Certificated Security) (filed as exhibit 4.14 to the Company’s Registration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Statement on Form S-3/A filed on February 5, 2005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4.7</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Indenture, dated as of October 4, 2005, between Euronet Worldwide, Inc. and U.S. Bank National Association (filed as exhibit 4.1 to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Company’s Current Report on Form 8-K filed on October 26, 2005 and incorporated by reference herein)</w:t>
            </w:r>
          </w:p>
        </w:tc>
      </w:tr>
      <w:tr>
        <w:trPr>
          <w:trHeight w:val="418"/>
        </w:trPr>
        <w:tc>
          <w:tcPr>
            <w:tcW w:w="1040" w:type="dxa"/>
            <w:vAlign w:val="bottom"/>
          </w:tcPr>
          <w:p>
            <w:pPr>
              <w:jc w:val="right"/>
              <w:ind w:right="711"/>
              <w:spacing w:after="0"/>
              <w:rPr>
                <w:sz w:val="20"/>
                <w:szCs w:val="20"/>
                <w:color w:val="auto"/>
              </w:rPr>
            </w:pPr>
            <w:r>
              <w:rPr>
                <w:rFonts w:ascii="Arial" w:cs="Arial" w:eastAsia="Arial" w:hAnsi="Arial"/>
                <w:sz w:val="18"/>
                <w:szCs w:val="18"/>
                <w:color w:val="auto"/>
                <w:w w:val="87"/>
              </w:rPr>
              <w:t>4.8</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0"/>
              </w:rPr>
              <w:t>Purchase Agreement, dated as of September 28, 2005, among Euronet Worldwide, Inc. and Banc of America Securities LLC (filed as exhibit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4.2 to the Company’s Current Report on Form 8-K filed on October 26, 2005 and incorporated by reference herein)</w:t>
            </w:r>
          </w:p>
        </w:tc>
      </w:tr>
      <w:tr>
        <w:trPr>
          <w:trHeight w:val="405"/>
        </w:trPr>
        <w:tc>
          <w:tcPr>
            <w:tcW w:w="1040" w:type="dxa"/>
            <w:vAlign w:val="bottom"/>
          </w:tcPr>
          <w:p>
            <w:pPr>
              <w:spacing w:after="0"/>
              <w:rPr>
                <w:sz w:val="24"/>
                <w:szCs w:val="24"/>
                <w:color w:val="auto"/>
              </w:rPr>
            </w:pPr>
          </w:p>
        </w:tc>
        <w:tc>
          <w:tcPr>
            <w:tcW w:w="10380" w:type="dxa"/>
            <w:vAlign w:val="bottom"/>
            <w:gridSpan w:val="2"/>
          </w:tcPr>
          <w:p>
            <w:pPr>
              <w:jc w:val="right"/>
              <w:ind w:right="5508"/>
              <w:spacing w:after="0"/>
              <w:rPr>
                <w:sz w:val="20"/>
                <w:szCs w:val="20"/>
                <w:color w:val="auto"/>
              </w:rPr>
            </w:pPr>
            <w:r>
              <w:rPr>
                <w:rFonts w:ascii="Arial" w:cs="Arial" w:eastAsia="Arial" w:hAnsi="Arial"/>
                <w:sz w:val="18"/>
                <w:szCs w:val="18"/>
                <w:color w:val="auto"/>
              </w:rPr>
              <w:t>104</w:t>
            </w:r>
          </w:p>
        </w:tc>
      </w:tr>
      <w:tr>
        <w:trPr>
          <w:trHeight w:val="226"/>
        </w:trPr>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160" w:type="dxa"/>
            <w:vAlign w:val="bottom"/>
            <w:tcBorders>
              <w:bottom w:val="single" w:sz="8" w:color="auto"/>
            </w:tcBorders>
          </w:tcPr>
          <w:p>
            <w:pPr>
              <w:jc w:val="right"/>
              <w:ind w:right="4648"/>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4.9</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Registration Rights Agreement, dated as of October 4, 2005, among Euronet Worldwide, Inc. and Banc of America Securities LLC (filed as</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exhibit 4.3 to the Company’s Current Report on Form 8-K filed on October 26, 2005 and incorporated by reference herein)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4.10</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8"/>
              </w:rPr>
              <w:t>Specimen 3.50% Convertible Debenture Due 2025 (Certificated Security) (included in Exhibit 4.10 to the Company’s Registration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Statement on Form S-3/A filed on November 10, 2005 and incorporated by reference herein)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Employment Agreement executed in October 2003, between Euronet Worldwide, Inc. and Michael J. Brown, Chief Executive Officer (filed</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as exhibit 10.1 to the Company’s Annual Report on Form 10-K for the year ended December 31, 2003, and incorporated by reference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Employment Agreement executed in October 2003, between Euronet Worldwide, Inc. and Daniel R. Henry, President and Chief Operating</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Officer (filed as exhibit 10.2 to the Company’s Annual Report on Form 10-K for the year ended December 31, 2003, and incorporated by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0"/>
              </w:rPr>
              <w:t>Employment Agreement executed in October 2003, between Euronet Worldwide, Inc. and Jeffrey B. Newman, Executive Vice President and</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8"/>
              </w:rPr>
              <w:t>General Counsel (filed as exhibit 10.3 to the Company’s Annual Report on Form 10-K for the year ended December 31, 2003, and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8"/>
              </w:rPr>
              <w:t>Employment Agreement executed in June 2003, between Euronet Worldwide, Inc. and Miro Bergman, Executive Vice President &amp;</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Managing Director, EMEA (filed as exhibit 10.8 to the Company’s Annual Report on Form 10-K for the year ended December 31, 2004,</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and incorporated by 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Employment Agreement executed in October 2003, between Euronet Worldwide, Inc. and Rick L. Weller, Executive Vice President and</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Chief Financial Officer (filed as exhibit 10.9 to the Company’s Annual Report on Form 10-K for the year ended December 31, 2004, and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Euronet Long-Term Incentive Stock Option Plan (1996), as amended (filed as exhibit 10.7 to the Company’s Annual Report on Form 10-K</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 the year ended December 31, 2003, and incorporated by 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Euronet Worldwide, Inc. Stock Incentive Plan (1998), as amended (filed as exhibit 10.8 to the Company’s Annual Report on Form 10-K for</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the year ended December 31, 2003, and incorporated by 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Euronet Worldwide, Inc. 2002 Stock Incentive Plan (Amended and Restated) (filed asAppendix B to the Company’s Definitive Proxy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Statement filed on April 20, 2004 and incorporated by 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Rules and Procedures for Euronet Matching Stock Option Grant Program (filed as Exhibit 10.3 to Company’s Form 10-Q for the quarter</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ended September 30, 2002 and incorporated by 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Employment Agreement executed in January 2003, between Euronet Worldwide, Inc. and John Romney, Managing Director, Europe,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Middle East and Africa (EMEA) (filed as exhibit 10.15 to the Company’s Form 10-Q for the quarter ended March 31, 2005 and incorporated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by 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$10,000,000 U.S. Credit Agreement dated October 25, 2004 among Bank of America, N.A., Euronet Worldwide, Inc., PaySpot, Inc.,</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Euronet USA, Inc., Prepaid Concepts, Inc. and Call Processing, Inc. (filed as exhibit 10.1 to the Company’s Current Report on Form 8-K</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filed on November 9, 2004 and incorporated by reference herein)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$30,000,000 Euro/GBP Credit Agreement dated October 25, 2004 among Bank of America, N.A., Euronet Worldwide, Inc., e-pay Holdings</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Limited and Delta Euronet GmbH (filed as exhibit 10.2 to the Company’s Current Report on Form 8-K filed on November 9, 2004 and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 herein)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8"/>
              </w:rPr>
              <w:t>Asset Purchase Agreement among Euronet Worldwide, Inc. and Meflur S.L. dated November 3, 2004 (filed as exhibit 10.17 to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Company’s Annual Report on Form 10-K filed on March 15, 2005 and incorporated by reference herein)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Revision to Service Agreement between Euronet Worldwide, Inc. and John Gardiner, dated April 12, 2005 (filed as exhibit 10.1 to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Company’s Current Report on Form 8-K filed on April 15, 2005, and incorporated by 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Revision to Service Agreement between Euronet Worldwide, Inc. and Paul Althasen, dated April 12, 2005 (filed as exhibit 10.2 to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Company’s Current Report on Form 8-K filed on April 15, 2005, and incorporated by reference herein) (2)</w:t>
            </w:r>
          </w:p>
        </w:tc>
      </w:tr>
      <w:tr>
        <w:trPr>
          <w:trHeight w:val="405"/>
        </w:trPr>
        <w:tc>
          <w:tcPr>
            <w:tcW w:w="1040" w:type="dxa"/>
            <w:vAlign w:val="bottom"/>
          </w:tcPr>
          <w:p>
            <w:pPr>
              <w:spacing w:after="0"/>
              <w:rPr>
                <w:sz w:val="24"/>
                <w:szCs w:val="24"/>
                <w:color w:val="auto"/>
              </w:rPr>
            </w:pPr>
          </w:p>
        </w:tc>
        <w:tc>
          <w:tcPr>
            <w:tcW w:w="10380" w:type="dxa"/>
            <w:vAlign w:val="bottom"/>
            <w:gridSpan w:val="2"/>
          </w:tcPr>
          <w:p>
            <w:pPr>
              <w:jc w:val="right"/>
              <w:ind w:right="5508"/>
              <w:spacing w:after="0"/>
              <w:rPr>
                <w:sz w:val="20"/>
                <w:szCs w:val="20"/>
                <w:color w:val="auto"/>
              </w:rPr>
            </w:pPr>
            <w:r>
              <w:rPr>
                <w:rFonts w:ascii="Arial" w:cs="Arial" w:eastAsia="Arial" w:hAnsi="Arial"/>
                <w:sz w:val="18"/>
                <w:szCs w:val="18"/>
                <w:color w:val="auto"/>
              </w:rPr>
              <w:t>105</w:t>
            </w:r>
          </w:p>
        </w:tc>
      </w:tr>
      <w:tr>
        <w:trPr>
          <w:trHeight w:val="226"/>
        </w:trPr>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160" w:type="dxa"/>
            <w:vAlign w:val="bottom"/>
            <w:tcBorders>
              <w:bottom w:val="single" w:sz="8" w:color="auto"/>
            </w:tcBorders>
          </w:tcPr>
          <w:p>
            <w:pPr>
              <w:jc w:val="right"/>
              <w:ind w:right="4648"/>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10.16</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Amendment No. 1 and Limited Waiver to $10,000,000 U.S. Credit Agreement dated December 14, 2004 (filed as exhibit 10.21 to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Company’s Quarterly Report on Form 10-Q filed on August 4,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10.17</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Amendment No. 1 and Limited Waiver to $30,000,000 GBP/Euro Credit Agreement dated December 14, 2004 (filed as exhibit 10.22 to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Company’s Quarterly Report on Form 10-Q filed on August 4,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10.18</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Amendment No. 2 to $10,000,000 U.S. Credit Agreement dated March 14, 2005 (filed as exhibit 10.23 to the Company’s Quarterly Report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on Form 10-Q filed on August 4,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10.19</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Amendment No. 2 to $30,000,000 GBP/Euro Credit Agreement dated March 14, 2005 (filed as exhibit 10.24 to the Company’s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10-Q filed on August 4,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10.20</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Amendment No. 3 to $10,000,000 U.S. Credit Agreement dated May 25, 2005 (filed as exhibit 10.25 to the Company’s Quarterly Report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10-Q filed on August 4,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10.21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Amendment No. 3 to $30,000,000 GBP/Euro Credit Agreement dated May 25, 2005 (filed as exhibit 10.26 to the Company’s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10-Q filed on August 4,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10.22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Amendment No. 4 to $10,000,000 U.S. Credit Agreement dated June 8, 2005 (filed as exhibit 10.27 to the Company’s Quarterly Report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10-Q filed on August 4,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10.23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Amendment No. 4 to $30,000,000 GBP/Euro Credit Agreement dated June 8, 2005 (filed as exhibit 10.28 to the Company’s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10-Q filed on August 4,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10.24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Amendment No. 5 to $30,000,000 GBP/Euro Credit Agreement dated June 16, 2005 (filed as exhibit 10.29 to the Company’s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10-Q filed on August 4,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10.25</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Amended and Restated Revolving Note, $40,000,000 dated June 16, 2005 (filed as exhibit 10.30 to the Company’s Quarterly Report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10-Q filed on August 4,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10.26</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Amendment No. 5 to $10,000,000 U.S. Credit Agreement dated July 15, 2005 (filed as exhibit 10.31 to the Company’s Quarterly Report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10-Q filed on November 3,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10.27</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Amendment No. 6 to $10,000,000 U.S. Credit Agreement dated September 28, 2005(filed as exhibit 10.32 to the Company’s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10-Q filed on November 3,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10.28</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Amendment No. 6 to $30,000,000 GBP/Euro Credit Agreement dated July 15, 2005(filed as exhibit 10.33 to the Company’s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10-Q filed on November 3,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10.29</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0"/>
              </w:rPr>
              <w:t>Amendment No. 7 to $30,000,000 GBP/Euro Credit Agreement dated September 28, 2005(filed as exhibit 10.34 to the Company’s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10-Q filed on November 3, 2005, and incorporated by reference 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10.30</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Revision to Service Agreement between Euronet Worldwide, Inc. and John Gardiner, dated October 4, 2005 (filed as exhibit 10.1 to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Company’s Current Report on Form 8-K filed on October 5, 2005, and incorporated by reference herein) (2)</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10.31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Amendment No. 7 dated November 17, 2005 to $10,000,000 U.S. Credit Agreement dated October 25, 2004 among Euronet Worldwide,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Inc., Payspot, Inc., Euronet USA, Inc., Call Processing, Inc. and TelecommUSA, Inc. (as Borrowers) and Bank of America, N.A. (as</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Lender) (filed as exhibit 10.1 to the Company’s Quarterly Report on Form 10-Q filed on August 4, 2006 and incorporated by reference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herein)</w:t>
            </w:r>
          </w:p>
        </w:tc>
      </w:tr>
      <w:tr>
        <w:trPr>
          <w:trHeight w:val="418"/>
        </w:trPr>
        <w:tc>
          <w:tcPr>
            <w:tcW w:w="1040" w:type="dxa"/>
            <w:vAlign w:val="bottom"/>
          </w:tcPr>
          <w:p>
            <w:pPr>
              <w:jc w:val="right"/>
              <w:ind w:right="531"/>
              <w:spacing w:after="0"/>
              <w:rPr>
                <w:sz w:val="20"/>
                <w:szCs w:val="20"/>
                <w:color w:val="auto"/>
              </w:rPr>
            </w:pPr>
            <w:r>
              <w:rPr>
                <w:rFonts w:ascii="Arial" w:cs="Arial" w:eastAsia="Arial" w:hAnsi="Arial"/>
                <w:sz w:val="18"/>
                <w:szCs w:val="18"/>
                <w:color w:val="auto"/>
                <w:w w:val="88"/>
              </w:rPr>
              <w:t>10.32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Amendment No. 8 dated November 17, 2005 to the $40,000,000 Euro/GBP Credit Agreement dated October 25, 2004 among Euronet</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Worldwide, Inc., e-pay Holdings Ltd. and Delta Euronet GmbH (as Borrowers) and Bank of America N.A. (as Lender) (filed as exhibit 10.2</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to the Company’s Quarterly Report on Form 10-Q filed on August 4, 2006 and incorporated by reference herein)</w:t>
            </w:r>
          </w:p>
        </w:tc>
      </w:tr>
      <w:tr>
        <w:trPr>
          <w:trHeight w:val="405"/>
        </w:trPr>
        <w:tc>
          <w:tcPr>
            <w:tcW w:w="1040" w:type="dxa"/>
            <w:vAlign w:val="bottom"/>
          </w:tcPr>
          <w:p>
            <w:pPr>
              <w:spacing w:after="0"/>
              <w:rPr>
                <w:sz w:val="24"/>
                <w:szCs w:val="24"/>
                <w:color w:val="auto"/>
              </w:rPr>
            </w:pPr>
          </w:p>
        </w:tc>
        <w:tc>
          <w:tcPr>
            <w:tcW w:w="10380" w:type="dxa"/>
            <w:vAlign w:val="bottom"/>
            <w:gridSpan w:val="2"/>
          </w:tcPr>
          <w:p>
            <w:pPr>
              <w:jc w:val="right"/>
              <w:ind w:right="5508"/>
              <w:spacing w:after="0"/>
              <w:rPr>
                <w:sz w:val="20"/>
                <w:szCs w:val="20"/>
                <w:color w:val="auto"/>
              </w:rPr>
            </w:pPr>
            <w:r>
              <w:rPr>
                <w:rFonts w:ascii="Arial" w:cs="Arial" w:eastAsia="Arial" w:hAnsi="Arial"/>
                <w:sz w:val="18"/>
                <w:szCs w:val="18"/>
                <w:color w:val="auto"/>
              </w:rPr>
              <w:t>106</w:t>
            </w:r>
          </w:p>
        </w:tc>
      </w:tr>
      <w:tr>
        <w:trPr>
          <w:trHeight w:val="226"/>
        </w:trPr>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16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10.33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Amendment No. 8 dated May 26, 2006 to the $10,000,000 U.S. Credit Agreement dated October 25, 2004 among Euronet Worldwide, Inc.,</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Payspot, Inc., Euronet USA, Inc. and Call Processing, Inc. (as Borrowers) and Bank of America, N.A. (as Lender) (filed as exhibit 10.3 to</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the Company’s Quarterly Report on Form 10-Q filed on August 4, 2006 and incorporated by reference herein)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10.34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Amendment No. 9 dated May 26, 2006 to the $30,000,000 Euro/GBP Credit Agreement dated October 25, 2004 among Euronet Worldwide,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Inc., e-pay Holdings Ltd. and Delta Euronet GmbH (as Borrowers) and Bank of America, N.A. (as Lender) (filed as exhibit 10.4 to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Company’s Quarterly Report on Form 10-Q filed on August 4, 2006 and incorporated by reference herein)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10.35</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Euro/GBP Credit Facility Guaranty Agreement dated May 26, 2006 in favor of Bank of America by our U.S. subsidiaries (filed as exhibit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10.5 to the Company’s Quarterly Report on Form 10-Q filed on August 4, 2006 and incorporated by reference herein)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10.36</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Rupee Credit Agreement dated May 26, 2006 among Euronet Worldwide, Inc. and Euronet India Pvt. Ltd. (as Borrowers) and Bank of</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America, N.A. acting through its Mumbai, India branch (filed as exhibit 10.6 to the Company’s Quarterly Report on Form 10-Q filed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August 4, 2006 and incorporated by reference herein)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10.37</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Rupee Credit Facility Guaranty Agreement dated May 26, 2006 in favor of Bank of America, N.A. by Euronet Worldwide, Inc. (filed as</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exhibit 10.7 to the Company’s Quarterly Report on Form 10-Q filed on August 4, 2006 and incorporated by reference herein)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10.38</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Form of Employee Restricted Stock Grant Agreement pursuant to Euronet Worldwide, Inc. 2006 Stock Incentive Plan (filed as exhibit 10.8</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to the Company’s Quarterly Report on Form 10-Q filed on August 4, 2006 and incorporated by reference herein)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10.39(1)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Form of Employee Restricted Stock Unit Agreement for Executives and Directors pursuant to Euronet Worldwide, Inc. 2006 Stock Incentive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Plan (2)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21.1(1)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23.1(1)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31.1(1)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Section 302 – Certification of Chief Executive Officer</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Section 302 – Certification of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3036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143"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ind w:left="500"/>
              <w:spacing w:after="0"/>
              <w:rPr>
                <w:sz w:val="20"/>
                <w:szCs w:val="20"/>
                <w:color w:val="auto"/>
              </w:rPr>
            </w:pPr>
            <w:r>
              <w:rPr>
                <w:rFonts w:ascii="Arial" w:cs="Arial" w:eastAsia="Arial" w:hAnsi="Arial"/>
                <w:sz w:val="18"/>
                <w:szCs w:val="18"/>
                <w:b w:val="1"/>
                <w:bCs w:val="1"/>
                <w:color w:val="auto"/>
                <w:w w:val="99"/>
              </w:rPr>
              <w:t>EXHIBIT 10.39</w:t>
            </w:r>
          </w:p>
        </w:tc>
      </w:tr>
      <w:tr>
        <w:trPr>
          <w:trHeight w:val="54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0" w:type="dxa"/>
            <w:vAlign w:val="bottom"/>
            <w:gridSpan w:val="5"/>
          </w:tcPr>
          <w:p>
            <w:pPr>
              <w:jc w:val="center"/>
              <w:ind w:right="670"/>
              <w:spacing w:after="0"/>
              <w:rPr>
                <w:sz w:val="20"/>
                <w:szCs w:val="20"/>
                <w:color w:val="auto"/>
              </w:rPr>
            </w:pPr>
            <w:r>
              <w:rPr>
                <w:rFonts w:ascii="Arial" w:cs="Arial" w:eastAsia="Arial" w:hAnsi="Arial"/>
                <w:sz w:val="22"/>
                <w:szCs w:val="22"/>
                <w:b w:val="1"/>
                <w:bCs w:val="1"/>
                <w:color w:val="auto"/>
              </w:rPr>
              <w:t>EURONET WORLDWIDE, INC.</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1"/>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0" w:type="dxa"/>
            <w:vAlign w:val="bottom"/>
            <w:gridSpan w:val="5"/>
          </w:tcPr>
          <w:p>
            <w:pPr>
              <w:jc w:val="center"/>
              <w:ind w:right="670"/>
              <w:spacing w:after="0"/>
              <w:rPr>
                <w:sz w:val="20"/>
                <w:szCs w:val="20"/>
                <w:color w:val="auto"/>
              </w:rPr>
            </w:pPr>
            <w:r>
              <w:rPr>
                <w:rFonts w:ascii="Arial" w:cs="Arial" w:eastAsia="Arial" w:hAnsi="Arial"/>
                <w:sz w:val="22"/>
                <w:szCs w:val="22"/>
                <w:b w:val="1"/>
                <w:bCs w:val="1"/>
                <w:color w:val="auto"/>
                <w:w w:val="98"/>
              </w:rPr>
              <w:t>2006 STOCK INCENTIVE PLAN</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67"/>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0" w:type="dxa"/>
            <w:vAlign w:val="bottom"/>
            <w:gridSpan w:val="5"/>
          </w:tcPr>
          <w:p>
            <w:pPr>
              <w:jc w:val="center"/>
              <w:ind w:right="69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90"/>
        </w:trPr>
        <w:tc>
          <w:tcPr>
            <w:tcW w:w="3400" w:type="dxa"/>
            <w:vAlign w:val="bottom"/>
            <w:gridSpan w:val="6"/>
          </w:tcPr>
          <w:p>
            <w:pPr>
              <w:ind w:left="240"/>
              <w:spacing w:after="0"/>
              <w:rPr>
                <w:sz w:val="20"/>
                <w:szCs w:val="20"/>
                <w:color w:val="auto"/>
              </w:rPr>
            </w:pPr>
            <w:r>
              <w:rPr>
                <w:rFonts w:ascii="Arial" w:cs="Arial" w:eastAsia="Arial" w:hAnsi="Arial"/>
                <w:sz w:val="18"/>
                <w:szCs w:val="18"/>
                <w:color w:val="auto"/>
                <w:w w:val="92"/>
              </w:rPr>
              <w:t>Number of Restricted Stock Units Granted:</w:t>
            </w:r>
          </w:p>
        </w:tc>
        <w:tc>
          <w:tcPr>
            <w:tcW w:w="1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04"/>
        </w:trPr>
        <w:tc>
          <w:tcPr>
            <w:tcW w:w="1880" w:type="dxa"/>
            <w:vAlign w:val="bottom"/>
            <w:gridSpan w:val="3"/>
          </w:tcPr>
          <w:p>
            <w:pPr>
              <w:ind w:left="220"/>
              <w:spacing w:after="0"/>
              <w:rPr>
                <w:sz w:val="20"/>
                <w:szCs w:val="20"/>
                <w:color w:val="auto"/>
              </w:rPr>
            </w:pPr>
            <w:r>
              <w:rPr>
                <w:rFonts w:ascii="Arial" w:cs="Arial" w:eastAsia="Arial" w:hAnsi="Arial"/>
                <w:sz w:val="18"/>
                <w:szCs w:val="18"/>
                <w:color w:val="auto"/>
                <w:w w:val="92"/>
              </w:rPr>
              <w:t>This Agreement dated</w:t>
            </w:r>
          </w:p>
        </w:tc>
        <w:tc>
          <w:tcPr>
            <w:tcW w:w="160" w:type="dxa"/>
            <w:vAlign w:val="bottom"/>
          </w:tcPr>
          <w:p>
            <w:pPr>
              <w:spacing w:after="0"/>
              <w:rPr>
                <w:sz w:val="24"/>
                <w:szCs w:val="24"/>
                <w:color w:val="auto"/>
              </w:rPr>
            </w:pPr>
          </w:p>
        </w:tc>
        <w:tc>
          <w:tcPr>
            <w:tcW w:w="2820" w:type="dxa"/>
            <w:vAlign w:val="bottom"/>
            <w:gridSpan w:val="3"/>
          </w:tcPr>
          <w:p>
            <w:pPr>
              <w:ind w:left="960"/>
              <w:spacing w:after="0"/>
              <w:rPr>
                <w:sz w:val="20"/>
                <w:szCs w:val="20"/>
                <w:color w:val="auto"/>
              </w:rPr>
            </w:pPr>
            <w:r>
              <w:rPr>
                <w:rFonts w:ascii="Arial" w:cs="Arial" w:eastAsia="Arial" w:hAnsi="Arial"/>
                <w:sz w:val="18"/>
                <w:szCs w:val="18"/>
                <w:color w:val="auto"/>
                <w:w w:val="89"/>
              </w:rPr>
              <w:t>, is made by and between</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1"/>
              </w:rPr>
              <w:t>, a Company formed under the laws of</w:t>
            </w:r>
          </w:p>
        </w:tc>
        <w:tc>
          <w:tcPr>
            <w:tcW w:w="900" w:type="dxa"/>
            <w:vAlign w:val="bottom"/>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8"/>
                <w:szCs w:val="18"/>
                <w:color w:val="auto"/>
                <w:w w:val="97"/>
              </w:rPr>
              <w:t>(the “Company”), and</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00" w:type="dxa"/>
            <w:vAlign w:val="bottom"/>
            <w:tcBorders>
              <w:bottom w:val="single" w:sz="8" w:color="auto"/>
            </w:tcBorders>
          </w:tcPr>
          <w:p>
            <w:pPr>
              <w:spacing w:after="0"/>
              <w:rPr>
                <w:sz w:val="17"/>
                <w:szCs w:val="17"/>
                <w:color w:val="auto"/>
              </w:rPr>
            </w:pPr>
          </w:p>
        </w:tc>
        <w:tc>
          <w:tcPr>
            <w:tcW w:w="3960" w:type="dxa"/>
            <w:vAlign w:val="bottom"/>
            <w:gridSpan w:val="6"/>
          </w:tcPr>
          <w:p>
            <w:pPr>
              <w:ind w:left="60"/>
              <w:spacing w:after="0" w:line="196" w:lineRule="exact"/>
              <w:rPr>
                <w:sz w:val="20"/>
                <w:szCs w:val="20"/>
                <w:color w:val="auto"/>
              </w:rPr>
            </w:pPr>
            <w:r>
              <w:rPr>
                <w:rFonts w:ascii="Arial" w:cs="Arial" w:eastAsia="Arial" w:hAnsi="Arial"/>
                <w:sz w:val="18"/>
                <w:szCs w:val="18"/>
                <w:color w:val="auto"/>
              </w:rPr>
              <w:t>(“Participant”).</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561"/>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940" w:type="dxa"/>
            <w:vAlign w:val="bottom"/>
            <w:gridSpan w:val="4"/>
          </w:tcPr>
          <w:p>
            <w:pPr>
              <w:jc w:val="center"/>
              <w:ind w:right="2130"/>
              <w:spacing w:after="0"/>
              <w:rPr>
                <w:sz w:val="20"/>
                <w:szCs w:val="20"/>
                <w:color w:val="auto"/>
              </w:rPr>
            </w:pPr>
            <w:r>
              <w:rPr>
                <w:rFonts w:ascii="Arial" w:cs="Arial" w:eastAsia="Arial" w:hAnsi="Arial"/>
                <w:sz w:val="18"/>
                <w:szCs w:val="18"/>
                <w:b w:val="1"/>
                <w:bCs w:val="1"/>
                <w:color w:val="auto"/>
                <w:w w:val="99"/>
              </w:rPr>
              <w:t>RECITALS:</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4"/>
        </w:trPr>
        <w:tc>
          <w:tcPr>
            <w:tcW w:w="1140" w:type="dxa"/>
            <w:vAlign w:val="bottom"/>
            <w:gridSpan w:val="2"/>
          </w:tcPr>
          <w:p>
            <w:pPr>
              <w:ind w:left="220"/>
              <w:spacing w:after="0"/>
              <w:rPr>
                <w:sz w:val="20"/>
                <w:szCs w:val="20"/>
                <w:color w:val="auto"/>
              </w:rPr>
            </w:pPr>
            <w:r>
              <w:rPr>
                <w:rFonts w:ascii="Arial" w:cs="Arial" w:eastAsia="Arial" w:hAnsi="Arial"/>
                <w:sz w:val="18"/>
                <w:szCs w:val="18"/>
                <w:color w:val="auto"/>
                <w:w w:val="98"/>
              </w:rPr>
              <w:t>A. Effective</w:t>
            </w: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w w:val="94"/>
              </w:rPr>
              <w:t>, the stockholders of Euronet Worldwide, Inc. (“Euronet”), the ultimate parent of Company, approved the Euronet Worldwide,</w:t>
            </w: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 2006 Stock Incentive Plan (the “Plan”) pursuant to which the Company may, from time to time, grant Restricted Stock Units to current or prospective key employees, non-employee directors or outside consultants of the Company.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3"/>
          </w:tcPr>
          <w:p>
            <w:pPr>
              <w:ind w:left="240"/>
              <w:spacing w:after="0"/>
              <w:rPr>
                <w:sz w:val="20"/>
                <w:szCs w:val="20"/>
                <w:color w:val="auto"/>
              </w:rPr>
            </w:pPr>
            <w:r>
              <w:rPr>
                <w:rFonts w:ascii="Arial" w:cs="Arial" w:eastAsia="Arial" w:hAnsi="Arial"/>
                <w:sz w:val="18"/>
                <w:szCs w:val="18"/>
                <w:color w:val="auto"/>
                <w:w w:val="90"/>
              </w:rPr>
              <w:t>B. The Board of Directors of the Company has considered a proposal from Euronet and has agreed, in Resolutions adopted effective</w:t>
            </w:r>
          </w:p>
        </w:tc>
        <w:tc>
          <w:tcPr>
            <w:tcW w:w="900" w:type="dxa"/>
            <w:vAlign w:val="bottom"/>
            <w:tcBorders>
              <w:bottom w:val="single" w:sz="8" w:color="auto"/>
            </w:tcBorders>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87"/>
              </w:rPr>
              <w:t>, to enter</w:t>
            </w:r>
          </w:p>
        </w:tc>
      </w:tr>
      <w:tr>
        <w:trPr>
          <w:trHeight w:val="196"/>
        </w:trPr>
        <w:tc>
          <w:tcPr>
            <w:tcW w:w="2920" w:type="dxa"/>
            <w:vAlign w:val="bottom"/>
          </w:tcPr>
          <w:p>
            <w:pPr>
              <w:spacing w:after="0" w:line="196" w:lineRule="exact"/>
              <w:rPr>
                <w:sz w:val="20"/>
                <w:szCs w:val="20"/>
                <w:color w:val="auto"/>
              </w:rPr>
            </w:pPr>
            <w:r>
              <w:rPr>
                <w:rFonts w:ascii="Arial" w:cs="Arial" w:eastAsia="Arial" w:hAnsi="Arial"/>
                <w:sz w:val="18"/>
                <w:szCs w:val="18"/>
                <w:color w:val="auto"/>
                <w:w w:val="90"/>
              </w:rPr>
              <w:t>into a Reimbursement Agreement dated</w:t>
            </w:r>
          </w:p>
        </w:tc>
        <w:tc>
          <w:tcPr>
            <w:tcW w:w="900" w:type="dxa"/>
            <w:vAlign w:val="bottom"/>
            <w:tcBorders>
              <w:bottom w:val="single" w:sz="8" w:color="auto"/>
            </w:tcBorders>
          </w:tcPr>
          <w:p>
            <w:pPr>
              <w:spacing w:after="0"/>
              <w:rPr>
                <w:sz w:val="17"/>
                <w:szCs w:val="17"/>
                <w:color w:val="auto"/>
              </w:rPr>
            </w:pPr>
          </w:p>
        </w:tc>
        <w:tc>
          <w:tcPr>
            <w:tcW w:w="752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3"/>
              </w:rPr>
              <w:t>with Euronet to acquire Euronet shares (“Share” or “Shares”) under the Plan for purposes of granting</w:t>
            </w:r>
          </w:p>
        </w:tc>
      </w:tr>
      <w:tr>
        <w:trPr>
          <w:trHeight w:val="237"/>
        </w:trPr>
        <w:tc>
          <w:tcPr>
            <w:tcW w:w="2920" w:type="dxa"/>
            <w:vAlign w:val="bottom"/>
          </w:tcPr>
          <w:p>
            <w:pPr>
              <w:spacing w:after="0"/>
              <w:rPr>
                <w:sz w:val="20"/>
                <w:szCs w:val="20"/>
                <w:color w:val="auto"/>
              </w:rPr>
            </w:pPr>
            <w:r>
              <w:rPr>
                <w:rFonts w:ascii="Arial" w:cs="Arial" w:eastAsia="Arial" w:hAnsi="Arial"/>
                <w:sz w:val="18"/>
                <w:szCs w:val="18"/>
                <w:color w:val="auto"/>
                <w:w w:val="93"/>
              </w:rPr>
              <w:t>such shares to Company’s employees;</w:t>
            </w:r>
          </w:p>
        </w:tc>
        <w:tc>
          <w:tcPr>
            <w:tcW w:w="90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94"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C. Participant is an employee, consultant or non-employee director of the Company or one of its Affiliates and the Company desires to encourage him/her to own Shares and to give him/her added incentive to advance the interests of the Company, and desires to grant Participant Restricted Stock Units under the terms and conditions established by the Committee.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of which is hereby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0" w:name="page111"/>
    <w:bookmarkEnd w:id="110"/>
    <w:p>
      <w:pPr>
        <w:ind w:right="40" w:firstLine="233"/>
        <w:spacing w:after="0" w:line="259" w:lineRule="auto"/>
        <w:tabs>
          <w:tab w:leader="none" w:pos="4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xml:space="preserve">. All provisions of this Agreement and the rights of Participant hereunder are subject in all respects to the provisions of the Plan and the powers of the Committee therein provided. Capitalized terms used in this Agreement but not defined shall have the meaning set forth in the Plan. The Plan and a Prospectus including a summary of the Plan are available on the Euronet website at </w:t>
      </w:r>
      <w:r>
        <w:rPr>
          <w:rFonts w:ascii="Arial" w:cs="Arial" w:eastAsia="Arial" w:hAnsi="Arial"/>
          <w:sz w:val="18"/>
          <w:szCs w:val="18"/>
          <w:u w:val="single" w:color="auto"/>
          <w:color w:val="auto"/>
        </w:rPr>
        <w:t>http//eworld.eeft.com</w:t>
      </w:r>
      <w:r>
        <w:rPr>
          <w:rFonts w:ascii="Arial" w:cs="Arial" w:eastAsia="Arial" w:hAnsi="Arial"/>
          <w:sz w:val="18"/>
          <w:szCs w:val="18"/>
          <w:color w:val="auto"/>
        </w:rPr>
        <w:t xml:space="preserve"> and may be obtained from the Human Resources Director of Euronet.</w:t>
      </w:r>
    </w:p>
    <w:p>
      <w:pPr>
        <w:spacing w:after="0" w:line="78" w:lineRule="exact"/>
        <w:rPr>
          <w:rFonts w:ascii="Arial" w:cs="Arial" w:eastAsia="Arial" w:hAnsi="Arial"/>
          <w:sz w:val="18"/>
          <w:szCs w:val="18"/>
          <w:color w:val="auto"/>
        </w:rPr>
      </w:pPr>
    </w:p>
    <w:p>
      <w:pPr>
        <w:ind w:right="100" w:firstLine="233"/>
        <w:spacing w:after="0" w:line="291" w:lineRule="auto"/>
        <w:tabs>
          <w:tab w:leader="none" w:pos="40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Subject to the conditions and restrictions set forth in this Agreement and in the Plan, the Company hereby grants to Participant and credits to a separate account maintained on the books of the Company (“Account”) that number of Restricted Stock Units identified above opposite the heading “ Number of Restricted Stock Units Granted “ (the “RSUs” or the “Award”). On any date, the value of each RSU shall equal the Fair Market Value of a Share. All amounts credited to Participant’s Account under this Agreement shall continue for all purposes to be a part of the general assets of the Company. Participant’s interest in the Account shall make him or her only a general, unsecured creditor of the Company. The RSUs may not be sold, transferred, gifted, bequeathed, pledged, assigned, or otherwise alienated or hypothecated, voluntarily or involuntarily. The rights of Participant with respect to the RSUs shall remain forfeitable at all times prior to the date on which such rights are settled (the “Settlement Date,” as defined below).</w:t>
      </w:r>
    </w:p>
    <w:p>
      <w:pPr>
        <w:spacing w:after="0" w:line="59" w:lineRule="exact"/>
        <w:rPr>
          <w:rFonts w:ascii="Arial" w:cs="Arial" w:eastAsia="Arial" w:hAnsi="Arial"/>
          <w:sz w:val="16"/>
          <w:szCs w:val="16"/>
          <w:color w:val="auto"/>
        </w:rPr>
      </w:pPr>
    </w:p>
    <w:p>
      <w:pPr>
        <w:ind w:right="100" w:firstLine="233"/>
        <w:spacing w:after="0" w:line="259" w:lineRule="auto"/>
        <w:tabs>
          <w:tab w:leader="none" w:pos="4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Consideration to the Company</w:t>
      </w:r>
      <w:r>
        <w:rPr>
          <w:rFonts w:ascii="Arial" w:cs="Arial" w:eastAsia="Arial" w:hAnsi="Arial"/>
          <w:sz w:val="18"/>
          <w:szCs w:val="18"/>
          <w:color w:val="auto"/>
        </w:rPr>
        <w:t>. In consideration of the granting of the RSUs by the Company, Participant will render faithful and efficient services as a Service Provider to the Company. Nothing in this Agreement or in the Plan will confer upon Participant any right to continue as a Service Provider to the Company or will interfere with or restrict in any way the rights of the Company, which are hereby expressly reserved, to terminate Participant’s position as a Service Provider to the Company at any time for any reason whatsoever, with or without cause.</w:t>
      </w:r>
    </w:p>
    <w:p>
      <w:pPr>
        <w:spacing w:after="0" w:line="78" w:lineRule="exact"/>
        <w:rPr>
          <w:rFonts w:ascii="Arial" w:cs="Arial" w:eastAsia="Arial" w:hAnsi="Arial"/>
          <w:sz w:val="18"/>
          <w:szCs w:val="18"/>
          <w:color w:val="auto"/>
        </w:rPr>
      </w:pPr>
    </w:p>
    <w:p>
      <w:pPr>
        <w:ind w:firstLine="233"/>
        <w:spacing w:after="0" w:line="297" w:lineRule="auto"/>
        <w:tabs>
          <w:tab w:leader="none" w:pos="40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Settlement of RSUs</w:t>
      </w:r>
      <w:r>
        <w:rPr>
          <w:rFonts w:ascii="Arial" w:cs="Arial" w:eastAsia="Arial" w:hAnsi="Arial"/>
          <w:sz w:val="16"/>
          <w:szCs w:val="16"/>
          <w:color w:val="auto"/>
        </w:rPr>
        <w:t>. At the Company’s option, the RSUs may be settled by delivering to Participant or his or her beneficiary, as applicable, either (i) an amount of cash equal to the Fair Market Value of a Share as of the Settlement Date multiplied by the number of Shares underlying the RSUs held by Participant (or a specified portion in the event of any partial settlement), or (ii) a number of Shares equal to the whole number of Shares underlying the RSUs then held by Participant (or a specified portion in the event of any partial settlement). Any fractional Shares underlying RSUs remaining on the Settlement Date will be distributed in cash in an amount equal to the Fair Market Value of a Share as of the Settlement Date multiplied by the remaining fractional RSUs.</w:t>
      </w:r>
    </w:p>
    <w:p>
      <w:pPr>
        <w:spacing w:after="0" w:line="5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Except as specifically provided elsewhere under the Plan, the restrictions on RSUs subject to this Agreement will lapse and the shares subject to this Award will be settled on the Settlement Date set forth below, but only if Participant is, and at all times from the Date of Grant, has been a Service Provider to the Company, or one of its Affiliates, and the RSUs have not otherwise been cancelled.</w:t>
      </w:r>
    </w:p>
    <w:p>
      <w:pPr>
        <w:spacing w:after="0" w:line="73"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Prior to receiving the Shares underlying the RSUs, the Participant shall not at any time be deemed to be the holder of, or to have any of the rights of a holder with respect to any Shares underlying the RSUs subject to this award.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1" w:name="page112"/>
    <w:bookmarkEnd w:id="111"/>
    <w:p>
      <w:pPr>
        <w:ind w:right="300"/>
        <w:spacing w:after="0" w:line="342" w:lineRule="auto"/>
        <w:rPr>
          <w:sz w:val="20"/>
          <w:szCs w:val="20"/>
          <w:color w:val="auto"/>
        </w:rPr>
      </w:pPr>
      <w:r>
        <w:rPr>
          <w:rFonts w:ascii="Arial" w:cs="Arial" w:eastAsia="Arial" w:hAnsi="Arial"/>
          <w:sz w:val="16"/>
          <w:szCs w:val="16"/>
          <w:color w:val="auto"/>
        </w:rPr>
        <w:t>a) Time Based Criteria</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Subject to performance based criteria below, the Restricted Stock Units under this Award Agreement shall vest and be settled as follows:</w:t>
      </w:r>
    </w:p>
    <w:p>
      <w:pPr>
        <w:spacing w:after="0" w:line="170" w:lineRule="exact"/>
        <w:rPr>
          <w:sz w:val="20"/>
          <w:szCs w:val="20"/>
          <w:color w:val="auto"/>
        </w:rPr>
      </w:pPr>
    </w:p>
    <w:p>
      <w:pPr>
        <w:sectPr>
          <w:pgSz w:w="11900" w:h="16838" w:orient="portrait"/>
          <w:cols w:equalWidth="0" w:num="2">
            <w:col w:w="1360" w:space="720"/>
            <w:col w:w="9240"/>
          </w:cols>
          <w:pgMar w:left="240" w:top="1368" w:right="339" w:bottom="1440" w:gutter="0" w:footer="0" w:header="0"/>
        </w:sectPr>
      </w:pPr>
    </w:p>
    <w:p>
      <w:pPr>
        <w:ind w:left="2080"/>
        <w:spacing w:after="0"/>
        <w:rPr>
          <w:sz w:val="20"/>
          <w:szCs w:val="20"/>
          <w:color w:val="auto"/>
        </w:rPr>
      </w:pPr>
      <w:r>
        <w:rPr>
          <w:rFonts w:ascii="Arial" w:cs="Arial" w:eastAsia="Arial" w:hAnsi="Arial"/>
          <w:sz w:val="18"/>
          <w:szCs w:val="18"/>
          <w:color w:val="auto"/>
        </w:rPr>
        <w:t>Time-Based Vesting Criteria</w:t>
      </w:r>
    </w:p>
    <w:p>
      <w:pPr>
        <w:spacing w:after="0" w:line="225" w:lineRule="exact"/>
        <w:rPr>
          <w:sz w:val="20"/>
          <w:szCs w:val="20"/>
          <w:color w:val="auto"/>
        </w:rPr>
      </w:pPr>
    </w:p>
    <w:p>
      <w:pPr>
        <w:ind w:left="2080" w:right="300"/>
        <w:spacing w:after="0" w:line="277" w:lineRule="auto"/>
        <w:rPr>
          <w:sz w:val="20"/>
          <w:szCs w:val="20"/>
          <w:color w:val="auto"/>
        </w:rPr>
      </w:pPr>
      <w:r>
        <w:rPr>
          <w:rFonts w:ascii="Arial" w:cs="Arial" w:eastAsia="Arial" w:hAnsi="Arial"/>
          <w:sz w:val="18"/>
          <w:szCs w:val="18"/>
          <w:color w:val="auto"/>
        </w:rPr>
        <w:t>It shall be a condition of vesting that on the date concerned, the Participant shall have been an employee or consultant of the Company for the entire period from the date of grant to the Vesting Date.</w:t>
      </w:r>
    </w:p>
    <w:p>
      <w:pPr>
        <w:sectPr>
          <w:pgSz w:w="11900" w:h="16838" w:orient="portrait"/>
          <w:cols w:equalWidth="0" w:num="1">
            <w:col w:w="11320"/>
          </w:cols>
          <w:pgMar w:left="240" w:top="1368" w:right="339" w:bottom="1440" w:gutter="0" w:footer="0" w:header="0"/>
          <w:type w:val="continuous"/>
        </w:sectPr>
      </w:pP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b) Performance Based Criteria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Notwithstanding the terms provided in the box entitled “Time Vesting” above, if Performance Criteria are set forth below, settlement of the Restricted Stock Units under this Award Agreement will be accelerated, and the RSUs will be settled in accordance with the schedule provided below, if such Performance Criteria are met:</w:t>
      </w:r>
    </w:p>
    <w:p>
      <w:pPr>
        <w:spacing w:after="0" w:line="181" w:lineRule="exact"/>
        <w:rPr>
          <w:sz w:val="20"/>
          <w:szCs w:val="20"/>
          <w:color w:val="auto"/>
        </w:rPr>
      </w:pPr>
    </w:p>
    <w:p>
      <w:pPr>
        <w:sectPr>
          <w:pgSz w:w="11900" w:h="16838" w:orient="portrait"/>
          <w:cols w:equalWidth="0" w:num="2">
            <w:col w:w="1360" w:space="720"/>
            <w:col w:w="9240"/>
          </w:cols>
          <w:pgMar w:left="240" w:top="1368" w:right="339" w:bottom="1440" w:gutter="0" w:footer="0" w:header="0"/>
          <w:type w:val="continuous"/>
        </w:sectPr>
      </w:pPr>
    </w:p>
    <w:p>
      <w:pPr>
        <w:ind w:left="2080"/>
        <w:spacing w:after="0"/>
        <w:rPr>
          <w:sz w:val="20"/>
          <w:szCs w:val="20"/>
          <w:color w:val="auto"/>
        </w:rPr>
      </w:pPr>
      <w:r>
        <w:rPr>
          <w:rFonts w:ascii="Arial" w:cs="Arial" w:eastAsia="Arial" w:hAnsi="Arial"/>
          <w:sz w:val="16"/>
          <w:szCs w:val="16"/>
          <w:color w:val="auto"/>
        </w:rPr>
        <w:t>Performance-Based Vesting Criteria</w:t>
      </w:r>
    </w:p>
    <w:p>
      <w:pPr>
        <w:sectPr>
          <w:pgSz w:w="11900" w:h="16838" w:orient="portrait"/>
          <w:cols w:equalWidth="0" w:num="1">
            <w:col w:w="11320"/>
          </w:cols>
          <w:pgMar w:left="240" w:top="1368" w:right="339" w:bottom="1440" w:gutter="0" w:footer="0" w:header="0"/>
          <w:type w:val="continuous"/>
        </w:sectPr>
      </w:pPr>
    </w:p>
    <w:p>
      <w:pPr>
        <w:spacing w:after="0" w:line="24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Provided that the above will be subject in each case to the following:</w:t>
      </w:r>
    </w:p>
    <w:p>
      <w:pPr>
        <w:spacing w:after="0" w:line="23" w:lineRule="exact"/>
        <w:rPr>
          <w:sz w:val="20"/>
          <w:szCs w:val="20"/>
          <w:color w:val="auto"/>
        </w:rPr>
      </w:pPr>
    </w:p>
    <w:p>
      <w:pPr>
        <w:ind w:left="2740" w:right="400" w:hanging="666"/>
        <w:spacing w:after="0" w:line="250" w:lineRule="auto"/>
        <w:tabs>
          <w:tab w:leader="none" w:pos="2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Participant’s service with the Company not terminating prior to the date the Performance Criteria are achieved; and</w:t>
      </w:r>
    </w:p>
    <w:p>
      <w:pPr>
        <w:ind w:left="2740" w:hanging="666"/>
        <w:spacing w:after="0"/>
        <w:tabs>
          <w:tab w:leader="none" w:pos="2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Committee’s determination and certification in writing that the Performance Criteria have been achieved.</w:t>
      </w:r>
    </w:p>
    <w:p>
      <w:pPr>
        <w:spacing w:after="0" w:line="1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the above sums do not derive a whole number of shares as of any Settlement Date, then the number of shares vested shall be the lower whole number resulting from such sum with any residual shares vesting as of the last Settlement Date.</w:t>
      </w:r>
    </w:p>
    <w:p>
      <w:pPr>
        <w:spacing w:after="0" w:line="62"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Committee may, in its sole discretion, accelerate the Settlement Date for any or all of the RSUs, if in its judgment the performance of Participant has warranted such acceleration and/or such acceleration is in the best interests of the Company.</w:t>
      </w:r>
    </w:p>
    <w:p>
      <w:pPr>
        <w:spacing w:after="0" w:line="62" w:lineRule="exact"/>
        <w:rPr>
          <w:sz w:val="20"/>
          <w:szCs w:val="20"/>
          <w:color w:val="auto"/>
        </w:rPr>
      </w:pPr>
    </w:p>
    <w:p>
      <w:pPr>
        <w:ind w:firstLine="233"/>
        <w:spacing w:after="0" w:line="271" w:lineRule="auto"/>
        <w:tabs>
          <w:tab w:leader="none" w:pos="40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Cancellation of RSUs</w:t>
      </w:r>
      <w:r>
        <w:rPr>
          <w:rFonts w:ascii="Arial" w:cs="Arial" w:eastAsia="Arial" w:hAnsi="Arial"/>
          <w:sz w:val="17"/>
          <w:szCs w:val="17"/>
          <w:color w:val="auto"/>
        </w:rPr>
        <w:t>. Unless otherwise provided in this Section 5 or in the Plan, if Participant’s position as a Service Provider to the Company or any of its Affiliates is terminated prior to the Settlement Date other than by death or Disability, Participant shall thereupon immediately forfeit any and all unsettled RSUs, and all RSUs shall be cancelled. Upon such cancellation, Participant shall have no further rights under this Agreement. For purposes of this Agreement, transfer of employment between the Company and any of its Affiliates (or between Affiliates) shall not constitute a termination of Participant’s position as a Service Provider. In the event that Participant’s position as a Service Provider with the Company or any of its Affiliates is terminated by the Company or any of its Affiliates prior to the Settlement Date and due to Participant’s death or Disability, all unsettled RSUs shall be settled effective on or as soon as administratively practical following the date of Participant’s death or Disability but in no event later than February 15 of the calendar year following the year of Participant’s death or Disability.</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68" w:right="339" w:bottom="1440" w:gutter="0" w:footer="0" w:header="0"/>
          <w:type w:val="continuous"/>
        </w:sectPr>
      </w:pPr>
    </w:p>
    <w:bookmarkStart w:id="112" w:name="page113"/>
    <w:bookmarkEnd w:id="112"/>
    <w:p>
      <w:pPr>
        <w:jc w:val="both"/>
        <w:ind w:left="-40" w:right="220" w:firstLine="233"/>
        <w:spacing w:after="0" w:line="259" w:lineRule="auto"/>
        <w:tabs>
          <w:tab w:leader="none" w:pos="36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Dividends and Voting</w:t>
      </w:r>
      <w:r>
        <w:rPr>
          <w:rFonts w:ascii="Arial" w:cs="Arial" w:eastAsia="Arial" w:hAnsi="Arial"/>
          <w:sz w:val="18"/>
          <w:szCs w:val="18"/>
          <w:color w:val="auto"/>
        </w:rPr>
        <w:t>. Prior to an RSU’s Settlement Date, Participant shall not be entitled to receive dividend equivalent payments for any dividends paid by the Company on Shares, whether payable in stock, in cash or in kind, or other distributions, declared as of a record date that occurs on or after the Date of Grant hereunder and prior to any cancellation of such RSUs, Participant will have no voting rights with respect to any of the Shares underlying the RSUs subject to this award unless and until they are issued to Participant.</w:t>
      </w:r>
    </w:p>
    <w:p>
      <w:pPr>
        <w:spacing w:after="0" w:line="78" w:lineRule="exact"/>
        <w:rPr>
          <w:rFonts w:ascii="Arial" w:cs="Arial" w:eastAsia="Arial" w:hAnsi="Arial"/>
          <w:sz w:val="18"/>
          <w:szCs w:val="18"/>
          <w:color w:val="auto"/>
        </w:rPr>
      </w:pPr>
    </w:p>
    <w:p>
      <w:pPr>
        <w:ind w:left="-40" w:right="300" w:firstLine="233"/>
        <w:spacing w:after="0" w:line="277" w:lineRule="auto"/>
        <w:tabs>
          <w:tab w:leader="none" w:pos="36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shall have the right to deduct from any distribution of cash or Shares to the Participant an amount equal to any income taxes, excise taxes and other amounts as may be required by law to be withheld with respect to the Award.</w:t>
      </w:r>
    </w:p>
    <w:p>
      <w:pPr>
        <w:spacing w:after="0" w:line="62" w:lineRule="exact"/>
        <w:rPr>
          <w:rFonts w:ascii="Arial" w:cs="Arial" w:eastAsia="Arial" w:hAnsi="Arial"/>
          <w:sz w:val="18"/>
          <w:szCs w:val="18"/>
          <w:color w:val="auto"/>
        </w:rPr>
      </w:pPr>
    </w:p>
    <w:p>
      <w:pPr>
        <w:ind w:left="-40" w:right="600" w:firstLine="233"/>
        <w:spacing w:after="0" w:line="264" w:lineRule="auto"/>
        <w:tabs>
          <w:tab w:leader="none" w:pos="36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Long-Term Consideration for Award</w:t>
      </w:r>
      <w:r>
        <w:rPr>
          <w:rFonts w:ascii="Arial" w:cs="Arial" w:eastAsia="Arial" w:hAnsi="Arial"/>
          <w:sz w:val="18"/>
          <w:szCs w:val="18"/>
          <w:color w:val="auto"/>
        </w:rPr>
        <w:t>. Participant recognizes and agrees that the Company’s key consideration in granting this Award is securing Participant’s long-term commitment to advance and promote the Company’s business interests and objectives. Accordingly, Participant agrees to the following as material and indivisible consideration for this Award:</w:t>
      </w:r>
    </w:p>
    <w:p>
      <w:pPr>
        <w:spacing w:after="0" w:line="73" w:lineRule="exact"/>
        <w:rPr>
          <w:rFonts w:ascii="Arial" w:cs="Arial" w:eastAsia="Arial" w:hAnsi="Arial"/>
          <w:sz w:val="18"/>
          <w:szCs w:val="18"/>
          <w:color w:val="auto"/>
        </w:rPr>
      </w:pPr>
    </w:p>
    <w:p>
      <w:pPr>
        <w:ind w:left="200" w:firstLine="221"/>
        <w:spacing w:after="0" w:line="264" w:lineRule="auto"/>
        <w:tabs>
          <w:tab w:leader="none" w:pos="67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Fiduciary Duty</w:t>
      </w:r>
      <w:r>
        <w:rPr>
          <w:rFonts w:ascii="Arial" w:cs="Arial" w:eastAsia="Arial" w:hAnsi="Arial"/>
          <w:sz w:val="18"/>
          <w:szCs w:val="18"/>
          <w:color w:val="auto"/>
        </w:rPr>
        <w:t>. During his/her employment with the Company, Participant shall devote his/her full energies, abilities, attention and business time to the performance of his/her job responsibilities and shall not engage in any activity which conflicts or interferes with, or in any way compromises, performance of such responsibilities.</w:t>
      </w:r>
    </w:p>
    <w:p>
      <w:pPr>
        <w:spacing w:after="0" w:line="73" w:lineRule="exact"/>
        <w:rPr>
          <w:rFonts w:ascii="Arial" w:cs="Arial" w:eastAsia="Arial" w:hAnsi="Arial"/>
          <w:sz w:val="18"/>
          <w:szCs w:val="18"/>
          <w:color w:val="auto"/>
        </w:rPr>
      </w:pPr>
    </w:p>
    <w:p>
      <w:pPr>
        <w:ind w:left="200" w:firstLine="221"/>
        <w:spacing w:after="0" w:line="270" w:lineRule="auto"/>
        <w:tabs>
          <w:tab w:leader="none" w:pos="680"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Participant recognizes that by virtue of his/her employment with the Company, Participant will be granted otherwise prohibited access to confidential information and proprietary data which are not known to the Company’s competitors. This information (the “Confidential Information”) includes, but is not limited to, any of the following as it relates to the Company, Euronet and/or any of its or their affiliates (the “Euronet Group”): current and prospective customers; the identity of key contacts at such customers; customers’ particularized preferences and needs; marketing strategies and plans; financial data; personnel data; compensation data; proprietary procedures and processes; and other unique and specialized practices, programs and plans of the Euronet Group and its customers and prospective customers. Participant recognizes that this Confidential Information constitutes a valuable property of the Euronet Group, developed over a significant period of time and at substantial expense. Accordingly, Participant agrees that he/she shall not, at any time during or after his or her employment with the Company, divulge such Confidential Information or make use of it for his/her own purposes or the purposes of any person or entity other than the Euronet Group.</w:t>
      </w:r>
    </w:p>
    <w:p>
      <w:pPr>
        <w:spacing w:after="0" w:line="73" w:lineRule="exact"/>
        <w:rPr>
          <w:rFonts w:ascii="Arial" w:cs="Arial" w:eastAsia="Arial" w:hAnsi="Arial"/>
          <w:sz w:val="17"/>
          <w:szCs w:val="17"/>
          <w:color w:val="auto"/>
        </w:rPr>
      </w:pPr>
    </w:p>
    <w:p>
      <w:pPr>
        <w:ind w:left="200" w:right="60" w:firstLine="221"/>
        <w:spacing w:after="0" w:line="276" w:lineRule="auto"/>
        <w:tabs>
          <w:tab w:leader="none" w:pos="670"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Non-Solicitation of Customers</w:t>
      </w:r>
      <w:r>
        <w:rPr>
          <w:rFonts w:ascii="Arial" w:cs="Arial" w:eastAsia="Arial" w:hAnsi="Arial"/>
          <w:sz w:val="17"/>
          <w:szCs w:val="17"/>
          <w:color w:val="auto"/>
        </w:rPr>
        <w:t>. Participant recognizes that by virtue of his/her employment with the Company Participant will be introduced to and involved in the solicitation and servicing of existing customers of the Euronet Group and new customers obtained by the Euronet Group during Participant’s employment. Participant understands and agrees that all efforts expended in soliciting and servicing such customers shall be for the permanent benefit of the Euronet Group. Participant further agrees that during his/her employment with the Company Participant will not engage in any conduct which could in any way jeopardize or disturb any of the Euronet Group’s customer relationships. Participant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13" w:name="page114"/>
    <w:bookmarkEnd w:id="113"/>
    <w:p>
      <w:pPr>
        <w:ind w:left="4" w:right="120"/>
        <w:spacing w:after="0" w:line="257" w:lineRule="auto"/>
        <w:rPr>
          <w:sz w:val="20"/>
          <w:szCs w:val="20"/>
          <w:color w:val="auto"/>
        </w:rPr>
      </w:pPr>
      <w:r>
        <w:rPr>
          <w:rFonts w:ascii="Arial" w:cs="Arial" w:eastAsia="Arial" w:hAnsi="Arial"/>
          <w:sz w:val="18"/>
          <w:szCs w:val="18"/>
          <w:color w:val="auto"/>
        </w:rPr>
        <w:t>also recognizes the Euronet Group’s legitimate interest in protecting, for a reasonable period of time after his/her employment with the Company, the Euronet Group’s customers. Accordingly, Participant agrees that, for a period beginning on the date hereof and ending one (1) year after termination of his/her employment with the Company, regardless of the reason for such termination, Participant shall not, directly or indirectly, without the prior written consent of the Chairman of the Company, market, offer, sell or otherwise furnish any products or services similar to, or otherwise competitive with, those offered by the Euronet Group to any customer of the Euronet Group.</w:t>
      </w:r>
    </w:p>
    <w:p>
      <w:pPr>
        <w:spacing w:after="0" w:line="80" w:lineRule="exact"/>
        <w:rPr>
          <w:sz w:val="20"/>
          <w:szCs w:val="20"/>
          <w:color w:val="auto"/>
        </w:rPr>
      </w:pPr>
    </w:p>
    <w:p>
      <w:pPr>
        <w:ind w:left="484" w:hanging="259"/>
        <w:spacing w:after="0"/>
        <w:tabs>
          <w:tab w:leader="none" w:pos="484"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Participant recognizes the substantial expenditure of time and effort which the Euronet Group devotes to the</w:t>
      </w:r>
    </w:p>
    <w:p>
      <w:pPr>
        <w:spacing w:after="0" w:line="34" w:lineRule="exact"/>
        <w:rPr>
          <w:rFonts w:ascii="Arial" w:cs="Arial" w:eastAsia="Arial" w:hAnsi="Arial"/>
          <w:sz w:val="17"/>
          <w:szCs w:val="17"/>
          <w:color w:val="auto"/>
        </w:rPr>
      </w:pPr>
    </w:p>
    <w:p>
      <w:pPr>
        <w:ind w:left="4" w:right="80"/>
        <w:spacing w:after="0" w:line="254" w:lineRule="auto"/>
        <w:rPr>
          <w:rFonts w:ascii="Arial" w:cs="Arial" w:eastAsia="Arial" w:hAnsi="Arial"/>
          <w:sz w:val="17"/>
          <w:szCs w:val="17"/>
          <w:color w:val="auto"/>
        </w:rPr>
      </w:pPr>
      <w:r>
        <w:rPr>
          <w:rFonts w:ascii="Arial" w:cs="Arial" w:eastAsia="Arial" w:hAnsi="Arial"/>
          <w:sz w:val="18"/>
          <w:szCs w:val="18"/>
          <w:color w:val="auto"/>
        </w:rPr>
        <w:t>recruitment, hiring, orientation, training and retention of its employees. Accordingly, Participant agrees that, for a period beginning on the date hereof and ending two (2) years after termination of his/her employment with the Company, regardless of the reason for such termination, Participant shall not, directly or indirectly, for himself or herself or on behalf of any other person or entity, solicit, offer employment to, hire or otherwise retain the services of any employee of the Euronet Group.</w:t>
      </w:r>
    </w:p>
    <w:p>
      <w:pPr>
        <w:spacing w:after="0" w:line="81" w:lineRule="exact"/>
        <w:rPr>
          <w:rFonts w:ascii="Arial" w:cs="Arial" w:eastAsia="Arial" w:hAnsi="Arial"/>
          <w:sz w:val="17"/>
          <w:szCs w:val="17"/>
          <w:color w:val="auto"/>
        </w:rPr>
      </w:pPr>
    </w:p>
    <w:p>
      <w:pPr>
        <w:ind w:left="4" w:right="20" w:firstLine="221"/>
        <w:spacing w:after="0" w:line="291" w:lineRule="auto"/>
        <w:tabs>
          <w:tab w:leader="none" w:pos="473"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Survival of Commitments; Potential Recapture of Award and Proceeds</w:t>
      </w:r>
      <w:r>
        <w:rPr>
          <w:rFonts w:ascii="Arial" w:cs="Arial" w:eastAsia="Arial" w:hAnsi="Arial"/>
          <w:sz w:val="16"/>
          <w:szCs w:val="16"/>
          <w:color w:val="auto"/>
        </w:rPr>
        <w:t>. Participant acknowledges and agrees that the terms and conditions of this Section 8 regarding confidentiality and non-solicitation shall survive both (i) the termination of his/her employment with the Company for any reason, and</w:t>
      </w:r>
    </w:p>
    <w:p>
      <w:pPr>
        <w:ind w:left="4" w:hanging="4"/>
        <w:spacing w:after="0" w:line="254" w:lineRule="auto"/>
        <w:tabs>
          <w:tab w:leader="none" w:pos="2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termination of the Plan, for any reason. Participant acknowledges and agrees that the grant of RSUs in this Award Agreement is just and adequate consideration for the survival of the restrictions set forth herein, and that the Company may pursue any or all of the following remedies if Participant either violates the terms of this Section or succeeds for any reason in invalidating any part of it (it being understood that the invalidity of any term hereof would result in a failure of consideration for the Award):</w:t>
      </w:r>
    </w:p>
    <w:p>
      <w:pPr>
        <w:spacing w:after="0" w:line="81" w:lineRule="exact"/>
        <w:rPr>
          <w:rFonts w:ascii="Arial" w:cs="Arial" w:eastAsia="Arial" w:hAnsi="Arial"/>
          <w:sz w:val="18"/>
          <w:szCs w:val="18"/>
          <w:color w:val="auto"/>
        </w:rPr>
      </w:pPr>
    </w:p>
    <w:p>
      <w:pPr>
        <w:ind w:left="784" w:hanging="445"/>
        <w:spacing w:after="0"/>
        <w:tabs>
          <w:tab w:leader="none" w:pos="784" w:val="left"/>
        </w:tabs>
        <w:numPr>
          <w:ilvl w:val="2"/>
          <w:numId w:val="52"/>
        </w:numPr>
        <w:rPr>
          <w:rFonts w:ascii="Arial" w:cs="Arial" w:eastAsia="Arial" w:hAnsi="Arial"/>
          <w:sz w:val="18"/>
          <w:szCs w:val="18"/>
          <w:color w:val="auto"/>
        </w:rPr>
      </w:pPr>
      <w:r>
        <w:rPr>
          <w:rFonts w:ascii="Arial" w:cs="Arial" w:eastAsia="Arial" w:hAnsi="Arial"/>
          <w:sz w:val="18"/>
          <w:szCs w:val="18"/>
          <w:color w:val="auto"/>
        </w:rPr>
        <w:t>declaration that the Award is null and void and of no further force or effect;</w:t>
      </w:r>
    </w:p>
    <w:p>
      <w:pPr>
        <w:spacing w:after="0" w:line="130" w:lineRule="exact"/>
        <w:rPr>
          <w:rFonts w:ascii="Arial" w:cs="Arial" w:eastAsia="Arial" w:hAnsi="Arial"/>
          <w:sz w:val="18"/>
          <w:szCs w:val="18"/>
          <w:color w:val="auto"/>
        </w:rPr>
      </w:pPr>
    </w:p>
    <w:p>
      <w:pPr>
        <w:ind w:left="784" w:hanging="445"/>
        <w:spacing w:after="0"/>
        <w:tabs>
          <w:tab w:leader="none" w:pos="784" w:val="left"/>
        </w:tabs>
        <w:numPr>
          <w:ilvl w:val="2"/>
          <w:numId w:val="52"/>
        </w:numPr>
        <w:rPr>
          <w:rFonts w:ascii="Arial" w:cs="Arial" w:eastAsia="Arial" w:hAnsi="Arial"/>
          <w:sz w:val="17"/>
          <w:szCs w:val="17"/>
          <w:color w:val="auto"/>
        </w:rPr>
      </w:pPr>
      <w:r>
        <w:rPr>
          <w:rFonts w:ascii="Arial" w:cs="Arial" w:eastAsia="Arial" w:hAnsi="Arial"/>
          <w:sz w:val="17"/>
          <w:szCs w:val="17"/>
          <w:color w:val="auto"/>
        </w:rPr>
        <w:t>recapture of any cash paid or Shares issued to Participant, or any designee or beneficiary of the Participant, pursuant to the Award;</w:t>
      </w:r>
    </w:p>
    <w:p>
      <w:pPr>
        <w:spacing w:after="0" w:line="142" w:lineRule="exact"/>
        <w:rPr>
          <w:rFonts w:ascii="Arial" w:cs="Arial" w:eastAsia="Arial" w:hAnsi="Arial"/>
          <w:sz w:val="17"/>
          <w:szCs w:val="17"/>
          <w:color w:val="auto"/>
        </w:rPr>
      </w:pPr>
    </w:p>
    <w:p>
      <w:pPr>
        <w:ind w:left="784" w:right="100" w:hanging="445"/>
        <w:spacing w:after="0" w:line="277" w:lineRule="auto"/>
        <w:tabs>
          <w:tab w:leader="none" w:pos="784" w:val="left"/>
        </w:tabs>
        <w:numPr>
          <w:ilvl w:val="2"/>
          <w:numId w:val="52"/>
        </w:numPr>
        <w:rPr>
          <w:rFonts w:ascii="Arial" w:cs="Arial" w:eastAsia="Arial" w:hAnsi="Arial"/>
          <w:sz w:val="18"/>
          <w:szCs w:val="18"/>
          <w:color w:val="auto"/>
        </w:rPr>
      </w:pPr>
      <w:r>
        <w:rPr>
          <w:rFonts w:ascii="Arial" w:cs="Arial" w:eastAsia="Arial" w:hAnsi="Arial"/>
          <w:sz w:val="18"/>
          <w:szCs w:val="18"/>
          <w:color w:val="auto"/>
        </w:rPr>
        <w:t>recapture of the proceeds, plus reasonable interest, with respect to any Shares that are both issued pursuant to this Award and sold or otherwise disposed of by Participant, or any designee or beneficiary of Participant.</w:t>
      </w:r>
    </w:p>
    <w:p>
      <w:pPr>
        <w:spacing w:after="0" w:line="6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remedies provided above are not intended to be exclusive, and the Company may seek such other remedies as are provided by law, including equitable relief.</w:t>
      </w:r>
    </w:p>
    <w:p>
      <w:pPr>
        <w:spacing w:after="0" w:line="62" w:lineRule="exact"/>
        <w:rPr>
          <w:sz w:val="20"/>
          <w:szCs w:val="20"/>
          <w:color w:val="auto"/>
        </w:rPr>
      </w:pPr>
    </w:p>
    <w:p>
      <w:pPr>
        <w:ind w:left="4" w:right="260" w:firstLine="221"/>
        <w:spacing w:after="0" w:line="308" w:lineRule="auto"/>
        <w:tabs>
          <w:tab w:leader="none" w:pos="45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Acknowledgement</w:t>
      </w:r>
      <w:r>
        <w:rPr>
          <w:rFonts w:ascii="Arial" w:cs="Arial" w:eastAsia="Arial" w:hAnsi="Arial"/>
          <w:sz w:val="17"/>
          <w:szCs w:val="17"/>
          <w:color w:val="auto"/>
        </w:rPr>
        <w:t>. Participant acknowledges and agrees that adherence to the foregoing requirements will not prevent him/her from engaging in his/her chosen occupation and earning a satisfactory livelihood following the termination of his/her employment with the Company.</w:t>
      </w:r>
    </w:p>
    <w:p>
      <w:pPr>
        <w:spacing w:after="0" w:line="120"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114" w:name="page115"/>
    <w:bookmarkEnd w:id="114"/>
    <w:p>
      <w:pPr>
        <w:ind w:left="500" w:hanging="177"/>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Titles</w:t>
      </w:r>
      <w:r>
        <w:rPr>
          <w:rFonts w:ascii="Arial" w:cs="Arial" w:eastAsia="Arial" w:hAnsi="Arial"/>
          <w:sz w:val="18"/>
          <w:szCs w:val="18"/>
          <w:color w:val="auto"/>
        </w:rPr>
        <w:t>. Titles are provided herein for convenience only and are not to serve as a basis for interpretation or construction of this Agreement.</w:t>
      </w:r>
    </w:p>
    <w:p>
      <w:pPr>
        <w:spacing w:after="0" w:line="117" w:lineRule="exact"/>
        <w:rPr>
          <w:rFonts w:ascii="Arial" w:cs="Arial" w:eastAsia="Arial" w:hAnsi="Arial"/>
          <w:sz w:val="18"/>
          <w:szCs w:val="18"/>
          <w:color w:val="auto"/>
        </w:rPr>
      </w:pPr>
    </w:p>
    <w:p>
      <w:pPr>
        <w:ind w:right="60" w:firstLine="233"/>
        <w:spacing w:after="0" w:line="277" w:lineRule="auto"/>
        <w:tabs>
          <w:tab w:leader="none" w:pos="4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only by a written agreement executed by the parties hereto which specifically states that it is amending this Agreement.</w:t>
      </w:r>
    </w:p>
    <w:p>
      <w:pPr>
        <w:spacing w:after="0" w:line="62" w:lineRule="exact"/>
        <w:rPr>
          <w:rFonts w:ascii="Arial" w:cs="Arial" w:eastAsia="Arial" w:hAnsi="Arial"/>
          <w:sz w:val="18"/>
          <w:szCs w:val="18"/>
          <w:color w:val="auto"/>
        </w:rPr>
      </w:pPr>
    </w:p>
    <w:p>
      <w:pPr>
        <w:ind w:firstLine="233"/>
        <w:spacing w:after="0" w:line="277" w:lineRule="auto"/>
        <w:tabs>
          <w:tab w:leader="none" w:pos="48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will govern the interpretation, validity and performance of this Agreement regardless of the law that might be applied under principles of conflicts of laws.</w:t>
      </w:r>
    </w:p>
    <w:p>
      <w:pPr>
        <w:spacing w:after="0" w:line="62" w:lineRule="exact"/>
        <w:rPr>
          <w:rFonts w:ascii="Arial" w:cs="Arial" w:eastAsia="Arial" w:hAnsi="Arial"/>
          <w:sz w:val="18"/>
          <w:szCs w:val="18"/>
          <w:color w:val="auto"/>
        </w:rPr>
      </w:pPr>
    </w:p>
    <w:p>
      <w:pPr>
        <w:ind w:right="20" w:firstLine="233"/>
        <w:spacing w:after="0" w:line="264" w:lineRule="auto"/>
        <w:tabs>
          <w:tab w:leader="none" w:pos="4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 to, the interpretation, construction or application of this Agreement shall be determined by the Committee. Any determination made hereunder shall be final, binding and conclusive on the Participant and Company for all purposes.</w:t>
      </w:r>
    </w:p>
    <w:p>
      <w:pPr>
        <w:spacing w:after="0" w:line="73" w:lineRule="exact"/>
        <w:rPr>
          <w:rFonts w:ascii="Arial" w:cs="Arial" w:eastAsia="Arial" w:hAnsi="Arial"/>
          <w:sz w:val="18"/>
          <w:szCs w:val="18"/>
          <w:color w:val="auto"/>
        </w:rPr>
      </w:pPr>
    </w:p>
    <w:p>
      <w:pPr>
        <w:ind w:right="300" w:firstLine="233"/>
        <w:spacing w:after="0" w:line="342" w:lineRule="auto"/>
        <w:tabs>
          <w:tab w:leader="none" w:pos="49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5" w:lineRule="exact"/>
        <w:rPr>
          <w:rFonts w:ascii="Arial" w:cs="Arial" w:eastAsia="Arial" w:hAnsi="Arial"/>
          <w:sz w:val="16"/>
          <w:szCs w:val="16"/>
          <w:color w:val="auto"/>
        </w:rPr>
      </w:pPr>
    </w:p>
    <w:p>
      <w:pPr>
        <w:ind w:right="180" w:firstLine="233"/>
        <w:spacing w:after="0" w:line="277" w:lineRule="auto"/>
        <w:tabs>
          <w:tab w:leader="none" w:pos="4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Except as expressly stated herein to the contrary, this Agreement will be binding upon and inure to the benefit of the respective heirs, legal representatives, successors and assigns of the parties hereto.</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Agreement has been executed and delivered by the parties hereto.</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The Company:</w:t>
            </w:r>
          </w:p>
        </w:tc>
        <w:tc>
          <w:tcPr>
            <w:tcW w:w="7180" w:type="dxa"/>
            <w:vAlign w:val="bottom"/>
            <w:gridSpan w:val="2"/>
          </w:tcPr>
          <w:p>
            <w:pPr>
              <w:ind w:left="3180"/>
              <w:spacing w:after="0"/>
              <w:rPr>
                <w:sz w:val="20"/>
                <w:szCs w:val="20"/>
                <w:color w:val="auto"/>
              </w:rPr>
            </w:pPr>
            <w:r>
              <w:rPr>
                <w:rFonts w:ascii="Arial" w:cs="Arial" w:eastAsia="Arial" w:hAnsi="Arial"/>
                <w:sz w:val="18"/>
                <w:szCs w:val="18"/>
                <w:color w:val="auto"/>
              </w:rPr>
              <w:t>Participant:</w:t>
            </w: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color w:val="auto"/>
              </w:rPr>
              <w:t>By:</w:t>
            </w:r>
          </w:p>
        </w:tc>
        <w:tc>
          <w:tcPr>
            <w:tcW w:w="31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39"/>
        </w:trPr>
        <w:tc>
          <w:tcPr>
            <w:tcW w:w="480" w:type="dxa"/>
            <w:vAlign w:val="bottom"/>
          </w:tcPr>
          <w:p>
            <w:pPr>
              <w:spacing w:after="0"/>
              <w:rPr>
                <w:sz w:val="24"/>
                <w:szCs w:val="2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00" w:type="dxa"/>
            <w:vAlign w:val="bottom"/>
            <w:tcBorders>
              <w:top w:val="single" w:sz="8" w:color="auto"/>
              <w:bottom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4000" w:type="dxa"/>
            <w:vAlign w:val="bottom"/>
            <w:tcBorders>
              <w:top w:val="single" w:sz="8" w:color="auto"/>
              <w:bottom w:val="single" w:sz="8" w:color="auto"/>
            </w:tcBorders>
          </w:tcPr>
          <w:p>
            <w:pPr>
              <w:spacing w:after="0"/>
              <w:rPr>
                <w:sz w:val="24"/>
                <w:szCs w:val="24"/>
                <w:color w:val="auto"/>
              </w:rPr>
            </w:pPr>
          </w:p>
        </w:tc>
      </w:tr>
      <w:tr>
        <w:trPr>
          <w:trHeight w:val="439"/>
        </w:trPr>
        <w:tc>
          <w:tcPr>
            <w:tcW w:w="48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7180" w:type="dxa"/>
            <w:vAlign w:val="bottom"/>
            <w:gridSpan w:val="2"/>
          </w:tcPr>
          <w:p>
            <w:pPr>
              <w:ind w:left="3180"/>
              <w:spacing w:after="0"/>
              <w:rPr>
                <w:sz w:val="20"/>
                <w:szCs w:val="20"/>
                <w:color w:val="auto"/>
              </w:rPr>
            </w:pPr>
            <w:r>
              <w:rPr>
                <w:rFonts w:ascii="Arial" w:cs="Arial" w:eastAsia="Arial" w:hAnsi="Arial"/>
                <w:sz w:val="18"/>
                <w:szCs w:val="18"/>
                <w:color w:val="auto"/>
              </w:rPr>
              <w:t>Address of Participant:</w:t>
            </w:r>
          </w:p>
        </w:tc>
      </w:tr>
      <w:tr>
        <w:trPr>
          <w:trHeight w:val="223"/>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0" w:type="dxa"/>
            <w:vAlign w:val="bottom"/>
            <w:tcBorders>
              <w:top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283210</wp:posOffset>
            </wp:positionV>
            <wp:extent cx="25387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Approved: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23837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EXHIBIT A</w:t>
      </w:r>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2006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80" w:type="dxa"/>
            <w:vAlign w:val="bottom"/>
            <w:gridSpan w:val="4"/>
          </w:tcPr>
          <w:p>
            <w:pPr>
              <w:ind w:left="460"/>
              <w:spacing w:after="0"/>
              <w:rPr>
                <w:sz w:val="20"/>
                <w:szCs w:val="20"/>
                <w:color w:val="auto"/>
              </w:rPr>
            </w:pPr>
            <w:r>
              <w:rPr>
                <w:rFonts w:ascii="Arial" w:cs="Arial" w:eastAsia="Arial" w:hAnsi="Arial"/>
                <w:sz w:val="18"/>
                <w:szCs w:val="18"/>
                <w:b w:val="1"/>
                <w:bCs w:val="1"/>
                <w:color w:val="auto"/>
              </w:rPr>
              <w:t>Designation of Beneficiary</w:t>
            </w:r>
          </w:p>
        </w:tc>
        <w:tc>
          <w:tcPr>
            <w:tcW w:w="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24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5"/>
        </w:trPr>
        <w:tc>
          <w:tcPr>
            <w:tcW w:w="8320" w:type="dxa"/>
            <w:vAlign w:val="bottom"/>
            <w:gridSpan w:val="9"/>
          </w:tcPr>
          <w:p>
            <w:pPr>
              <w:ind w:left="240"/>
              <w:spacing w:after="0"/>
              <w:rPr>
                <w:sz w:val="20"/>
                <w:szCs w:val="20"/>
                <w:color w:val="auto"/>
              </w:rPr>
            </w:pPr>
            <w:r>
              <w:rPr>
                <w:rFonts w:ascii="Arial" w:cs="Arial" w:eastAsia="Arial" w:hAnsi="Arial"/>
                <w:sz w:val="18"/>
                <w:szCs w:val="18"/>
                <w:color w:val="auto"/>
                <w:w w:val="94"/>
              </w:rPr>
              <w:t>In connection with the RESTRICTED STOCK UNIT AGREEMENT (the “Award Agreement”) entered into on</w:t>
            </w:r>
          </w:p>
        </w:tc>
        <w:tc>
          <w:tcPr>
            <w:tcW w:w="4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w w:val="90"/>
              </w:rPr>
              <w:t>between the Company and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w w:val="94"/>
              </w:rPr>
              <w:t>an individual residing at</w:t>
            </w:r>
          </w:p>
        </w:tc>
        <w:tc>
          <w:tcPr>
            <w:tcW w:w="680" w:type="dxa"/>
            <w:vAlign w:val="bottom"/>
          </w:tcPr>
          <w:p>
            <w:pPr>
              <w:spacing w:after="0"/>
              <w:rPr>
                <w:sz w:val="17"/>
                <w:szCs w:val="17"/>
                <w:color w:val="auto"/>
              </w:rPr>
            </w:pPr>
          </w:p>
        </w:tc>
        <w:tc>
          <w:tcPr>
            <w:tcW w:w="8820" w:type="dxa"/>
            <w:vAlign w:val="bottom"/>
            <w:gridSpan w:val="11"/>
          </w:tcPr>
          <w:p>
            <w:pPr>
              <w:jc w:val="right"/>
              <w:spacing w:after="0" w:line="196" w:lineRule="exact"/>
              <w:rPr>
                <w:sz w:val="20"/>
                <w:szCs w:val="20"/>
                <w:color w:val="auto"/>
              </w:rPr>
            </w:pPr>
            <w:r>
              <w:rPr>
                <w:rFonts w:ascii="Arial" w:cs="Arial" w:eastAsia="Arial" w:hAnsi="Arial"/>
                <w:sz w:val="18"/>
                <w:szCs w:val="18"/>
                <w:color w:val="auto"/>
                <w:w w:val="90"/>
              </w:rPr>
              <w:t>(the “Recipient”), the Recipient hereby designates the person specified below as the beneficiary of the Recipient’s interest</w:t>
            </w:r>
          </w:p>
        </w:tc>
      </w:tr>
      <w:tr>
        <w:trPr>
          <w:trHeight w:val="20"/>
        </w:trPr>
        <w:tc>
          <w:tcPr>
            <w:tcW w:w="1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in Restricted Shares (as defined in the 2006 Stock Incentive Plan of the Company) awarded pursuant to the Award Agreement. This designation shall remain in effect until revoked in writing by the Recipient.</w:t>
      </w:r>
    </w:p>
    <w:p>
      <w:pPr>
        <w:spacing w:after="0" w:line="38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1697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1697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306705</wp:posOffset>
            </wp:positionV>
            <wp:extent cx="21697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598170</wp:posOffset>
            </wp:positionV>
            <wp:extent cx="21697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Local Tax</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Number/SSN#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5715</wp:posOffset>
            </wp:positionV>
            <wp:extent cx="21697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10"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The Recipient understands that this designation operates to entitle the above-named beneficiary to the rights conferred by the Award Agreement from the date this form is delivered to the Company until such date as this designation is revoked in writing by the Recipient, including by delivery to the Company of a written designation of beneficiary executed by the Recipient on a later date.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color w:val="auto"/>
                <w:w w:val="88"/>
              </w:rPr>
              <w:t>Date:</w:t>
            </w:r>
          </w:p>
        </w:tc>
        <w:tc>
          <w:tcPr>
            <w:tcW w:w="14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color w:val="auto"/>
                <w:w w:val="99"/>
              </w:rPr>
              <w:t>By:</w:t>
            </w:r>
          </w:p>
        </w:tc>
        <w:tc>
          <w:tcPr>
            <w:tcW w:w="1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color w:val="auto"/>
                <w:w w:val="91"/>
              </w:rPr>
              <w:t>Recipient Name:</w:t>
            </w:r>
          </w:p>
        </w:tc>
        <w:tc>
          <w:tcPr>
            <w:tcW w:w="1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720" w:type="dxa"/>
            <w:vAlign w:val="bottom"/>
            <w:gridSpan w:val="2"/>
          </w:tcPr>
          <w:p>
            <w:pPr>
              <w:spacing w:after="0"/>
              <w:rPr>
                <w:sz w:val="24"/>
                <w:szCs w:val="24"/>
                <w:color w:val="auto"/>
              </w:rPr>
            </w:pPr>
          </w:p>
        </w:tc>
        <w:tc>
          <w:tcPr>
            <w:tcW w:w="2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2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Witness</w:t>
            </w:r>
          </w:p>
        </w:tc>
        <w:tc>
          <w:tcPr>
            <w:tcW w:w="20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Date</w:t>
            </w:r>
          </w:p>
        </w:tc>
        <w:tc>
          <w:tcPr>
            <w:tcW w:w="2060" w:type="dxa"/>
            <w:vAlign w:val="bottom"/>
          </w:tcPr>
          <w:p>
            <w:pPr>
              <w:spacing w:after="0"/>
              <w:rPr>
                <w:sz w:val="19"/>
                <w:szCs w:val="19"/>
                <w:color w:val="auto"/>
              </w:rPr>
            </w:pPr>
          </w:p>
        </w:tc>
        <w:tc>
          <w:tcPr>
            <w:tcW w:w="2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Witness</w:t>
            </w:r>
          </w:p>
        </w:tc>
        <w:tc>
          <w:tcPr>
            <w:tcW w:w="19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31"/>
        </w:trPr>
        <w:tc>
          <w:tcPr>
            <w:tcW w:w="2720" w:type="dxa"/>
            <w:vAlign w:val="bottom"/>
            <w:gridSpan w:val="2"/>
          </w:tcPr>
          <w:p>
            <w:pPr>
              <w:spacing w:after="0"/>
              <w:rPr>
                <w:sz w:val="20"/>
                <w:szCs w:val="20"/>
                <w:color w:val="auto"/>
              </w:rPr>
            </w:pPr>
            <w:r>
              <w:rPr>
                <w:rFonts w:ascii="Arial" w:cs="Arial" w:eastAsia="Arial" w:hAnsi="Arial"/>
                <w:sz w:val="18"/>
                <w:szCs w:val="18"/>
                <w:color w:val="auto"/>
              </w:rPr>
              <w:t>City and Country of Signature:</w:t>
            </w:r>
          </w:p>
        </w:tc>
        <w:tc>
          <w:tcPr>
            <w:tcW w:w="2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City and Country of Signature:</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60" w:type="dxa"/>
            <w:vAlign w:val="bottom"/>
            <w:vMerge w:val="restart"/>
          </w:tcPr>
          <w:p>
            <w:pPr>
              <w:jc w:val="right"/>
              <w:ind w:right="101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Euronet’s wholly owned subsidiaries were:</w:t>
      </w:r>
    </w:p>
    <w:p>
      <w:pPr>
        <w:spacing w:after="0" w:line="117" w:lineRule="exact"/>
        <w:rPr>
          <w:sz w:val="20"/>
          <w:szCs w:val="20"/>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EFT Services Holding B.V., incorporated in the Netherlands</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Banktechnikai Szolgaltato Kft., incorporated in Hungary</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Adminisztracios Szolgaltato Kft., incorporated in Hungary</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Bankomat 24/Euronet Sp. z o.o., incorporated in Poland</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EFT-Usluge d o.o., incorporated in Croatia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Services GmbH, incorporated in Germany</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Services spol. s.r.o., incorporated in the Czech Republic</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Services SRL, incorporated in Romania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USA Inc. incorporated in Arkansas, U.S.A.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EFT Services Hellas EPE, incorporated in Greece</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Services Slovakia, spol. s r.o., incorporated in Slovakia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e-pay Limited, incorporated in England and Wales</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e-pay Holdings Limited, incorporated in England and Wales</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e-pay Australia Pty Ltd, incorporated in New South Wales, Australia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e-pay Australia Holdings Pty Ltd, incorporated in Victoria, Australia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e-pay New Zealand Pty Ltd, incorporated in New Zealand</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e-pay Money Transfer Ltd, incorporated in England and Wales</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Transact Elektronische Zahlungssysteme GmbH, incorporated in Germany</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Delta Euronet GmbH, incorporated in Germany</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Cashnet Holding B.V., incorporated in the Netherlands (in liquidation)</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PaySpot, Inc., incorporated in Delaware, U.S.A.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Telerecarga. S.L., incorporated in Spain</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e-pay Spain S.L., incorporated in Spain</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Call Processing, Inc., incorporated in Texas, U.S.A.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Payments and Remittance, Inc., incorporated in North Carolina, U.S.A.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Europlanet d.o.o., incorporated in Serbia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Card Services, S.A. (formerly Instreamline S.A.), incorporated in Greece</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EWI Foreign Holdings Limited, incorporated in Cyprus</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Asia Holdings Limited, incorporated in Hong Kong</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Services India Private Limited, incorporated in India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Essentis Limited, incorporated in England and Wales</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Ukraine LLC, incorporated in Ukraine</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Bulgaria EOOD, incorporated in Bulgaria</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Euronet Pay and Transaction Services SRL, incorporated in Italy</w:t>
      </w:r>
    </w:p>
    <w:p>
      <w:pPr>
        <w:spacing w:after="0" w:line="200" w:lineRule="exact"/>
        <w:rPr>
          <w:sz w:val="20"/>
          <w:szCs w:val="20"/>
          <w:color w:val="auto"/>
        </w:rPr>
      </w:pPr>
    </w:p>
    <w:p>
      <w:pPr>
        <w:spacing w:after="0" w:line="241" w:lineRule="exact"/>
        <w:rPr>
          <w:sz w:val="20"/>
          <w:szCs w:val="20"/>
          <w:color w:val="auto"/>
        </w:rPr>
      </w:pPr>
    </w:p>
    <w:p>
      <w:pPr>
        <w:ind w:left="1020" w:hanging="445"/>
        <w:spacing w:after="0"/>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PT G4S Euronet Indonesia, incorporated in Indonesia, of which 47.02% of the shares are owned by EFT Services Holdings B.V.</w:t>
      </w:r>
    </w:p>
    <w:p>
      <w:pPr>
        <w:spacing w:after="0" w:line="130" w:lineRule="exact"/>
        <w:rPr>
          <w:rFonts w:ascii="Arial" w:cs="Arial" w:eastAsia="Arial" w:hAnsi="Arial"/>
          <w:sz w:val="18"/>
          <w:szCs w:val="18"/>
          <w:b w:val="1"/>
          <w:bCs w:val="1"/>
          <w:color w:val="auto"/>
        </w:rPr>
      </w:pPr>
    </w:p>
    <w:p>
      <w:pPr>
        <w:ind w:left="1020" w:right="360" w:hanging="445"/>
        <w:spacing w:after="0" w:line="277" w:lineRule="auto"/>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CashNet Telecommunications Egypt SAE, an Egyptian company limited by shares, of which 10% of the shares are owned by EFT Services Holdings B.V.</w:t>
      </w:r>
    </w:p>
    <w:p>
      <w:pPr>
        <w:spacing w:after="0" w:line="75"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e-pay Malaysia Sdn Bhd, incorporated in Malaysia, of which e-pay Limited owns 40% of the share capital.</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ATX, Ltd., incorporated in England and Wales, of which 51% is owned by Euronet Worldwide, Inc.</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Euronet Services LLC incorporated in Russia, of which 95% is owned by EFT Services Holdings B.V.</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Euronet Meflur Movilcarga S.L., incorporated in Spain, of which 80% is owned by Euronet Telerecarga S.L.</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Euronet Middle East W.L.L., incorporated in Bahrain of which 49% is owned by EFT Services Holdings B.V.</w:t>
      </w:r>
    </w:p>
    <w:p>
      <w:pPr>
        <w:spacing w:after="0" w:line="130" w:lineRule="exact"/>
        <w:rPr>
          <w:rFonts w:ascii="Arial" w:cs="Arial" w:eastAsia="Arial" w:hAnsi="Arial"/>
          <w:sz w:val="18"/>
          <w:szCs w:val="18"/>
          <w:b w:val="1"/>
          <w:bCs w:val="1"/>
          <w:color w:val="auto"/>
        </w:rPr>
      </w:pPr>
    </w:p>
    <w:p>
      <w:pPr>
        <w:ind w:left="1020" w:hanging="445"/>
        <w:spacing w:after="0"/>
        <w:tabs>
          <w:tab w:leader="none" w:pos="1020"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Jiayintong (Beijing) Technology Development Co. Ltd., incorporated in the Peoples Republic of China, of which 75% is owned by Euronet</w:t>
      </w:r>
    </w:p>
    <w:p>
      <w:pPr>
        <w:sectPr>
          <w:pgSz w:w="11900" w:h="16838" w:orient="portrait"/>
          <w:cols w:equalWidth="0" w:num="1">
            <w:col w:w="11420"/>
          </w:cols>
          <w:pgMar w:left="240" w:top="931" w:right="239" w:bottom="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t>Asia Holdings Limited</w:t>
      </w:r>
    </w:p>
    <w:p>
      <w:pPr>
        <w:sectPr>
          <w:pgSz w:w="11900" w:h="16838" w:orient="portrait"/>
          <w:cols w:equalWidth="0" w:num="1">
            <w:col w:w="9199"/>
          </w:cols>
          <w:pgMar w:left="1260" w:top="125"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 (Form S-3, No. 333-56915; Form S-3, No. 333-84046; Form S-3, No. 333-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105478; Form S-3, No. 333-111361; Form S-3MEF, No. 333-111363; Form S-3, No. 333-116931; Form S-3, No. 333-116934; Form S-3, No. 333-117948;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S-3, No. 333-122297; Form S-3, No. 333-124885; Form S-3, No. 333-128228; Form S-3, No. 333-129648; Form S-4, No. 333-116938; Form S-8,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 333-24539; Form S-8, No. 333-83555; Form S-8, No. 333-44890; Form S-8, No. 333-64634; Form S-8, No. 333-71766; Form S-8, No. 333-98013;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S-8, No. 333-102875; Form S-8, No. 333-116920; and Form S-8, No. 333-136485) of Euronet Worldwide, Inc. of our report dated February 28, 2007,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consolidated balance sheets of Euronet Worldwide, Inc. and subsidiaries (the Company) as of December 31, 2006 and 2005, and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changes in stockholders’ equity, and cash flows for each of the years in the three-year period ended December 31, 2006,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our report dated February 28, 2007, with respect to management’s assessment of the effectiveness of the Company’s internal control over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reporting as of December 31, 2006 and the effectiveness of the Company’s internal control over financial reporting as of December 31, 2006, which reports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appear in the December 31, 2006 Annual Report on Form 10-K of Euronet Worldwide, Inc. Our report refers to Euronet Worldwide, Inc.’s adoption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Financial Accounting Standards Board (FASB) No. 123 (Revised), </w:t>
      </w:r>
      <w:r>
        <w:rPr>
          <w:rFonts w:ascii="Arial" w:cs="Arial" w:eastAsia="Arial" w:hAnsi="Arial"/>
          <w:sz w:val="18"/>
          <w:szCs w:val="18"/>
          <w:i w:val="1"/>
          <w:iCs w:val="1"/>
          <w:color w:val="auto"/>
        </w:rPr>
        <w:t>Share-Based Payment.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ectPr>
          <w:pgSz w:w="11900" w:h="16838" w:orient="portrait"/>
          <w:cols w:equalWidth="0" w:num="1">
            <w:col w:w="11420"/>
          </w:cols>
          <w:pgMar w:left="240" w:top="93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right="3500" w:firstLine="3491"/>
        <w:spacing w:after="0" w:line="378" w:lineRule="auto"/>
        <w:rPr>
          <w:sz w:val="20"/>
          <w:szCs w:val="20"/>
          <w:color w:val="auto"/>
        </w:rPr>
      </w:pPr>
      <w:r>
        <w:rPr>
          <w:rFonts w:ascii="Arial" w:cs="Arial" w:eastAsia="Arial" w:hAnsi="Arial"/>
          <w:sz w:val="18"/>
          <w:szCs w:val="18"/>
          <w:b w:val="1"/>
          <w:bCs w:val="1"/>
          <w:color w:val="auto"/>
        </w:rPr>
        <w:t xml:space="preserve">CERTIFICATIONS OF CHIEF EXECUTIVE OFFICER </w:t>
      </w:r>
      <w:r>
        <w:rPr>
          <w:rFonts w:ascii="Arial" w:cs="Arial" w:eastAsia="Arial" w:hAnsi="Arial"/>
          <w:sz w:val="18"/>
          <w:szCs w:val="18"/>
          <w:color w:val="auto"/>
        </w:rPr>
        <w:t>I, Michael J. Brown, Chairman and Chief Executive Officer, certify that:</w:t>
      </w:r>
    </w:p>
    <w:p>
      <w:pPr>
        <w:ind w:left="200" w:hanging="192"/>
        <w:spacing w:after="0"/>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200" w:hanging="10"/>
        <w:spacing w:after="0" w:line="264" w:lineRule="auto"/>
        <w:tabs>
          <w:tab w:leader="none" w:pos="54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140" w:hanging="10"/>
        <w:spacing w:after="0" w:line="264" w:lineRule="auto"/>
        <w:tabs>
          <w:tab w:leader="none" w:pos="5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40" w:hanging="10"/>
        <w:spacing w:after="0" w:line="277" w:lineRule="auto"/>
        <w:tabs>
          <w:tab w:leader="none" w:pos="545"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360" w:right="240" w:hanging="10"/>
        <w:spacing w:after="0" w:line="264" w:lineRule="auto"/>
        <w:tabs>
          <w:tab w:leader="none" w:pos="5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360" w:right="60" w:hanging="10"/>
        <w:spacing w:after="0" w:line="277" w:lineRule="auto"/>
        <w:tabs>
          <w:tab w:leader="none" w:pos="54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and</w:t>
      </w:r>
    </w:p>
    <w:p>
      <w:pPr>
        <w:spacing w:after="0" w:line="62" w:lineRule="exact"/>
        <w:rPr>
          <w:rFonts w:ascii="Arial" w:cs="Arial" w:eastAsia="Arial" w:hAnsi="Arial"/>
          <w:sz w:val="18"/>
          <w:szCs w:val="18"/>
          <w:color w:val="auto"/>
        </w:rPr>
      </w:pPr>
    </w:p>
    <w:p>
      <w:pPr>
        <w:ind w:left="360" w:right="140" w:hanging="10"/>
        <w:spacing w:after="0" w:line="277" w:lineRule="auto"/>
        <w:tabs>
          <w:tab w:leader="none" w:pos="5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3" w:lineRule="exact"/>
        <w:rPr>
          <w:sz w:val="20"/>
          <w:szCs w:val="20"/>
          <w:color w:val="auto"/>
        </w:rPr>
      </w:pPr>
    </w:p>
    <w:p>
      <w:pPr>
        <w:jc w:val="center"/>
        <w:ind w:right="7000"/>
        <w:spacing w:after="0"/>
        <w:rPr>
          <w:sz w:val="20"/>
          <w:szCs w:val="20"/>
          <w:color w:val="auto"/>
        </w:rPr>
      </w:pPr>
      <w:r>
        <w:rPr>
          <w:rFonts w:ascii="Arial" w:cs="Arial" w:eastAsia="Arial" w:hAnsi="Arial"/>
          <w:sz w:val="18"/>
          <w:szCs w:val="18"/>
          <w:b w:val="1"/>
          <w:bCs w:val="1"/>
          <w:color w:val="auto"/>
        </w:rPr>
        <w:t>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52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right="700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932"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3520" w:firstLine="3516"/>
        <w:spacing w:after="0" w:line="378"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and Principal Accounting Officer, certify that:</w:t>
      </w:r>
    </w:p>
    <w:p>
      <w:pPr>
        <w:ind w:left="200" w:hanging="192"/>
        <w:spacing w:after="0"/>
        <w:tabs>
          <w:tab w:leader="none" w:pos="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240" w:right="160" w:hanging="4"/>
        <w:spacing w:after="0" w:line="277" w:lineRule="auto"/>
        <w:tabs>
          <w:tab w:leader="none" w:pos="42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3" w:lineRule="exact"/>
        <w:rPr>
          <w:sz w:val="20"/>
          <w:szCs w:val="20"/>
          <w:color w:val="auto"/>
        </w:rPr>
      </w:pPr>
    </w:p>
    <w:p>
      <w:pPr>
        <w:jc w:val="center"/>
        <w:ind w:right="5860"/>
        <w:spacing w:after="0"/>
        <w:rPr>
          <w:sz w:val="20"/>
          <w:szCs w:val="20"/>
          <w:color w:val="auto"/>
        </w:rPr>
      </w:pPr>
      <w:r>
        <w:rPr>
          <w:rFonts w:ascii="Arial" w:cs="Arial" w:eastAsia="Arial" w:hAnsi="Arial"/>
          <w:sz w:val="18"/>
          <w:szCs w:val="18"/>
          <w:b w:val="1"/>
          <w:bCs w:val="1"/>
          <w:color w:val="auto"/>
        </w:rPr>
        <w:t>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817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 w:lineRule="exact"/>
        <w:rPr>
          <w:sz w:val="20"/>
          <w:szCs w:val="20"/>
          <w:color w:val="auto"/>
        </w:rPr>
      </w:pPr>
    </w:p>
    <w:p>
      <w:pPr>
        <w:jc w:val="center"/>
        <w:ind w:right="5860"/>
        <w:spacing w:after="0"/>
        <w:rPr>
          <w:sz w:val="20"/>
          <w:szCs w:val="20"/>
          <w:color w:val="auto"/>
        </w:rPr>
      </w:pPr>
      <w:r>
        <w:rPr>
          <w:rFonts w:ascii="Arial" w:cs="Arial" w:eastAsia="Arial" w:hAnsi="Arial"/>
          <w:sz w:val="18"/>
          <w:szCs w:val="18"/>
          <w:b w:val="1"/>
          <w:bCs w:val="1"/>
          <w:color w:val="auto"/>
        </w:rPr>
        <w:t>Chief Financial Officer and Chief Accounting Officer</w:t>
      </w:r>
    </w:p>
    <w:p>
      <w:pPr>
        <w:sectPr>
          <w:pgSz w:w="11900" w:h="16838" w:orient="portrait"/>
          <w:cols w:equalWidth="0" w:num="1">
            <w:col w:w="11420"/>
          </w:cols>
          <w:pgMar w:left="240" w:top="93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2006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3" w:lineRule="exact"/>
        <w:rPr>
          <w:sz w:val="20"/>
          <w:szCs w:val="20"/>
          <w:color w:val="auto"/>
        </w:rPr>
      </w:pPr>
    </w:p>
    <w:p>
      <w:pPr>
        <w:jc w:val="center"/>
        <w:ind w:right="5860"/>
        <w:spacing w:after="0"/>
        <w:rPr>
          <w:sz w:val="20"/>
          <w:szCs w:val="20"/>
          <w:color w:val="auto"/>
        </w:rPr>
      </w:pPr>
      <w:r>
        <w:rPr>
          <w:rFonts w:ascii="Arial" w:cs="Arial" w:eastAsia="Arial" w:hAnsi="Arial"/>
          <w:sz w:val="18"/>
          <w:szCs w:val="18"/>
          <w:b w:val="1"/>
          <w:bCs w:val="1"/>
          <w:color w:val="auto"/>
        </w:rPr>
        <w:t>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817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 w:lineRule="exact"/>
        <w:rPr>
          <w:sz w:val="20"/>
          <w:szCs w:val="20"/>
          <w:color w:val="auto"/>
        </w:rPr>
      </w:pPr>
    </w:p>
    <w:p>
      <w:pPr>
        <w:jc w:val="center"/>
        <w:ind w:right="586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2006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3" w:lineRule="exact"/>
        <w:rPr>
          <w:sz w:val="20"/>
          <w:szCs w:val="20"/>
          <w:color w:val="auto"/>
        </w:rPr>
      </w:pPr>
    </w:p>
    <w:p>
      <w:pPr>
        <w:jc w:val="center"/>
        <w:ind w:right="5860"/>
        <w:spacing w:after="0"/>
        <w:rPr>
          <w:sz w:val="20"/>
          <w:szCs w:val="20"/>
          <w:color w:val="auto"/>
        </w:rPr>
      </w:pPr>
      <w:r>
        <w:rPr>
          <w:rFonts w:ascii="Arial" w:cs="Arial" w:eastAsia="Arial" w:hAnsi="Arial"/>
          <w:sz w:val="18"/>
          <w:szCs w:val="18"/>
          <w:b w:val="1"/>
          <w:bCs w:val="1"/>
          <w:color w:val="auto"/>
        </w:rPr>
        <w:t>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817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 w:lineRule="exact"/>
        <w:rPr>
          <w:sz w:val="20"/>
          <w:szCs w:val="20"/>
          <w:color w:val="auto"/>
        </w:rPr>
      </w:pPr>
    </w:p>
    <w:p>
      <w:pPr>
        <w:jc w:val="center"/>
        <w:ind w:right="586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lowerRoman"/>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lowerLetter"/>
      <w:start w:val="9"/>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lowerLetter"/>
      <w:start w:val="1"/>
    </w:lvl>
    <w:lvl w:ilvl="1">
      <w:lvlJc w:val="left"/>
      <w:lvlText w:val="%2."/>
      <w:numFmt w:val="decimal"/>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lowerRoman"/>
      <w:start w:val="1"/>
    </w:lvl>
  </w:abstractNum>
  <w:abstractNum w:abstractNumId="48">
    <w:nsid w:val="4F4EF005"/>
    <w:multiLevelType w:val="hybridMultilevel"/>
    <w:lvl w:ilvl="0">
      <w:lvlJc w:val="left"/>
      <w:lvlText w:val="%1."/>
      <w:numFmt w:val="decimal"/>
      <w:start w:val="5"/>
    </w:lvl>
  </w:abstractNum>
  <w:abstractNum w:abstractNumId="49">
    <w:nsid w:val="23F9C13C"/>
    <w:multiLevelType w:val="hybridMultilevel"/>
    <w:lvl w:ilvl="0">
      <w:lvlJc w:val="left"/>
      <w:lvlText w:val="%1."/>
      <w:numFmt w:val="decimal"/>
      <w:start w:val="6"/>
    </w:lvl>
    <w:lvl w:ilvl="1">
      <w:lvlJc w:val="left"/>
      <w:lvlText w:val="(%2)"/>
      <w:numFmt w:val="lowerLetter"/>
      <w:start w:val="1"/>
    </w:lvl>
  </w:abstractNum>
  <w:abstractNum w:abstractNumId="50">
    <w:nsid w:val="649BB77C"/>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51">
    <w:nsid w:val="275AC794"/>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52">
    <w:nsid w:val="39386575"/>
    <w:multiLevelType w:val="hybridMultilevel"/>
    <w:lvl w:ilvl="0">
      <w:lvlJc w:val="left"/>
      <w:lvlText w:val="(%1)"/>
      <w:numFmt w:val="lowerLetter"/>
      <w:start w:val="6"/>
    </w:lvl>
  </w:abstractNum>
  <w:abstractNum w:abstractNumId="53">
    <w:nsid w:val="1CF10FD8"/>
    <w:multiLevelType w:val="hybridMultilevel"/>
    <w:lvl w:ilvl="0">
      <w:lvlJc w:val="left"/>
      <w:lvlText w:val="%1."/>
      <w:numFmt w:val="decimal"/>
      <w:start w:val="9"/>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2019-12-12T00:22:11Z</dcterms:created>
  <dcterms:modified xsi:type="dcterms:W3CDTF">2019-12-12T00:22:11Z</dcterms:modified>
</cp:coreProperties>
</file>