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1" w:lineRule="exact"/>
        <w:rPr>
          <w:sz w:val="24"/>
          <w:szCs w:val="24"/>
          <w:color w:val="auto"/>
        </w:rPr>
      </w:pPr>
    </w:p>
    <w:p>
      <w:pPr>
        <w:ind w:left="520" w:hanging="2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6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78" w:lineRule="exact"/>
        <w:rPr>
          <w:sz w:val="24"/>
          <w:szCs w:val="24"/>
          <w:color w:val="auto"/>
        </w:rPr>
      </w:pPr>
    </w:p>
    <w:p>
      <w:pPr>
        <w:ind w:left="520" w:hanging="21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01" w:lineRule="exact"/>
        <w:rPr>
          <w:sz w:val="24"/>
          <w:szCs w:val="24"/>
          <w:color w:val="auto"/>
        </w:rPr>
      </w:pPr>
    </w:p>
    <w:p>
      <w:pPr>
        <w:ind w:left="39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1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001-31648</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EURONET WORLDWIDE, INC.</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74-2806888</w:t>
            </w:r>
          </w:p>
        </w:tc>
      </w:tr>
      <w:tr>
        <w:trPr>
          <w:trHeight w:val="284"/>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66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83"/>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66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97"/>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(913) 327-4200</w:t>
            </w:r>
          </w:p>
        </w:tc>
      </w:tr>
    </w:tbl>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Times New Roman" w:cs="Times New Roman" w:eastAsia="Times New Roman" w:hAnsi="Times New Roman"/>
                <w:sz w:val="16"/>
                <w:szCs w:val="16"/>
                <w:b w:val="1"/>
                <w:bCs w:val="1"/>
                <w:color w:val="auto"/>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Times New Roman" w:cs="Times New Roman" w:eastAsia="Times New Roman" w:hAnsi="Times New Roman"/>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54" w:lineRule="exact"/>
        <w:rPr>
          <w:sz w:val="24"/>
          <w:szCs w:val="24"/>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6"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140" w:lineRule="exact"/>
        <w:rPr>
          <w:sz w:val="24"/>
          <w:szCs w:val="24"/>
          <w:color w:val="auto"/>
        </w:rPr>
      </w:pPr>
    </w:p>
    <w:p>
      <w:pPr>
        <w:ind w:right="26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4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6"/>
                <w:szCs w:val="16"/>
                <w:b w:val="1"/>
                <w:bCs w:val="1"/>
                <w:color w:val="auto"/>
                <w:w w:val="97"/>
              </w:rPr>
              <w:t>o</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0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40" w:right="580"/>
        <w:spacing w:after="0" w:line="27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300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November 4, 2022, Euronet Worldwide, Inc. had 49,593,877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711"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18"/>
          <w:szCs w:val="18"/>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40" w:type="dxa"/>
            <w:vAlign w:val="bottom"/>
            <w:gridSpan w:val="3"/>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3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September 30, 2022 and December 31, 2021</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Consolidated Statements of Operations for the Three and Nine Months Ended September 30, 2022 and 2021</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87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and Nine Months Ended September 30, 2022 and 2021</w:t>
            </w:r>
          </w:p>
        </w:tc>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580" w:type="dxa"/>
            <w:vAlign w:val="bottom"/>
            <w:tcBorders>
              <w:bottom w:val="single" w:sz="8" w:color="CCEEFF"/>
            </w:tcBorders>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Consolidated Statements of Changes in Equity for the Three and Nine Months Ended September 30, 2022 and 2021</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70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Nine Months Ended September 30, 2022 and 2021</w:t>
            </w:r>
          </w:p>
        </w:tc>
        <w:tc>
          <w:tcPr>
            <w:tcW w:w="226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580" w:type="dxa"/>
            <w:vAlign w:val="bottom"/>
            <w:tcBorders>
              <w:bottom w:val="single" w:sz="8" w:color="CCEEFF"/>
            </w:tcBorders>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Notes to the Unaudited Consolidated Financial Statements</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vMerge w:val="continue"/>
          </w:tcPr>
          <w:p>
            <w:pPr>
              <w:spacing w:after="0"/>
              <w:rPr>
                <w:sz w:val="17"/>
                <w:szCs w:val="17"/>
                <w:color w:val="auto"/>
              </w:rPr>
            </w:pPr>
          </w:p>
        </w:tc>
        <w:tc>
          <w:tcPr>
            <w:tcW w:w="64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900" w:type="dxa"/>
            <w:vAlign w:val="bottom"/>
            <w:tcBorders>
              <w:bottom w:val="single" w:sz="8" w:color="CCEEFF"/>
            </w:tcBorders>
            <w:gridSpan w:val="5"/>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580" w:type="dxa"/>
            <w:vAlign w:val="bottom"/>
            <w:tcBorders>
              <w:bottom w:val="single" w:sz="8" w:color="CCEEFF"/>
            </w:tcBorders>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9"/>
              </w:rPr>
              <w:t>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PART II—OTHER INFORMATION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Exhibits</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 w:type="dxa"/>
            <w:vAlign w:val="bottom"/>
            <w:vMerge w:val="continue"/>
          </w:tcPr>
          <w:p>
            <w:pPr>
              <w:spacing w:after="0"/>
              <w:rPr>
                <w:sz w:val="17"/>
                <w:szCs w:val="17"/>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1,260,466</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543,422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1,034,898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1,102,389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losses of $4,059 and $4,469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203,010</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195,443</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3,245,890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161,494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$516,239 and $532,631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317,602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345,381</w:t>
            </w:r>
          </w:p>
        </w:tc>
        <w:tc>
          <w:tcPr>
            <w:tcW w:w="0" w:type="dxa"/>
            <w:vAlign w:val="bottom"/>
          </w:tcPr>
          <w:p>
            <w:pPr>
              <w:spacing w:after="0"/>
              <w:rPr>
                <w:sz w:val="1"/>
                <w:szCs w:val="1"/>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641,605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$180,280 and $185,054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97,793</w:t>
            </w:r>
          </w:p>
        </w:tc>
        <w:tc>
          <w:tcPr>
            <w:tcW w:w="0" w:type="dxa"/>
            <w:vAlign w:val="bottom"/>
          </w:tcPr>
          <w:p>
            <w:pPr>
              <w:spacing w:after="0"/>
              <w:rPr>
                <w:sz w:val="1"/>
                <w:szCs w:val="1"/>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$64,542 and $62,349</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189,580</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4,827,827</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4,744,276</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1,034,898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1,102,389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169,835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193,529</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367,692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52,136</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59,037</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77,037</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1,420,085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111,355</w:t>
            </w:r>
          </w:p>
        </w:tc>
        <w:tc>
          <w:tcPr>
            <w:tcW w:w="0" w:type="dxa"/>
            <w:vAlign w:val="bottom"/>
          </w:tcPr>
          <w:p>
            <w:pPr>
              <w:spacing w:after="0"/>
              <w:rPr>
                <w:sz w:val="1"/>
                <w:szCs w:val="1"/>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46,505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3,800,584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3,488,752</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63,863,162 and 63,779,009</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1,234,090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1,274,118</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14,270,009 and 12,631,125</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(931,212)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1,083,882</w:t>
            </w:r>
          </w:p>
        </w:tc>
        <w:tc>
          <w:tcPr>
            <w:tcW w:w="0" w:type="dxa"/>
            <w:vAlign w:val="bottom"/>
          </w:tcPr>
          <w:p>
            <w:pPr>
              <w:spacing w:after="0"/>
              <w:rPr>
                <w:sz w:val="1"/>
                <w:szCs w:val="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(172,582)</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4,827,827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gridSpan w:val="6"/>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520" w:type="dxa"/>
            <w:vAlign w:val="bottom"/>
            <w:gridSpan w:val="6"/>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2,183,916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526,048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484,438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1,484,863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1,389,770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134,471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119,421</w:t>
            </w:r>
          </w:p>
        </w:tc>
        <w:tc>
          <w:tcPr>
            <w:tcW w:w="26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392,544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356,160</w:t>
            </w: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64,298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207,613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182,193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32,781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33,909</w:t>
            </w:r>
          </w:p>
        </w:tc>
        <w:tc>
          <w:tcPr>
            <w:tcW w:w="26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101,784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100,729</w:t>
            </w:r>
          </w:p>
        </w:tc>
      </w:tr>
      <w:tr>
        <w:trPr>
          <w:trHeight w:val="210"/>
        </w:trPr>
        <w:tc>
          <w:tcPr>
            <w:tcW w:w="552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762,808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702,066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2,186,804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306,238</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155,064</w:t>
            </w:r>
          </w:p>
        </w:tc>
        <w:tc>
          <w:tcPr>
            <w:tcW w:w="100" w:type="dxa"/>
            <w:vAlign w:val="bottom"/>
            <w:tcBorders>
              <w:bottom w:val="single" w:sz="8" w:color="auto"/>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(10,072)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(28,718)</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26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(15,798)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(8,135)</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gains,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55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114,865</w:t>
            </w: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(44,002)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(22,726)</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(41,140)</w:t>
            </w:r>
          </w:p>
        </w:tc>
      </w:tr>
      <w:tr>
        <w:trPr>
          <w:trHeight w:val="210"/>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r>
      <w:tr>
        <w:trPr>
          <w:trHeight w:val="209"/>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163,237</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3.24</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r>
      <w:tr>
        <w:trPr>
          <w:trHeight w:val="197"/>
        </w:trPr>
        <w:tc>
          <w:tcPr>
            <w:tcW w:w="5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50"/>
        </w:trPr>
        <w:tc>
          <w:tcPr>
            <w:tcW w:w="5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49,583,317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52,829,386</w:t>
            </w:r>
          </w:p>
        </w:tc>
        <w:tc>
          <w:tcPr>
            <w:tcW w:w="260" w:type="dxa"/>
            <w:vAlign w:val="bottom"/>
          </w:tcPr>
          <w:p>
            <w:pPr>
              <w:spacing w:after="0"/>
              <w:rPr>
                <w:sz w:val="22"/>
                <w:szCs w:val="22"/>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50,345,293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52,799,199</w:t>
            </w:r>
          </w:p>
        </w:tc>
      </w:tr>
      <w:tr>
        <w:trPr>
          <w:trHeight w:val="196"/>
        </w:trPr>
        <w:tc>
          <w:tcPr>
            <w:tcW w:w="5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52,751,304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53,853,675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53,688,800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53,933,226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352" w:lineRule="exact"/>
        <w:rPr>
          <w:sz w:val="20"/>
          <w:szCs w:val="20"/>
          <w:color w:val="auto"/>
        </w:rPr>
      </w:pPr>
    </w:p>
    <w:tbl>
      <w:tblPr>
        <w:tblLayout w:type="fixed"/>
        <w:tblInd w:w="5520" w:type="dxa"/>
        <w:tblCellMar>
          <w:top w:w="0" w:type="dxa"/>
          <w:left w:w="0" w:type="dxa"/>
          <w:bottom w:w="0" w:type="dxa"/>
          <w:right w:w="0" w:type="dxa"/>
        </w:tblCellMar>
      </w:tblPr>
      <w:tr>
        <w:trPr>
          <w:trHeight w:val="161"/>
        </w:trPr>
        <w:tc>
          <w:tcPr>
            <w:tcW w:w="29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20" w:type="dxa"/>
            <w:vAlign w:val="bottom"/>
          </w:tcPr>
          <w:p>
            <w:pPr>
              <w:spacing w:after="0"/>
              <w:rPr>
                <w:sz w:val="16"/>
                <w:szCs w:val="16"/>
                <w:color w:val="auto"/>
              </w:rPr>
            </w:pPr>
          </w:p>
        </w:tc>
        <w:tc>
          <w:tcPr>
            <w:tcW w:w="202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82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4"/>
        </w:trPr>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tbl>
      <w:tblPr>
        <w:tblLayout w:type="fixed"/>
        <w:tblInd w:w="40" w:type="dxa"/>
        <w:tblCellMar>
          <w:top w:w="0" w:type="dxa"/>
          <w:left w:w="0" w:type="dxa"/>
          <w:bottom w:w="0" w:type="dxa"/>
          <w:right w:w="0" w:type="dxa"/>
        </w:tblCellMar>
      </w:tblP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680" w:type="dxa"/>
            <w:vAlign w:val="bottom"/>
          </w:tcPr>
          <w:p>
            <w:pPr>
              <w:spacing w:after="0"/>
              <w:rPr>
                <w:sz w:val="21"/>
                <w:szCs w:val="21"/>
                <w:color w:val="auto"/>
              </w:rPr>
            </w:pPr>
          </w:p>
        </w:tc>
      </w:tr>
      <w:tr>
        <w:trPr>
          <w:trHeight w:val="27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440" w:hanging="53"/>
        <w:spacing w:after="0" w:line="395" w:lineRule="auto"/>
        <w:rPr>
          <w:sz w:val="20"/>
          <w:szCs w:val="20"/>
          <w:color w:val="auto"/>
        </w:rPr>
      </w:pPr>
      <w:r>
        <w:rPr>
          <w:rFonts w:ascii="Times New Roman" w:cs="Times New Roman" w:eastAsia="Times New Roman" w:hAnsi="Times New Roman"/>
          <w:sz w:val="17"/>
          <w:szCs w:val="17"/>
          <w:color w:val="auto"/>
        </w:rPr>
        <w:t>Comprehensive income attributable to noncontrolling interests Comprehensive income (loss) attributable to Euronet Worldwide, Inc.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97,552</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73,714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162,876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(100,458)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(29,692)</w:t>
            </w:r>
          </w:p>
        </w:tc>
        <w:tc>
          <w:tcPr>
            <w:tcW w:w="340" w:type="dxa"/>
            <w:vAlign w:val="bottom"/>
          </w:tcPr>
          <w:p>
            <w:pPr>
              <w:spacing w:after="0"/>
              <w:rPr>
                <w:sz w:val="23"/>
                <w:szCs w:val="23"/>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(209,850)</w:t>
            </w:r>
          </w:p>
        </w:tc>
        <w:tc>
          <w:tcPr>
            <w:tcW w:w="3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(59,907)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44,022</w:t>
            </w:r>
          </w:p>
        </w:tc>
        <w:tc>
          <w:tcPr>
            <w:tcW w:w="3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(46,974)</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23"/>
                <w:szCs w:val="23"/>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569</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vMerge w:val="continue"/>
          </w:tcPr>
          <w:p>
            <w:pPr>
              <w:spacing w:after="0"/>
              <w:rPr>
                <w:sz w:val="20"/>
                <w:szCs w:val="20"/>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44,218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220" w:type="dxa"/>
            <w:vAlign w:val="bottom"/>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-7620</wp:posOffset>
            </wp:positionV>
            <wp:extent cx="796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600" w:space="520"/>
            <w:col w:w="5080"/>
          </w:cols>
          <w:pgMar w:left="320" w:top="121" w:right="37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7"/>
          <w:szCs w:val="17"/>
          <w:color w:val="auto"/>
        </w:rPr>
        <w:t>See accompanying notes to the unaudited consolidated financial statements.</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4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52,734,049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1,267</w:t>
            </w:r>
          </w:p>
        </w:tc>
        <w:tc>
          <w:tcPr>
            <w:tcW w:w="2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(703,032</w:t>
            </w:r>
          </w:p>
        </w:tc>
        <w:tc>
          <w:tcPr>
            <w:tcW w:w="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482)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8,492</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52,796,485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1,240,273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(703,514</w:t>
            </w:r>
          </w:p>
        </w:tc>
        <w:tc>
          <w:tcPr>
            <w:tcW w:w="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25,769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52,822,254</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1,252,456</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(703,247)</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33,217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2021</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52,855,471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(703,136</w:t>
            </w:r>
          </w:p>
        </w:tc>
        <w:tc>
          <w:tcPr>
            <w:tcW w:w="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51,147,884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(931,212</w:t>
            </w:r>
          </w:p>
        </w:tc>
        <w:tc>
          <w:tcPr>
            <w:tcW w:w="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40,173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1,989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1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(639,535)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(70,351)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Adoption of ASU 2020-06</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(74,080)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20" w:type="dxa"/>
            <w:vAlign w:val="bottom"/>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50,548,522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1,211,830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(1,001,421</w:t>
            </w: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31,233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10,142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1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(104,600)</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20" w:type="dxa"/>
            <w:vAlign w:val="bottom"/>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49,579,755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1,223,294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(1,106,094)</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13,398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20" w:type="dxa"/>
            <w:vAlign w:val="bottom"/>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13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49,593,153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1,234,090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8"/>
        </w:trPr>
        <w:tc>
          <w:tcPr>
            <w:tcW w:w="5560" w:type="dxa"/>
            <w:vAlign w:val="bottom"/>
            <w:vMerge w:val="continue"/>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(1,105,883</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consolidated financial statements.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EURONET WORLDWIDE,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1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5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2"/>
                <w:szCs w:val="12"/>
                <w:color w:val="auto"/>
              </w:rPr>
            </w:pPr>
          </w:p>
        </w:tc>
        <w:tc>
          <w:tcPr>
            <w:tcW w:w="13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1,013,155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1,445,903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(8,665)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42,845</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56</w:t>
            </w: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42,901</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0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1,004,490</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(137,059)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1,405,727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12,675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12,686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10,984</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1,013,125</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73,882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73,714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(29,664)</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(29,692)</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as of September 30, 2021</w:t>
            </w:r>
          </w:p>
        </w:tc>
        <w:tc>
          <w:tcPr>
            <w:tcW w:w="300" w:type="dxa"/>
            <w:vAlign w:val="bottom"/>
          </w:tcPr>
          <w:p>
            <w:pPr>
              <w:spacing w:after="0"/>
              <w:rPr>
                <w:sz w:val="13"/>
                <w:szCs w:val="13"/>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1,087,007</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jc w:val="right"/>
              <w:ind w:right="81"/>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1,491,457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(154,048</w:t>
            </w: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1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5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2"/>
                <w:szCs w:val="12"/>
                <w:color w:val="auto"/>
              </w:rPr>
            </w:pPr>
          </w:p>
        </w:tc>
        <w:tc>
          <w:tcPr>
            <w:tcW w:w="13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1,083,882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(172,582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1,255,524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(21,077)</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(21,114</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(70,351)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Adoption of ASU 2020-06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(40,690)</w:t>
            </w:r>
          </w:p>
        </w:tc>
        <w:tc>
          <w:tcPr>
            <w:tcW w:w="0" w:type="dxa"/>
            <w:vAlign w:val="bottom"/>
          </w:tcPr>
          <w:p>
            <w:pPr>
              <w:spacing w:after="0"/>
              <w:rPr>
                <w:sz w:val="1"/>
                <w:szCs w:val="1"/>
                <w:color w:val="auto"/>
              </w:rPr>
            </w:pPr>
          </w:p>
        </w:tc>
      </w:tr>
      <w:tr>
        <w:trPr>
          <w:trHeight w:val="210"/>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1,125,569</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1,143,594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57,218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57,034</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(88,199)</w:t>
            </w:r>
          </w:p>
        </w:tc>
        <w:tc>
          <w:tcPr>
            <w:tcW w:w="12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(88,278)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(104,600)</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1,182,787</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(281,858)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97,722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97,552</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(100,366)</w:t>
            </w:r>
          </w:p>
        </w:tc>
        <w:tc>
          <w:tcPr>
            <w:tcW w:w="12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(100,458)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10,336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300" w:type="dxa"/>
            <w:vAlign w:val="bottom"/>
          </w:tcPr>
          <w:p>
            <w:pPr>
              <w:spacing w:after="0"/>
              <w:rPr>
                <w:sz w:val="13"/>
                <w:szCs w:val="13"/>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1,280,509</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jc w:val="right"/>
              <w:ind w:right="81"/>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jc w:val="right"/>
              <w:ind w:right="81"/>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3"/>
                <w:szCs w:val="13"/>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1,027,243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(382,224</w:t>
            </w: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4"/>
        </w:trPr>
        <w:tc>
          <w:tcPr>
            <w:tcW w:w="8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73,725</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101,784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100,729</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net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 and amortization of debt issuance costs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15,099</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17,464</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96,541</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(205,363)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119,698</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(209,069)</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(2,782)</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400,955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47,254</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5,937</w:t>
            </w:r>
          </w:p>
        </w:tc>
      </w:tr>
      <w:tr>
        <w:trPr>
          <w:trHeight w:val="209"/>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304,340</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(66,058)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0"/>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(70,952)</w:t>
            </w:r>
          </w:p>
        </w:tc>
        <w:tc>
          <w:tcPr>
            <w:tcW w:w="100" w:type="dxa"/>
            <w:vAlign w:val="bottom"/>
          </w:tcPr>
          <w:p>
            <w:pPr>
              <w:spacing w:after="0"/>
              <w:rPr>
                <w:sz w:val="18"/>
                <w:szCs w:val="18"/>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6,443</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(175,296)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from revolving credit agreements</w:t>
            </w: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5,924,100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3,539,100</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revolving credit agreements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(5,581,200)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(3,756,300)</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borrowings (repayments) from short-term debt obligations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(4,754)</w:t>
            </w:r>
          </w:p>
        </w:tc>
      </w:tr>
      <w:tr>
        <w:trPr>
          <w:trHeight w:val="209"/>
        </w:trPr>
        <w:tc>
          <w:tcPr>
            <w:tcW w:w="84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(216,291)</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(82,667)</w:t>
            </w:r>
          </w:p>
        </w:tc>
        <w:tc>
          <w:tcPr>
            <w:tcW w:w="100" w:type="dxa"/>
            <w:vAlign w:val="bottom"/>
            <w:shd w:val="clear" w:color="auto" w:fill="CCEEFF"/>
          </w:tcPr>
          <w:p>
            <w:pPr>
              <w:spacing w:after="0"/>
              <w:rPr>
                <w:sz w:val="18"/>
                <w:szCs w:val="18"/>
                <w:color w:val="auto"/>
              </w:rPr>
            </w:pPr>
          </w:p>
        </w:tc>
      </w:tr>
      <w:tr>
        <w:trPr>
          <w:trHeight w:val="210"/>
        </w:trPr>
        <w:tc>
          <w:tcPr>
            <w:tcW w:w="84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(65,570)</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2,099,508</w:t>
            </w:r>
          </w:p>
        </w:tc>
        <w:tc>
          <w:tcPr>
            <w:tcW w:w="100" w:type="dxa"/>
            <w:vAlign w:val="bottom"/>
            <w:shd w:val="clear" w:color="auto" w:fill="CCEEFF"/>
          </w:tcPr>
          <w:p>
            <w:pPr>
              <w:spacing w:after="0"/>
              <w:rPr>
                <w:sz w:val="18"/>
                <w:szCs w:val="18"/>
                <w:color w:val="auto"/>
              </w:rPr>
            </w:pPr>
          </w:p>
        </w:tc>
      </w:tr>
      <w:tr>
        <w:trPr>
          <w:trHeight w:val="175"/>
        </w:trPr>
        <w:tc>
          <w:tcPr>
            <w:tcW w:w="8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1,878,567</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2,033,938</w:t>
            </w:r>
          </w:p>
        </w:tc>
        <w:tc>
          <w:tcPr>
            <w:tcW w:w="100" w:type="dxa"/>
            <w:vAlign w:val="bottom"/>
            <w:tcBorders>
              <w:bottom w:val="single" w:sz="8" w:color="auto"/>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6"/>
        </w:trPr>
        <w:tc>
          <w:tcPr>
            <w:tcW w:w="8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21,668</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17,226</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28,752</w:t>
            </w: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Worldwide, Inc. (the "Company", "Euronet", "we" and "us")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our audited consolidated financial statements for the year ended December 31, 2021, including the notes thereto, set forth in our 2021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Euronet’s EFT Processing Segment normally experiences its heaviest demand for DCC services during the third quarter of the fiscal year, normally coinciding with the tourism season.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RECENTLY ISSUED AND ADOPTED ACCOUNTING PRONOUNCEMENTS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ASU 2020-06, </w:t>
      </w:r>
      <w:r>
        <w:rPr>
          <w:rFonts w:ascii="Times New Roman" w:cs="Times New Roman" w:eastAsia="Times New Roman" w:hAnsi="Times New Roman"/>
          <w:sz w:val="18"/>
          <w:szCs w:val="18"/>
          <w:i w:val="1"/>
          <w:iCs w:val="1"/>
          <w:color w:val="auto"/>
        </w:rPr>
        <w:t>"Accounting for Convertible Instruments and Contracts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w:t>
      </w:r>
      <w:r>
        <w:rPr>
          <w:rFonts w:ascii="Times New Roman" w:cs="Times New Roman" w:eastAsia="Times New Roman" w:hAnsi="Times New Roman"/>
          <w:sz w:val="18"/>
          <w:szCs w:val="18"/>
          <w:color w:val="auto"/>
        </w:rPr>
        <w:t>which simplifies the accounting for convertible instruments by eliminating certain accounting models when the conversion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We adopted this standard on January 1, 2022 using the modified retrospective approach, which resulted in our Convertible Senior Notes Due 2049 being recognized as a single liability. As a result of the adoption of this standard, we recorded a $99.7 million decrease to additional paid-in capital, a $56.8 million decrease in debt discounts and a $42.9 million increase in retained earnings. The adoption of this standard also impacted our deferred tax liability by decreasing our deferred tax liability by $15.0 million, decreasing retained earnings by $10.6 million, and increasing additional paid-in capital by $25.6 million. Additionally, the elimination of the treasury stock method will increase the number of dilutive shares used in the diluted earnings per share calculation, if dilutive, by 2.8 million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2022 we completed the acquisition of the Merchant Acquiring Business of Piraeus Bank ("PBMA"). The acquisition includes 205,000 POS terminals at 170,000 merchants throughout Greece, as well as Piraeus Bank’s online merchant acquiring business and expands our omnichannel payments strategy where we use our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was €313.8 million, or approximately $346.2 million, which includes $331 million cash paid at closing plus $15.2 million of estimated contingent consideration for a ten-year earnout contingent on performance targets outlined in the commercial framework agreement. The contingent consideration is related to a percentage of the net fee income received during the ten-year period of the commercial framework agreement and there is no contractual maximum amount of consideration under this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accounting for this acquisition is not complete as of September 30, 2022. The purchase price was preliminarily allocated to the assets acquired and liabilities assumed, including identifiable intangible assets, based on their respective provisional fair values at the date of acquisition. Additional time is needed to refine and review the results of the valuation of assets and liabilities. The acquisition has been accounted for as a business combination in accordance with U.S. GAAP and the results of operations have been included from the date of acquisition in the EFT Processing Segment.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the assets acquired and liabilities assumed as of the acquisition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15,</w:t>
            </w:r>
          </w:p>
        </w:tc>
        <w:tc>
          <w:tcPr>
            <w:tcW w:w="0" w:type="dxa"/>
            <w:vAlign w:val="bottom"/>
          </w:tcPr>
          <w:p>
            <w:pPr>
              <w:spacing w:after="0"/>
              <w:rPr>
                <w:sz w:val="1"/>
                <w:szCs w:val="1"/>
                <w:color w:val="auto"/>
              </w:rPr>
            </w:pPr>
          </w:p>
        </w:tc>
      </w:tr>
      <w:tr>
        <w:trPr>
          <w:trHeight w:val="173"/>
        </w:trPr>
        <w:tc>
          <w:tcPr>
            <w:tcW w:w="99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78,718</w:t>
            </w:r>
          </w:p>
        </w:tc>
        <w:tc>
          <w:tcPr>
            <w:tcW w:w="0" w:type="dxa"/>
            <w:vAlign w:val="bottom"/>
          </w:tcPr>
          <w:p>
            <w:pPr>
              <w:spacing w:after="0"/>
              <w:rPr>
                <w:sz w:val="1"/>
                <w:szCs w:val="1"/>
                <w:color w:val="auto"/>
              </w:rPr>
            </w:pPr>
          </w:p>
        </w:tc>
      </w:tr>
      <w:tr>
        <w:trPr>
          <w:trHeight w:val="22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122,455</w:t>
            </w:r>
          </w:p>
        </w:tc>
        <w:tc>
          <w:tcPr>
            <w:tcW w:w="0" w:type="dxa"/>
            <w:vAlign w:val="bottom"/>
          </w:tcPr>
          <w:p>
            <w:pPr>
              <w:spacing w:after="0"/>
              <w:rPr>
                <w:sz w:val="1"/>
                <w:szCs w:val="1"/>
                <w:color w:val="auto"/>
              </w:rPr>
            </w:pPr>
          </w:p>
        </w:tc>
      </w:tr>
      <w:tr>
        <w:trPr>
          <w:trHeight w:val="223"/>
        </w:trPr>
        <w:tc>
          <w:tcPr>
            <w:tcW w:w="9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Settlement liabilities</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66,925</w:t>
            </w:r>
          </w:p>
        </w:tc>
        <w:tc>
          <w:tcPr>
            <w:tcW w:w="0" w:type="dxa"/>
            <w:vAlign w:val="bottom"/>
          </w:tcPr>
          <w:p>
            <w:pPr>
              <w:spacing w:after="0"/>
              <w:rPr>
                <w:sz w:val="1"/>
                <w:szCs w:val="1"/>
                <w:color w:val="auto"/>
              </w:rPr>
            </w:pPr>
          </w:p>
        </w:tc>
      </w:tr>
      <w:tr>
        <w:trPr>
          <w:trHeight w:val="23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5,929</w:t>
            </w:r>
          </w:p>
        </w:tc>
        <w:tc>
          <w:tcPr>
            <w:tcW w:w="0" w:type="dxa"/>
            <w:vAlign w:val="bottom"/>
          </w:tcPr>
          <w:p>
            <w:pPr>
              <w:spacing w:after="0"/>
              <w:rPr>
                <w:sz w:val="1"/>
                <w:szCs w:val="1"/>
                <w:color w:val="auto"/>
              </w:rPr>
            </w:pP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212,183</w:t>
            </w:r>
          </w:p>
        </w:tc>
        <w:tc>
          <w:tcPr>
            <w:tcW w:w="0" w:type="dxa"/>
            <w:vAlign w:val="bottom"/>
          </w:tcPr>
          <w:p>
            <w:pPr>
              <w:spacing w:after="0"/>
              <w:rPr>
                <w:sz w:val="1"/>
                <w:szCs w:val="1"/>
                <w:color w:val="auto"/>
              </w:rPr>
            </w:pPr>
          </w:p>
        </w:tc>
      </w:tr>
      <w:tr>
        <w:trPr>
          <w:trHeight w:val="229"/>
        </w:trPr>
        <w:tc>
          <w:tcPr>
            <w:tcW w:w="99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acquired, liabilities assumed, and consideration transferred were recorded at their estimated fair values on the acquisition date. The fair value measurements of intangible assets were based on significant inputs not observable in the market and represent Level 3 measurements within the fair value hierarchy. Level 3 inputs include discount rates that would be used by a market participant in valuing these assets, projections of revenues and cash flows, and customer attrition rates, among others.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acquired a customer relationship intangible asset with a preliminary fair value of $112.2 million that is being amortized on a straight-line basis over 15 years and a contract related intangible asset of $10.3 million that is being amortized on a straight-line basis over 10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with a preliminary value of $212.2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PBMA operations are included in our consolidated results of operation, as part of our EFT Processing business segment, beginning on March 16, 2022. For the three and nine months ended September 30, 2022, PBMA had $32.6 million and $63.8 million in revenue. The PBMA business is impacted by higher transaction volumes during the tourism season in the second and third quarters.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We record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We use our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210,802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74,897</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credit losses of $30,622 and $27,341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569,517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619,738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208,431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204,130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settlement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1,034,898</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1,102,389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 payables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378,452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656,446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641,254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128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1,048,466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1,420,255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cash</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669,686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411,054</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259,727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188,191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76,674</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1,878,567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7"/>
              </w:rPr>
              <w:t>2,033,938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our common stock, assumed vesting of restricted stock and the assumed conversion of our convertible debt, if such conversion would be dilutive.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earnings and diluted weighted average number of common shares outstanding: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4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gridSpan w:val="6"/>
            <w:vMerge w:val="continue"/>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line="20" w:lineRule="exact"/>
              <w:rPr>
                <w:sz w:val="1"/>
                <w:szCs w:val="1"/>
                <w:color w:val="auto"/>
              </w:rPr>
            </w:pPr>
          </w:p>
        </w:tc>
      </w:t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24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97,722</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163,237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Add: Interest expense from assumed conversion of convertible notes, net of tax</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for diluted earnings per share calculation</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73,882</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166,490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49,583,317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52,829,386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50,345,293</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52,799,199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386,169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1,024,289</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561,689</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1,134,027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2,781,818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2,781,818</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52,751,304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53,853,675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53,688,800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53,933,226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includes all stock options and restricted stock that are dilutive to our weighted average common shares outstanding during the period. The calculation of diluted earnings (loss) per share excludes stock options or shares of restricted stock that are anti-dilutive to our weighted average common shares outstanding of approximately 3,308,000 and 2,849,000 for the three and nine months ended September 30, 2022 and 770,000 and 751,000 for the three and nine months ended September 30, 2021, respectively.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issued Convertible Senior Notes ("Convertible Notes") due March 2049 on March 18, 2019. Our Convertible Notes currently have a settlement feature requiring us upon conversion to settle the principal amount of the debt and any conversion value in excess of the principal value ("conversion premium"), for cash or shares of our common stock or a combination thereof, at our option. We have stated our intent to settle any conversion of these notes by paying cash for the principal value and issuing common stock for any conversion premium; however, after adopting ASU 2020-06, 2.8 million incremental shares assumed for conversion of convertible notes shall be included in the dilutive earnings per share calculation, if dilutive, regardless of whether the market price trigger has been met. Therefore, our Convertible Notes were included in the calculation of diluted earnings (loss) per share if their inclusion was dilutive. The dilutive effect increases the more the market price exceeds the conversion price of $188.73 per share. See Note 9, Debt Obligations, to the consolidated financial statements for more information about the Convertible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26, 2020, we put a repurchase program in place to repurchase up to $250 million in value, but not more than 5.0 million shares of common stock through February 28, 2022. On December 8, 2021, we put a repurchase program in place to repurchase up to $300 million in value, but not more than 5.0 million shares of common stock through December 8, 2023. Under the repurchase programs we repurchased $0 million and $175.0 million of stock, for the three and nine months ended September 30, 2022, respectively. Repurchases under the current program may take place in the open market or in privately negotiated transactions, including derivative transactions, and may be made under a Rule 10b5-1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consists entirely of foreign currency translation adjustments. We recorded foreign currency translation losses of $100.5 million and $209.9 million for the three and nine months ended September 30, 2022, respectively, and losses of $29.7 million and $59.9 million for the three and nine months ended September 30, 2021. There were no reclassifications of foreign currency translation into the consolidated statements of income for the three and nine months ended September 30, 2022 and 2021.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nine months ended September 30, 2022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0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641,605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122,455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212,183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(20,164)</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(20,164)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(19,827)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(89,008)</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(108,835)</w:t>
            </w:r>
          </w:p>
        </w:tc>
        <w:tc>
          <w:tcPr>
            <w:tcW w:w="0" w:type="dxa"/>
            <w:vAlign w:val="bottom"/>
          </w:tcPr>
          <w:p>
            <w:pPr>
              <w:spacing w:after="0"/>
              <w:rPr>
                <w:sz w:val="1"/>
                <w:szCs w:val="1"/>
                <w:color w:val="auto"/>
              </w:rPr>
            </w:pPr>
          </w:p>
        </w:tc>
      </w:tr>
      <w:tr>
        <w:trPr>
          <w:trHeight w:val="210"/>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180,257</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764,780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goodwill balance of $764.8 million as of September 30, 2022, $351.3 million relates to the Money Transfer Segment, $298.6 million relates to the EFT Processing Segment and the remaining $114.9 million relates to the epay Segment. Estimated amortization expense on acquired intangible assets with finite lives as of September 30, 2022, is expected to total $6.6 million for the remainder of 2022, $22.3 million for 2023, $16.6 million for 2024, $13.6 million for 2025, $13.3 million for 2026 and $12.1 million for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3"/>
        </w:trPr>
        <w:tc>
          <w:tcPr>
            <w:tcW w:w="8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348,219</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85,799</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23,285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57,827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55,162</w:t>
            </w:r>
          </w:p>
        </w:tc>
        <w:tc>
          <w:tcPr>
            <w:tcW w:w="0" w:type="dxa"/>
            <w:vAlign w:val="bottom"/>
          </w:tcPr>
          <w:p>
            <w:pPr>
              <w:spacing w:after="0"/>
              <w:rPr>
                <w:sz w:val="1"/>
                <w:szCs w:val="1"/>
                <w:color w:val="auto"/>
              </w:rPr>
            </w:pPr>
          </w:p>
        </w:tc>
      </w:tr>
      <w:tr>
        <w:trPr>
          <w:trHeight w:val="216"/>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10"/>
        </w:trPr>
        <w:tc>
          <w:tcPr>
            <w:tcW w:w="8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our performance. The decrease in the deferred revenue balance for the nine months ended September 30, 2022 is the result of $26.0 million of cash payments received in the current year for which we have not yet satisfied the performance obligations, offset by $43.9 million of revenues recognized that were included in the deferred revenue balance as of December 31,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0"/>
                <w:szCs w:val="10"/>
                <w:color w:val="auto"/>
              </w:rPr>
            </w:pPr>
          </w:p>
        </w:tc>
        <w:tc>
          <w:tcPr>
            <w:tcW w:w="13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326,300</w:t>
            </w:r>
          </w:p>
        </w:tc>
        <w:tc>
          <w:tcPr>
            <w:tcW w:w="10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283,400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Uncommitted credit agreement</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468,235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682,080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(303,549)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0"/>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2022, the Company amended its revolving credit agreement (the “Credit Facility”) to increase the facility from $1.0 billion to $1.25 billion and to extend the expiration to October 24, 2027.</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facility contains a sublimit of up to $250 million, with $150 million committed, for the issuance of letters of credit and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initially 1.25% including the facility fee.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September 30,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Agreements</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On May 25, 2022, the Company entered into an Uncommitted Credit Agreement for $300 million, fully drawn and outstanding at September 30, 2022, for the sole purpose of providing vault cash for ATMs, that expires no later than November 30, 2022. Each loan bears interest at the rate per annum equal to the secured overnight financing rate (“SOFR”) plus 1.00%. The weighted-average interest rate from the loan inception date to September 30, 2022 was 2.70%.</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2022, the Company entered into an Uncommitted Loan Agreement for $150 million, for the sole purpose of providing vault cash for ATMs, that expires no later than June 23, 2023. The loan had no balance at September 30, 2022. Each loan was either a Prime rate loan, a Bloomberg Short-term Bank Yield ("BSBY") rate loan or bears interest at the rate agreed to by the bank and the Company at the time such loan is made. The weighted-average interest rate from the loan inception date to September 30, 2022 was 2.76%.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ectPr>
          <w:pgSz w:w="11900" w:h="16838" w:orient="portrait"/>
          <w:cols w:equalWidth="0" w:num="1">
            <w:col w:w="11240"/>
          </w:cols>
          <w:pgMar w:left="320" w:top="333"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Prior to the adoption of ASU 2020-06 as of January 1, 2022, in accordance with ASC 470-20-30-27, proceeds from the issuance of convertible debt was allocated between debt and equity components so that debt was discounted to reflect our nonconvertible debt borrowing rate. ASC 470-20-35-13 required the debt discount to be amortized over the period the convertible debt was expected to be outstanding as additional non-cash interest expense. The allocation resulted in an increase to additional paid-in capital of $99.7 million for the Convertible Notes. Contractual interest expense for the Convertible Notes was $4.0 million and $9.0 million for the three and nine months ended September 30, 2022, respectively. Accretion expense for the Convertible Notes was $4.0 million and $11.9 million for the three and nine months ended September 30, 2021. See Footnote 2, </w:t>
      </w:r>
      <w:r>
        <w:rPr>
          <w:rFonts w:ascii="Times New Roman" w:cs="Times New Roman" w:eastAsia="Times New Roman" w:hAnsi="Times New Roman"/>
          <w:sz w:val="18"/>
          <w:szCs w:val="18"/>
          <w:i w:val="1"/>
          <w:iCs w:val="1"/>
          <w:color w:val="auto"/>
        </w:rPr>
        <w:t>Recently Issued and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Pronouncements, </w:t>
      </w:r>
      <w:r>
        <w:rPr>
          <w:rFonts w:ascii="Times New Roman" w:cs="Times New Roman" w:eastAsia="Times New Roman" w:hAnsi="Times New Roman"/>
          <w:sz w:val="18"/>
          <w:szCs w:val="18"/>
          <w:color w:val="auto"/>
        </w:rPr>
        <w:t>for more information regarding this adoption.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1.375% </w:t>
      </w:r>
      <w:r>
        <w:rPr>
          <w:rFonts w:ascii="Times New Roman" w:cs="Times New Roman" w:eastAsia="Times New Roman" w:hAnsi="Times New Roman"/>
          <w:sz w:val="18"/>
          <w:szCs w:val="18"/>
          <w:i w:val="1"/>
          <w:iCs w:val="1"/>
          <w:color w:val="auto"/>
        </w:rPr>
        <w:t>Senior Notes due</w:t>
      </w:r>
      <w:r>
        <w:rPr>
          <w:rFonts w:ascii="Times New Roman" w:cs="Times New Roman" w:eastAsia="Times New Roman" w:hAnsi="Times New Roman"/>
          <w:sz w:val="18"/>
          <w:szCs w:val="18"/>
          <w:color w:val="auto"/>
        </w:rPr>
        <w:t xml:space="preserve"> 2026</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2019, the Company completed the sale of €600 million ($669.9 million) aggregate principal amount of Senior Notes that are due in May 2026 (the “Senior Notes”). The Senior Notes accrue interest at a rate of 1.375% per year, payable annually in arrears commencing May 22, 2020, until maturity or earlier redemption. As of September 30, 2022, the Company has outstanding €600 million ($588.4 million) principal amount of the Senior Notes. In addition, the Company may redeem some or all of these notes on or after February 22, 2026 at their principal amount plus any accrued and unpaid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As of September 30, 2022 and December 31, 2021, borrowings under these arrangements were $3.6 million and $0.9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had unamortized debt issuance costs of $1.5 million for the Credit Facility, $5.3 million for the Convertible Notes and $4.4 million for the Senior Notes that will be amortized through October 2023, March 2025 and May 2026, respectively.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$415.8 million and $222.1 million as of September 30, 2022 and December 31, 2021, respectively. The foreign currency forward contracts consist primarily in Australian dollars, Canadian dollars, British pounds sterling, euro and Mexican pesos.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$7.4 million and $216.1 million as of September 30, 2022 and December 31, 2021, respectively, primarily in euro.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$22.3 million and $66.5 million for the three and nine months ended September 30, 2022, respectively, compared to $20.1 million and $58.5 million for the same periods in 2021, respectively. All of the derivative contracts used in the Company's xe operations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duration of these derivative contracts is generally less than one year.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currency derivative customer contracts held by the Company in its xe operations was approximately $1.0 billion as of September 30, 2022 and December 31, 2021. The significant majority of customer contracts are written in major currencies such as the euro, U.S. dollar, British pounds sterling, Australian dollar and New Zealand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360" w:type="dxa"/>
            <w:vAlign w:val="bottom"/>
            <w:tcBorders>
              <w:bottom w:val="single" w:sz="8" w:color="auto"/>
            </w:tcBorders>
            <w:gridSpan w:val="5"/>
          </w:tcPr>
          <w:p>
            <w:pPr>
              <w:ind w:left="158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80" w:type="dxa"/>
            <w:vAlign w:val="bottom"/>
          </w:tcPr>
          <w:p>
            <w:pPr>
              <w:jc w:val="right"/>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2080" w:type="dxa"/>
            <w:vAlign w:val="bottom"/>
            <w:vMerge w:val="restart"/>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960" w:type="dxa"/>
            <w:vAlign w:val="bottom"/>
          </w:tcPr>
          <w:p>
            <w:pPr>
              <w:jc w:val="center"/>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900" w:type="dxa"/>
            <w:vAlign w:val="bottom"/>
            <w:gridSpan w:val="2"/>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7"/>
        </w:trPr>
        <w:tc>
          <w:tcPr>
            <w:tcW w:w="28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current assets  $</w:t>
            </w: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92,079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60" w:type="dxa"/>
            <w:vAlign w:val="bottom"/>
          </w:tcPr>
          <w:p>
            <w:pPr>
              <w:spacing w:after="0"/>
              <w:rPr>
                <w:sz w:val="20"/>
                <w:szCs w:val="20"/>
                <w:color w:val="auto"/>
              </w:rPr>
            </w:pPr>
          </w:p>
        </w:tc>
        <w:tc>
          <w:tcPr>
            <w:tcW w:w="208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(85,799)</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September 30, 2022 and December 31, 2021 (in thousands):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53"/>
        </w:trPr>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gridSpan w:val="4"/>
          </w:tcPr>
          <w:p>
            <w:pPr>
              <w:jc w:val="right"/>
              <w:ind w:right="219"/>
              <w:spacing w:after="0" w:line="153" w:lineRule="exact"/>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5"/>
                <w:szCs w:val="15"/>
                <w:color w:val="auto"/>
              </w:rPr>
            </w:pPr>
          </w:p>
        </w:tc>
        <w:tc>
          <w:tcPr>
            <w:tcW w:w="114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3400" w:type="dxa"/>
            <w:vAlign w:val="bottom"/>
            <w:gridSpan w:val="2"/>
            <w:vMerge w:val="continue"/>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6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28,012</w:t>
            </w:r>
          </w:p>
        </w:tc>
        <w:tc>
          <w:tcPr>
            <w:tcW w:w="0" w:type="dxa"/>
            <w:vAlign w:val="bottom"/>
          </w:tcPr>
          <w:p>
            <w:pPr>
              <w:spacing w:after="0"/>
              <w:rPr>
                <w:sz w:val="1"/>
                <w:szCs w:val="1"/>
                <w:color w:val="auto"/>
              </w:rPr>
            </w:pPr>
          </w:p>
        </w:tc>
      </w:tr>
      <w:tr>
        <w:trPr>
          <w:trHeight w:val="324"/>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6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5"/>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5"/>
                <w:szCs w:val="15"/>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60" w:type="dxa"/>
            <w:vAlign w:val="bottom"/>
          </w:tcPr>
          <w:p>
            <w:pPr>
              <w:spacing w:after="0"/>
              <w:rPr>
                <w:sz w:val="15"/>
                <w:szCs w:val="15"/>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3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w:t>
            </w:r>
          </w:p>
        </w:tc>
        <w:tc>
          <w:tcPr>
            <w:tcW w:w="0" w:type="dxa"/>
            <w:vAlign w:val="bottom"/>
          </w:tcPr>
          <w:p>
            <w:pPr>
              <w:spacing w:after="0"/>
              <w:rPr>
                <w:sz w:val="1"/>
                <w:szCs w:val="1"/>
                <w:color w:val="auto"/>
              </w:rPr>
            </w:pPr>
          </w:p>
        </w:tc>
      </w:tr>
      <w:tr>
        <w:trPr>
          <w:trHeight w:val="499"/>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Fair Value Measurements, for the determination of the fair values of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losses on derivatives in the Consolidated Statements of Income for the three and nine months ended September 30, 2022 and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gridSpan w:val="10"/>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Amount of Gain (Loss) Recognized in Income on Derivative Contracts (a)</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20" w:type="dxa"/>
            <w:vAlign w:val="bottom"/>
          </w:tcPr>
          <w:p>
            <w:pPr>
              <w:spacing w:after="0"/>
              <w:rPr>
                <w:sz w:val="10"/>
                <w:szCs w:val="10"/>
                <w:color w:val="auto"/>
              </w:rPr>
            </w:pPr>
          </w:p>
        </w:tc>
        <w:tc>
          <w:tcPr>
            <w:tcW w:w="2620" w:type="dxa"/>
            <w:vAlign w:val="bottom"/>
            <w:gridSpan w:val="5"/>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Pr>
          <w:p>
            <w:pPr>
              <w:spacing w:after="0"/>
              <w:rPr>
                <w:sz w:val="10"/>
                <w:szCs w:val="10"/>
                <w:color w:val="auto"/>
              </w:rPr>
            </w:pPr>
          </w:p>
        </w:tc>
        <w:tc>
          <w:tcPr>
            <w:tcW w:w="1660" w:type="dxa"/>
            <w:vAlign w:val="bottom"/>
            <w:gridSpan w:val="3"/>
          </w:tcPr>
          <w:p>
            <w:pPr>
              <w:jc w:val="center"/>
              <w:ind w:left="32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620" w:type="dxa"/>
            <w:vAlign w:val="bottom"/>
            <w:gridSpan w:val="3"/>
            <w:vMerge w:val="restart"/>
          </w:tcPr>
          <w:p>
            <w:pPr>
              <w:jc w:val="center"/>
              <w:ind w:left="5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gridSpan w:val="3"/>
            <w:vMerge w:val="restart"/>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3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3"/>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3"/>
            <w:vMerge w:val="continue"/>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vMerge w:val="restart"/>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line="20" w:lineRule="exact"/>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Foreign currency</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 - Ria</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exchange gain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-80645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80" w:right="60"/>
        <w:spacing w:after="0" w:line="250"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-234315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80" w:right="60"/>
        <w:spacing w:after="0" w:line="260"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-245110</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1"/>
                <w:szCs w:val="11"/>
                <w:color w:val="auto"/>
              </w:rPr>
            </w:pPr>
          </w:p>
        </w:tc>
        <w:tc>
          <w:tcPr>
            <w:tcW w:w="13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80" w:type="dxa"/>
            <w:vAlign w:val="bottom"/>
          </w:tcPr>
          <w:p>
            <w:pPr>
              <w:spacing w:after="0"/>
              <w:rPr>
                <w:sz w:val="11"/>
                <w:szCs w:val="11"/>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vMerge w:val="restart"/>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92,079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92,079</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(85,799)</w:t>
            </w:r>
          </w:p>
        </w:tc>
        <w:tc>
          <w:tcPr>
            <w:tcW w:w="0" w:type="dxa"/>
            <w:vAlign w:val="bottom"/>
          </w:tcPr>
          <w:p>
            <w:pPr>
              <w:spacing w:after="0"/>
              <w:rPr>
                <w:sz w:val="1"/>
                <w:szCs w:val="1"/>
                <w:color w:val="auto"/>
              </w:rPr>
            </w:pPr>
          </w:p>
        </w:tc>
      </w:tr>
      <w:tr>
        <w:trPr>
          <w:trHeight w:val="398"/>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1"/>
                <w:szCs w:val="11"/>
                <w:color w:val="auto"/>
              </w:rPr>
            </w:pPr>
          </w:p>
        </w:tc>
        <w:tc>
          <w:tcPr>
            <w:tcW w:w="13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80" w:type="dxa"/>
            <w:vAlign w:val="bottom"/>
          </w:tcPr>
          <w:p>
            <w:pPr>
              <w:spacing w:after="0"/>
              <w:rPr>
                <w:sz w:val="11"/>
                <w:szCs w:val="11"/>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vMerge w:val="restart"/>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27,582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Disclosures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September 30, 2022 was based on LIBOR that reset at various intervals of less than one year. The Company estimates the fair value of the Convertible Notes and Senior Notes using quoted prices in inactive markets for identical liabilities (Level 2). </w:t>
      </w:r>
      <w:r>
        <w:rPr>
          <w:rFonts w:ascii="Times New Roman" w:cs="Times New Roman" w:eastAsia="Times New Roman" w:hAnsi="Times New Roman"/>
          <w:sz w:val="18"/>
          <w:szCs w:val="18"/>
          <w:color w:val="252525"/>
        </w:rPr>
        <w:t>As of September 30, 2022,</w:t>
      </w:r>
      <w:r>
        <w:rPr>
          <w:rFonts w:ascii="Times New Roman" w:cs="Times New Roman" w:eastAsia="Times New Roman" w:hAnsi="Times New Roman"/>
          <w:sz w:val="18"/>
          <w:szCs w:val="18"/>
          <w:color w:val="auto"/>
        </w:rPr>
        <w:t xml:space="preserve"> the fair values of the Convertible Notes and Senior Notes were $503.9 million and $503.7 million, respectively, with carrying values of $525.0 million and $588.4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41"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8"/>
          <w:szCs w:val="18"/>
          <w:color w:val="auto"/>
        </w:rPr>
        <w:t xml:space="preserve">Our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currently operate in the following three reportable operating segments:</w:t>
      </w:r>
    </w:p>
    <w:p>
      <w:pPr>
        <w:spacing w:after="0" w:line="147" w:lineRule="exact"/>
        <w:rPr>
          <w:sz w:val="20"/>
          <w:szCs w:val="20"/>
          <w:color w:val="auto"/>
        </w:rPr>
      </w:pPr>
    </w:p>
    <w:p>
      <w:pPr>
        <w:jc w:val="both"/>
        <w:ind w:firstLine="278"/>
        <w:spacing w:after="0" w:line="277" w:lineRule="auto"/>
        <w:tabs>
          <w:tab w:leader="none" w:pos="4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we process transactions for a network of ATMs and POS terminals across Europe, the Middle East, Africa, Asia Pacific and the United States. We provide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 added services. Through this segment, we also offer a suite of integrated electronic financial transaction software solutions for electronic payment and transaction delivery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9" w:name="page20"/>
    <w:bookmarkEnd w:id="19"/>
    <w:p>
      <w:pPr>
        <w:ind w:firstLine="278"/>
        <w:spacing w:after="0" w:line="313" w:lineRule="auto"/>
        <w:tabs>
          <w:tab w:leader="none" w:pos="4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we provide distribution, processing and collection services for electronic payment products, and prepaid mobile airtime in Europe, the Middle East, Asia Pacific, the U.S., South America and North America.</w:t>
      </w:r>
    </w:p>
    <w:p>
      <w:pPr>
        <w:spacing w:after="0" w:line="148" w:lineRule="exact"/>
        <w:rPr>
          <w:rFonts w:ascii="Times New Roman" w:cs="Times New Roman" w:eastAsia="Times New Roman" w:hAnsi="Times New Roman"/>
          <w:sz w:val="18"/>
          <w:szCs w:val="18"/>
          <w:color w:val="auto"/>
        </w:rPr>
      </w:pPr>
    </w:p>
    <w:p>
      <w:pPr>
        <w:jc w:val="both"/>
        <w:ind w:firstLine="278"/>
        <w:spacing w:after="0" w:line="276" w:lineRule="auto"/>
        <w:tabs>
          <w:tab w:leader="none" w:pos="4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we provide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We also offer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we account for non-operating activity, share-based compensation expense, certain intersegment eliminations and the costs of providing corporate and other administrative services in our administrative division, "Corporate Services, Eliminations and Other." These services are not directly identifiable with our reportable operating segments.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reportable segment results for the three and nine months ended September 30,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319,466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248,923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364,841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931,266</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137,812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526,048</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134,471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69,508</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32,781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203,070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219,789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324,299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762,808</w:t>
            </w:r>
          </w:p>
        </w:tc>
        <w:tc>
          <w:tcPr>
            <w:tcW w:w="0" w:type="dxa"/>
            <w:vAlign w:val="bottom"/>
          </w:tcPr>
          <w:p>
            <w:pPr>
              <w:spacing w:after="0"/>
              <w:rPr>
                <w:sz w:val="1"/>
                <w:szCs w:val="1"/>
                <w:color w:val="auto"/>
              </w:rPr>
            </w:pPr>
          </w:p>
        </w:tc>
      </w:tr>
      <w:tr>
        <w:trPr>
          <w:trHeight w:val="257"/>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116,396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29,134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40,542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168,458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227,129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238,319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353,451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816,560</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484,438</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119,421</w:t>
            </w: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64,298</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33,909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212,365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702,066</w:t>
            </w:r>
          </w:p>
        </w:tc>
        <w:tc>
          <w:tcPr>
            <w:tcW w:w="0" w:type="dxa"/>
            <w:vAlign w:val="bottom"/>
          </w:tcPr>
          <w:p>
            <w:pPr>
              <w:spacing w:after="0"/>
              <w:rPr>
                <w:sz w:val="1"/>
                <w:szCs w:val="1"/>
                <w:color w:val="auto"/>
              </w:rPr>
            </w:pPr>
          </w:p>
        </w:tc>
      </w:tr>
      <w:tr>
        <w:trPr>
          <w:trHeight w:val="257"/>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63,202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25,954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37,505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114,494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714,067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712,467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1,072,266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2,493,042</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354,907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542,066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593,631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1,484,863</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82,957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392,544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207,613</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101,784</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549,308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632,742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957,747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2,186,804</w:t>
            </w:r>
          </w:p>
        </w:tc>
        <w:tc>
          <w:tcPr>
            <w:tcW w:w="0" w:type="dxa"/>
            <w:vAlign w:val="bottom"/>
          </w:tcPr>
          <w:p>
            <w:pPr>
              <w:spacing w:after="0"/>
              <w:rPr>
                <w:sz w:val="1"/>
                <w:szCs w:val="1"/>
                <w:color w:val="auto"/>
              </w:rPr>
            </w:pPr>
          </w:p>
        </w:tc>
      </w:tr>
      <w:tr>
        <w:trPr>
          <w:trHeight w:val="257"/>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164,759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79,725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114,519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306,238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427,687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724,540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1,037,659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2,183,916</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258,614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547,828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589,273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1,389,770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71,334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59,248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188,535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356,160</w:t>
            </w: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182,193</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66,907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100,729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429,917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642,194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920,669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36,072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2,028,852</w:t>
            </w:r>
          </w:p>
        </w:tc>
        <w:tc>
          <w:tcPr>
            <w:tcW w:w="0" w:type="dxa"/>
            <w:vAlign w:val="bottom"/>
          </w:tcPr>
          <w:p>
            <w:pPr>
              <w:spacing w:after="0"/>
              <w:rPr>
                <w:sz w:val="1"/>
                <w:szCs w:val="1"/>
                <w:color w:val="auto"/>
              </w:rPr>
            </w:pPr>
          </w:p>
        </w:tc>
      </w:tr>
      <w:tr>
        <w:trPr>
          <w:trHeight w:val="257"/>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82,346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116,990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155,064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total assets by reportable segment: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4080" w:type="dxa"/>
            <w:vAlign w:val="bottom"/>
          </w:tcPr>
          <w:p>
            <w:pPr>
              <w:spacing w:after="0"/>
              <w:rPr>
                <w:sz w:val="21"/>
                <w:szCs w:val="21"/>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9"/>
        </w:trPr>
        <w:tc>
          <w:tcPr>
            <w:tcW w:w="4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4400" w:type="dxa"/>
            <w:vAlign w:val="bottom"/>
            <w:tcBorders>
              <w:top w:val="single" w:sz="8" w:color="auto"/>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2,101,595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1,682,680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4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760,088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1,234,074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4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1,660,050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1,621,726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4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306,094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205,796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4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4,827,827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4,744,276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revenues disaggregated by segment and region. Sales and usage-based taxes are excluded from revenues. We believe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7"/>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1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epay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left="14"/>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epay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267,017</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144,008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577,990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563,491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457,651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432,678</w:t>
            </w: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1,453,820</w:t>
            </w:r>
          </w:p>
        </w:tc>
        <w:tc>
          <w:tcPr>
            <w:tcW w:w="0" w:type="dxa"/>
            <w:vAlign w:val="bottom"/>
          </w:tcPr>
          <w:p>
            <w:pPr>
              <w:spacing w:after="0"/>
              <w:rPr>
                <w:sz w:val="1"/>
                <w:szCs w:val="1"/>
                <w:color w:val="auto"/>
              </w:rPr>
            </w:pPr>
          </w:p>
        </w:tc>
      </w:tr>
      <w:tr>
        <w:trPr>
          <w:trHeight w:val="27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32,934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180,796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230,971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51,044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98,538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519,185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668,767</w:t>
            </w:r>
          </w:p>
        </w:tc>
        <w:tc>
          <w:tcPr>
            <w:tcW w:w="0" w:type="dxa"/>
            <w:vAlign w:val="bottom"/>
          </w:tcPr>
          <w:p>
            <w:pPr>
              <w:spacing w:after="0"/>
              <w:rPr>
                <w:sz w:val="1"/>
                <w:szCs w:val="1"/>
                <w:color w:val="auto"/>
              </w:rPr>
            </w:pPr>
          </w:p>
        </w:tc>
      </w:tr>
      <w:tr>
        <w:trPr>
          <w:trHeight w:val="270"/>
        </w:trPr>
        <w:tc>
          <w:tcPr>
            <w:tcW w:w="2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97,883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96,821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118,636</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296,126</w:t>
            </w:r>
          </w:p>
        </w:tc>
        <w:tc>
          <w:tcPr>
            <w:tcW w:w="0" w:type="dxa"/>
            <w:vAlign w:val="bottom"/>
          </w:tcPr>
          <w:p>
            <w:pPr>
              <w:spacing w:after="0"/>
              <w:rPr>
                <w:sz w:val="1"/>
                <w:szCs w:val="1"/>
                <w:color w:val="auto"/>
              </w:rPr>
            </w:pPr>
          </w:p>
        </w:tc>
      </w:tr>
      <w:tr>
        <w:trPr>
          <w:trHeight w:val="27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26,386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2,711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37,642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80,087</w:t>
            </w:r>
          </w:p>
        </w:tc>
        <w:tc>
          <w:tcPr>
            <w:tcW w:w="0" w:type="dxa"/>
            <w:vAlign w:val="bottom"/>
          </w:tcPr>
          <w:p>
            <w:pPr>
              <w:spacing w:after="0"/>
              <w:rPr>
                <w:sz w:val="1"/>
                <w:szCs w:val="1"/>
                <w:color w:val="auto"/>
              </w:rPr>
            </w:pPr>
          </w:p>
        </w:tc>
      </w:tr>
      <w:tr>
        <w:trPr>
          <w:trHeight w:val="270"/>
        </w:trPr>
        <w:tc>
          <w:tcPr>
            <w:tcW w:w="2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319,466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248,923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364,841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931,266</w:t>
            </w:r>
          </w:p>
        </w:tc>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714,067</w:t>
            </w:r>
          </w:p>
        </w:tc>
        <w:tc>
          <w:tcPr>
            <w:tcW w:w="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712,467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1,072,266</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2,493,042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6"/>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9"/>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epay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epay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183,163</w:t>
            </w:r>
          </w:p>
        </w:tc>
        <w:tc>
          <w:tcPr>
            <w:tcW w:w="5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150,465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145,813</w:t>
            </w:r>
          </w:p>
        </w:tc>
        <w:tc>
          <w:tcPr>
            <w:tcW w:w="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479,441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303,134</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428,258</w:t>
            </w: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1,207,325</w:t>
            </w:r>
          </w:p>
        </w:tc>
        <w:tc>
          <w:tcPr>
            <w:tcW w:w="0" w:type="dxa"/>
            <w:vAlign w:val="bottom"/>
          </w:tcPr>
          <w:p>
            <w:pPr>
              <w:spacing w:after="0"/>
              <w:rPr>
                <w:sz w:val="1"/>
                <w:szCs w:val="1"/>
                <w:color w:val="auto"/>
              </w:rPr>
            </w:pPr>
          </w:p>
        </w:tc>
      </w:tr>
      <w:tr>
        <w:trPr>
          <w:trHeight w:val="27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spacing w:after="0"/>
              <w:rPr>
                <w:sz w:val="23"/>
                <w:szCs w:val="23"/>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35,876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169,473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221,690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492,099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642,427</w:t>
            </w:r>
          </w:p>
        </w:tc>
        <w:tc>
          <w:tcPr>
            <w:tcW w:w="0" w:type="dxa"/>
            <w:vAlign w:val="bottom"/>
          </w:tcPr>
          <w:p>
            <w:pPr>
              <w:spacing w:after="0"/>
              <w:rPr>
                <w:sz w:val="1"/>
                <w:szCs w:val="1"/>
                <w:color w:val="auto"/>
              </w:rPr>
            </w:pPr>
          </w:p>
        </w:tc>
      </w:tr>
      <w:tr>
        <w:trPr>
          <w:trHeight w:val="270"/>
        </w:trPr>
        <w:tc>
          <w:tcPr>
            <w:tcW w:w="2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CEEFF"/>
          </w:tcPr>
          <w:p>
            <w:pPr>
              <w:spacing w:after="0"/>
              <w:rPr>
                <w:sz w:val="23"/>
                <w:szCs w:val="23"/>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39,303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91,272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111,998</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79,581</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269,689</w:t>
            </w:r>
          </w:p>
        </w:tc>
        <w:tc>
          <w:tcPr>
            <w:tcW w:w="0" w:type="dxa"/>
            <w:vAlign w:val="bottom"/>
          </w:tcPr>
          <w:p>
            <w:pPr>
              <w:spacing w:after="0"/>
              <w:rPr>
                <w:sz w:val="1"/>
                <w:szCs w:val="1"/>
                <w:color w:val="auto"/>
              </w:rPr>
            </w:pPr>
          </w:p>
        </w:tc>
      </w:tr>
      <w:tr>
        <w:trPr>
          <w:trHeight w:val="27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12,675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26,496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37,721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70,445</w:t>
            </w:r>
          </w:p>
        </w:tc>
        <w:tc>
          <w:tcPr>
            <w:tcW w:w="0" w:type="dxa"/>
            <w:vAlign w:val="bottom"/>
          </w:tcPr>
          <w:p>
            <w:pPr>
              <w:spacing w:after="0"/>
              <w:rPr>
                <w:sz w:val="1"/>
                <w:szCs w:val="1"/>
                <w:color w:val="auto"/>
              </w:rPr>
            </w:pPr>
          </w:p>
        </w:tc>
      </w:tr>
      <w:tr>
        <w:trPr>
          <w:trHeight w:val="270"/>
        </w:trPr>
        <w:tc>
          <w:tcPr>
            <w:tcW w:w="2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64"/>
        </w:trPr>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227,129</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238,319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353,451</w:t>
            </w:r>
          </w:p>
        </w:tc>
        <w:tc>
          <w:tcPr>
            <w:tcW w:w="8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816,560</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427,687</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724,540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1,037,659</w:t>
            </w: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2,183,916</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effective income tax rate was 31.1% and 33.5% for the three and nine months ended </w:t>
      </w:r>
      <w:r>
        <w:rPr>
          <w:rFonts w:ascii="Times New Roman" w:cs="Times New Roman" w:eastAsia="Times New Roman" w:hAnsi="Times New Roman"/>
          <w:sz w:val="18"/>
          <w:szCs w:val="18"/>
          <w:color w:val="252525"/>
        </w:rPr>
        <w:t>September 30, 2022</w:t>
      </w:r>
      <w:r>
        <w:rPr>
          <w:rFonts w:ascii="Times New Roman" w:cs="Times New Roman" w:eastAsia="Times New Roman" w:hAnsi="Times New Roman"/>
          <w:sz w:val="18"/>
          <w:szCs w:val="18"/>
          <w:color w:val="auto"/>
        </w:rPr>
        <w:t xml:space="preserve">, respectively, compared to 23.6% and 35.8% for the three and nine months ended September 30, 2021, respectively. The Company's effective income tax rate for the three and nine months ended </w:t>
      </w:r>
      <w:r>
        <w:rPr>
          <w:rFonts w:ascii="Times New Roman" w:cs="Times New Roman" w:eastAsia="Times New Roman" w:hAnsi="Times New Roman"/>
          <w:sz w:val="18"/>
          <w:szCs w:val="18"/>
          <w:color w:val="252525"/>
        </w:rPr>
        <w:t>September 30, 2022</w:t>
      </w:r>
      <w:r>
        <w:rPr>
          <w:rFonts w:ascii="Times New Roman" w:cs="Times New Roman" w:eastAsia="Times New Roman" w:hAnsi="Times New Roman"/>
          <w:sz w:val="18"/>
          <w:szCs w:val="18"/>
          <w:color w:val="auto"/>
        </w:rPr>
        <w:t xml:space="preserve"> was higher than the applicable statutory income tax rate of 21% as a result of certain foreign earnings being subject to higher local statutory tax rates and the Company's U.S. deferred tax activity on foreign exchange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had $78.6 million of stand-by letters of credit/bank guarantees issued on our behalf, of which $50.9 million are outstanding under the Credit Facility. The remaining stand-by letters of credit/bank guarantees are collateralized by $3.0 million of cash deposits held by the respective issuing banks.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we grant guarantees in support of obligations of subsidiaries. As of September 30, 2022, we had granted off balance sheet guarantees for cash in various ATM networks amounting to $9.9 million over the terms of the cash supply agreements and performance guarantees amounting to approximately $41.6 million over the terms of agreements with our customers.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agreements with commercial counterparties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39"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we are responsible for damage to ATMs and theft of ATM network cash. As of September 30, 2022, the balance of such cash used in our ATM networks for which we were responsible was approximately $367.0 million. We maintain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we are responsible for losses suffered by our customers and other parties as a result of the breach of our computer systems, including in particular, losses arising from fraudulent transactions made using information stolen through our processing systems. We maintain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We have entered into purchase and service agreements with vendors and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acquisitions and dispositions of subsidiaries, operating units and business assets, we have entered into agreements containing indemnification provisions, which can be generally described as follows: (i) in connection with acquisitions of operating units or assets made by us, we have agreed to indemnify the seller against third party claims made against the seller relating to the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-782320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We have entered into agreements with certain third parties, including banks that provide fiduciary and other services to us or our benefit plans. Under such agreements, we have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required to meet minimum capitalization and cash requirements of various regulatory authorities in the jurisdictions in which we have operations. We have obtained surety bonds in compliance with money transfer licensing requirements of the applicable governmental authorities.</w:t>
      </w:r>
    </w:p>
    <w:p>
      <w:pPr>
        <w:spacing w:after="0" w:line="162"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To date, we are not aware of any significant claims made by the indemnified parties or third parties to guarantee agreements with us and, accordingly, no liabilities were recorded as of September 30, 2022 or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legal or regulatory proceedings arising in the ordinary course of our business. Currently, there are no legal proceedings or regulatory findings that management believes, either individually or in the aggregate, would have a material adverse effect on our consolidated financial condition or results of operations.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operating leases for ATM sites, office spaces, retail stores and equipment. Our finance leases are immaterial. Right of use assets and lease liabilities are recognized at the lease commencement date based on the present value of the lease payments over the lease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lease expense for these leases on a straight-line basis over the lease term.</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our sole discretion. The depreciable life of assets and leasehold improvements are limited by the expected lease terms. We also have a unilateral termination right for most of the ATM site leases. Since we are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our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September 30, 2022 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94"/>
        </w:trPr>
        <w:tc>
          <w:tcPr>
            <w:tcW w:w="65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2"/>
        </w:trPr>
        <w:tc>
          <w:tcPr>
            <w:tcW w:w="6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Maturity of Lease Liabilities </w:t>
            </w:r>
            <w:r>
              <w:rPr>
                <w:rFonts w:ascii="Times New Roman" w:cs="Times New Roman" w:eastAsia="Times New Roman" w:hAnsi="Times New Roman"/>
                <w:sz w:val="14"/>
                <w:szCs w:val="14"/>
                <w:i w:val="1"/>
                <w:iCs w:val="1"/>
                <w:color w:val="auto"/>
              </w:rPr>
              <w:t>(in thousands)</w:t>
            </w:r>
          </w:p>
        </w:tc>
        <w:tc>
          <w:tcPr>
            <w:tcW w:w="3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Leases (1)</w:t>
            </w:r>
          </w:p>
        </w:tc>
      </w:tr>
      <w:tr>
        <w:trPr>
          <w:trHeight w:val="214"/>
        </w:trPr>
        <w:tc>
          <w:tcPr>
            <w:tcW w:w="6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2022</w:t>
            </w:r>
          </w:p>
        </w:tc>
        <w:tc>
          <w:tcPr>
            <w:tcW w:w="37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11,323</w:t>
            </w:r>
          </w:p>
        </w:tc>
      </w:tr>
      <w:tr>
        <w:trPr>
          <w:trHeight w:val="216"/>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39,786</w:t>
            </w:r>
          </w:p>
        </w:tc>
      </w:tr>
      <w:tr>
        <w:trPr>
          <w:trHeight w:val="216"/>
        </w:trPr>
        <w:tc>
          <w:tcPr>
            <w:tcW w:w="6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30,591</w:t>
            </w:r>
          </w:p>
        </w:tc>
      </w:tr>
      <w:tr>
        <w:trPr>
          <w:trHeight w:val="216"/>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22,111</w:t>
            </w:r>
          </w:p>
        </w:tc>
      </w:tr>
      <w:tr>
        <w:trPr>
          <w:trHeight w:val="216"/>
        </w:trPr>
        <w:tc>
          <w:tcPr>
            <w:tcW w:w="6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15,611</w:t>
            </w:r>
          </w:p>
        </w:tc>
      </w:tr>
      <w:tr>
        <w:trPr>
          <w:trHeight w:val="216"/>
        </w:trPr>
        <w:tc>
          <w:tcPr>
            <w:tcW w:w="6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24,865</w:t>
            </w:r>
          </w:p>
        </w:tc>
      </w:tr>
      <w:tr>
        <w:trPr>
          <w:trHeight w:val="209"/>
        </w:trPr>
        <w:tc>
          <w:tcPr>
            <w:tcW w:w="6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144,287</w:t>
            </w:r>
          </w:p>
        </w:tc>
      </w:tr>
      <w:tr>
        <w:trPr>
          <w:trHeight w:val="216"/>
        </w:trPr>
        <w:tc>
          <w:tcPr>
            <w:tcW w:w="6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r>
      <w:tr>
        <w:trPr>
          <w:trHeight w:val="209"/>
        </w:trPr>
        <w:tc>
          <w:tcPr>
            <w:tcW w:w="6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140,619</w:t>
            </w:r>
          </w:p>
        </w:tc>
      </w:tr>
    </w:tbl>
    <w:p>
      <w:pPr>
        <w:spacing w:after="0" w:line="306" w:lineRule="exact"/>
        <w:rPr>
          <w:sz w:val="20"/>
          <w:szCs w:val="20"/>
          <w:color w:val="auto"/>
        </w:rPr>
      </w:pPr>
    </w:p>
    <w:p>
      <w:pPr>
        <w:ind w:left="5540" w:right="3420" w:hanging="5208"/>
        <w:spacing w:after="0" w:line="313" w:lineRule="auto"/>
        <w:tabs>
          <w:tab w:leader="none" w:pos="6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our current fixed obligations under the operating lease agreements.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Expense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4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r>
      <w:tr>
        <w:trPr>
          <w:trHeight w:val="218"/>
        </w:trPr>
        <w:tc>
          <w:tcPr>
            <w:tcW w:w="3200" w:type="dxa"/>
            <w:vAlign w:val="bottom"/>
          </w:tcPr>
          <w:p>
            <w:pPr>
              <w:spacing w:after="0"/>
              <w:rPr>
                <w:sz w:val="18"/>
                <w:szCs w:val="18"/>
                <w:color w:val="auto"/>
              </w:rPr>
            </w:pPr>
          </w:p>
        </w:tc>
        <w:tc>
          <w:tcPr>
            <w:tcW w:w="2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Selling, general and</w:t>
            </w:r>
          </w:p>
        </w:tc>
      </w:tr>
      <w:tr>
        <w:trPr>
          <w:trHeight w:val="216"/>
        </w:trPr>
        <w:tc>
          <w:tcPr>
            <w:tcW w:w="3200" w:type="dxa"/>
            <w:vAlign w:val="bottom"/>
          </w:tcPr>
          <w:p>
            <w:pPr>
              <w:spacing w:after="0"/>
              <w:rPr>
                <w:sz w:val="18"/>
                <w:szCs w:val="18"/>
                <w:color w:val="auto"/>
              </w:rPr>
            </w:pPr>
          </w:p>
        </w:tc>
        <w:tc>
          <w:tcPr>
            <w:tcW w:w="2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administrative and Direct</w:t>
            </w: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2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operating costs</w:t>
            </w:r>
          </w:p>
        </w:tc>
      </w:tr>
      <w:tr>
        <w:trPr>
          <w:trHeight w:val="252"/>
        </w:trPr>
        <w:tc>
          <w:tcPr>
            <w:tcW w:w="3200" w:type="dxa"/>
            <w:vAlign w:val="bottom"/>
          </w:tcPr>
          <w:p>
            <w:pPr>
              <w:spacing w:after="0"/>
              <w:rPr>
                <w:sz w:val="21"/>
                <w:szCs w:val="21"/>
                <w:color w:val="auto"/>
              </w:rPr>
            </w:pPr>
          </w:p>
        </w:tc>
        <w:tc>
          <w:tcPr>
            <w:tcW w:w="2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Selling, general and</w:t>
            </w:r>
          </w:p>
        </w:tc>
      </w:tr>
      <w:tr>
        <w:trPr>
          <w:trHeight w:val="216"/>
        </w:trPr>
        <w:tc>
          <w:tcPr>
            <w:tcW w:w="3200" w:type="dxa"/>
            <w:vAlign w:val="bottom"/>
          </w:tcPr>
          <w:p>
            <w:pPr>
              <w:spacing w:after="0"/>
              <w:rPr>
                <w:sz w:val="18"/>
                <w:szCs w:val="18"/>
                <w:color w:val="auto"/>
              </w:rPr>
            </w:pPr>
          </w:p>
        </w:tc>
        <w:tc>
          <w:tcPr>
            <w:tcW w:w="2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administrative and Direct</w:t>
            </w: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2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operating costs</w:t>
            </w:r>
          </w:p>
        </w:tc>
      </w:tr>
      <w:tr>
        <w:trPr>
          <w:trHeight w:val="27"/>
        </w:trPr>
        <w:tc>
          <w:tcPr>
            <w:tcW w:w="3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2540" w:type="dxa"/>
            <w:vAlign w:val="bottom"/>
          </w:tcPr>
          <w:p>
            <w:pPr>
              <w:spacing w:after="0"/>
              <w:rPr>
                <w:sz w:val="20"/>
                <w:szCs w:val="20"/>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454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546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1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1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69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41,884</w:t>
            </w:r>
          </w:p>
        </w:tc>
        <w:tc>
          <w:tcPr>
            <w:tcW w:w="0" w:type="dxa"/>
            <w:vAlign w:val="bottom"/>
          </w:tcPr>
          <w:p>
            <w:pPr>
              <w:spacing w:after="0"/>
              <w:rPr>
                <w:sz w:val="1"/>
                <w:szCs w:val="1"/>
                <w:color w:val="auto"/>
              </w:rPr>
            </w:pPr>
          </w:p>
        </w:tc>
      </w:tr>
      <w:tr>
        <w:trPr>
          <w:trHeight w:val="702"/>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107,333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84,279</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126,163</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120"/>
            <w:col w:w="5380"/>
          </w:cols>
          <w:pgMar w:left="320" w:top="607"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September 30,</w:t>
      </w: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4.8</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2.3%</w:t>
      </w:r>
    </w:p>
    <w:p>
      <w:pPr>
        <w:spacing w:after="0" w:line="834" w:lineRule="exact"/>
        <w:rPr>
          <w:sz w:val="20"/>
          <w:szCs w:val="20"/>
          <w:color w:val="auto"/>
        </w:rPr>
      </w:pPr>
    </w:p>
    <w:p>
      <w:pPr>
        <w:sectPr>
          <w:pgSz w:w="11900" w:h="16838" w:orient="portrait"/>
          <w:cols w:equalWidth="0" w:num="2">
            <w:col w:w="9560" w:space="720"/>
            <w:col w:w="960"/>
          </w:cols>
          <w:pgMar w:left="320" w:top="607" w:right="339" w:bottom="1440" w:gutter="0" w:footer="0" w:header="0"/>
          <w:type w:val="continuous"/>
        </w:sect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Supplemental non-cash information on lease liabilities arising from obtaining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997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(a) Included in Net cash provided by operating activities on our Consolidated Statements of Cash Flows.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69"/>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37,908</w:t>
            </w:r>
          </w:p>
        </w:tc>
        <w:tc>
          <w:tcPr>
            <w:tcW w:w="10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38,763</w:t>
            </w:r>
          </w:p>
        </w:tc>
      </w:tr>
      <w:tr>
        <w:trPr>
          <w:trHeight w:val="54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26,487</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57,580</w:t>
            </w:r>
          </w:p>
        </w:tc>
      </w:tr>
    </w:tbl>
    <w:p>
      <w:pPr>
        <w:spacing w:after="0" w:line="511" w:lineRule="exact"/>
        <w:rPr>
          <w:sz w:val="20"/>
          <w:szCs w:val="20"/>
          <w:color w:val="auto"/>
        </w:rPr>
      </w:pPr>
    </w:p>
    <w:p>
      <w:pPr>
        <w:sectPr>
          <w:pgSz w:w="11900" w:h="16838" w:orient="portrait"/>
          <w:cols w:equalWidth="0" w:num="2">
            <w:col w:w="7280" w:space="720"/>
            <w:col w:w="3240"/>
          </w:cols>
          <w:pgMar w:left="320" w:top="607" w:right="339" w:bottom="1440" w:gutter="0" w:footer="0" w:header="0"/>
          <w:type w:val="continuous"/>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war in the Ukraine and related economic sanctions; our ability to successfully integrate the operations of Piraeus Merchant Services; inflation;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2021 and Part II, Item 1A - Risk Factors of our Quarterly Report on Form 10-Q for three months ended June 30, 2022. Our Annual Report on Form 10-K and Quarterly Report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205" w:lineRule="exact"/>
        <w:rPr>
          <w:sz w:val="20"/>
          <w:szCs w:val="20"/>
          <w:color w:val="auto"/>
        </w:rPr>
      </w:pPr>
    </w:p>
    <w:p>
      <w:pPr>
        <w:jc w:val="both"/>
        <w:ind w:firstLine="8"/>
        <w:spacing w:after="0" w:line="277" w:lineRule="auto"/>
        <w:tabs>
          <w:tab w:leader="none" w:pos="2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processes transactions for a network of 49,617 ATMs and approximately 590,000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and other value added services. Through this segment, we also offer a suite of integrated electronic financial transaction software solutions for electronic payment and transaction delivery systems.</w:t>
      </w:r>
    </w:p>
    <w:p>
      <w:pPr>
        <w:spacing w:after="0" w:line="196" w:lineRule="exact"/>
        <w:rPr>
          <w:rFonts w:ascii="Times New Roman" w:cs="Times New Roman" w:eastAsia="Times New Roman" w:hAnsi="Times New Roman"/>
          <w:sz w:val="18"/>
          <w:szCs w:val="18"/>
          <w:color w:val="auto"/>
        </w:rPr>
      </w:pPr>
    </w:p>
    <w:p>
      <w:pPr>
        <w:jc w:val="both"/>
        <w:ind w:firstLine="8"/>
        <w:spacing w:after="0" w:line="289" w:lineRule="auto"/>
        <w:tabs>
          <w:tab w:leader="none" w:pos="1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which provides distribution, processing and collection services for prepaid mobile airtime and other electronic content. We operate a network of approximately 777,000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197" w:lineRule="exact"/>
        <w:rPr>
          <w:rFonts w:ascii="Times New Roman" w:cs="Times New Roman" w:eastAsia="Times New Roman" w:hAnsi="Times New Roman"/>
          <w:sz w:val="18"/>
          <w:szCs w:val="18"/>
          <w:color w:val="auto"/>
        </w:rPr>
      </w:pPr>
    </w:p>
    <w:p>
      <w:pPr>
        <w:jc w:val="both"/>
        <w:ind w:firstLine="8"/>
        <w:spacing w:after="0" w:line="273" w:lineRule="auto"/>
        <w:tabs>
          <w:tab w:leader="none" w:pos="2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509,000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2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5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34% and 29% of total consolidated revenues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nine months ended September 30, 2022,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27% and 29% of total consolidated revenues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2022, respectively, are primarily derived from commissions earned from the distribution of electronic content, vouchers, and physical gifts and commissions or processing fees received from mobile phone operators for the processing and distribution of prepaid mobile airtime. Branded payments, which includes the distribution of digital media content, were 69% and 66% of epay Segment revenues for the three and nine months ended September 30, 2022. Branded payments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39% and 43% of total consolidated revenues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nine months ended September 30, 2022,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subsequent one-year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87" w:lineRule="exact"/>
        <w:rPr>
          <w:sz w:val="20"/>
          <w:szCs w:val="20"/>
          <w:color w:val="auto"/>
        </w:rPr>
      </w:pPr>
    </w:p>
    <w:p>
      <w:pPr>
        <w:jc w:val="both"/>
        <w:ind w:firstLine="8"/>
        <w:spacing w:after="0" w:line="258" w:lineRule="auto"/>
        <w:tabs>
          <w:tab w:leader="none" w:pos="1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markets in which we operate and navigating frequently changing rules imposed by international card organizations, such as Visa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or manage them internally.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8" w:name="page29"/>
    <w:bookmarkEnd w:id="28"/>
    <w:p>
      <w:pPr>
        <w:jc w:val="both"/>
        <w:ind w:firstLine="8"/>
        <w:spacing w:after="0" w:line="256" w:lineRule="auto"/>
        <w:tabs>
          <w:tab w:leader="none" w:pos="1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86" w:lineRule="exact"/>
        <w:rPr>
          <w:rFonts w:ascii="Times New Roman" w:cs="Times New Roman" w:eastAsia="Times New Roman" w:hAnsi="Times New Roman"/>
          <w:sz w:val="18"/>
          <w:szCs w:val="18"/>
          <w:color w:val="auto"/>
        </w:rPr>
      </w:pPr>
    </w:p>
    <w:p>
      <w:pPr>
        <w:jc w:val="both"/>
        <w:ind w:firstLine="8"/>
        <w:spacing w:after="0" w:line="257" w:lineRule="auto"/>
        <w:tabs>
          <w:tab w:leader="none" w:pos="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outbreak of the COVID-19 (coronavirus) pandemic has resulted in varying degrees of border and business closures, travel restrictions and other social distancing orders in most of the countries where we operate during the nine months ended September 30, 2022 and 2021. As the number and rate of new cases has fluctuated in various locations around the globe, the closures, restrictions and other social distancing orders have been modified, rescinded and/or re-imposed. Although vaccines for COVID-19 are widely available, a significant portion of the population remains unvaccinated and long term effectiveness of the vaccines, especially against new variants, is still unknown.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continues to be impacted by the pandemic-related restrictions in certain markets that limit customers' ability to access our network of company-owned stores and agents as well as certain restrictions that may impact immigrant laborers.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and nine months ended September 30, 2022 and 2021 are summarized in the tables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Revenues for the Three Months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for the Nine Months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76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20" w:type="dxa"/>
            <w:vAlign w:val="bottom"/>
            <w:tcBorders>
              <w:top w:val="single" w:sz="8" w:color="auto"/>
            </w:tcBorders>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100" w:type="dxa"/>
            <w:vAlign w:val="bottom"/>
            <w:gridSpan w:val="3"/>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3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319,466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714,067</w:t>
            </w:r>
          </w:p>
        </w:tc>
        <w:tc>
          <w:tcPr>
            <w:tcW w:w="20" w:type="dxa"/>
            <w:vAlign w:val="bottom"/>
            <w:shd w:val="clear" w:color="auto" w:fill="CCEEFF"/>
          </w:tcPr>
          <w:p>
            <w:pPr>
              <w:spacing w:after="0"/>
              <w:rPr>
                <w:sz w:val="23"/>
                <w:szCs w:val="23"/>
                <w:color w:val="auto"/>
              </w:rPr>
            </w:pP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427,687</w:t>
            </w:r>
          </w:p>
        </w:tc>
        <w:tc>
          <w:tcPr>
            <w:tcW w:w="40" w:type="dxa"/>
            <w:vAlign w:val="bottom"/>
            <w:shd w:val="clear" w:color="auto" w:fill="CCEEFF"/>
          </w:tcPr>
          <w:p>
            <w:pPr>
              <w:spacing w:after="0"/>
              <w:rPr>
                <w:sz w:val="23"/>
                <w:szCs w:val="23"/>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286,380</w:t>
            </w: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724,540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353,451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1,072,266</w:t>
            </w: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1,037,659</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w:t>
            </w:r>
          </w:p>
        </w:tc>
        <w:tc>
          <w:tcPr>
            <w:tcW w:w="20" w:type="dxa"/>
            <w:vAlign w:val="bottom"/>
            <w:tcBorders>
              <w:bottom w:val="single" w:sz="8" w:color="auto"/>
            </w:tcBorders>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2,498,800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2,189,886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308,914</w:t>
            </w: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Borders>
              <w:bottom w:val="single" w:sz="8" w:color="auto"/>
            </w:tcBorders>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816,560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 $ 2,493,042</w:t>
            </w:r>
          </w:p>
        </w:tc>
        <w:tc>
          <w:tcPr>
            <w:tcW w:w="20" w:type="dxa"/>
            <w:vAlign w:val="bottom"/>
          </w:tcPr>
          <w:p>
            <w:pPr>
              <w:spacing w:after="0"/>
              <w:rPr>
                <w:sz w:val="22"/>
                <w:szCs w:val="22"/>
                <w:color w:val="auto"/>
              </w:rPr>
            </w:pP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2,183,916</w:t>
            </w:r>
          </w:p>
        </w:tc>
        <w:tc>
          <w:tcPr>
            <w:tcW w:w="40" w:type="dxa"/>
            <w:vAlign w:val="bottom"/>
          </w:tcPr>
          <w:p>
            <w:pPr>
              <w:spacing w:after="0"/>
              <w:rPr>
                <w:sz w:val="22"/>
                <w:szCs w:val="22"/>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309,126</w:t>
            </w: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Operating Income (Loss) for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Income (Loss)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8"/>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76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the Nine Months Ended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vMerge w:val="continue"/>
          </w:tcPr>
          <w:p>
            <w:pPr>
              <w:spacing w:after="0"/>
              <w:rPr>
                <w:sz w:val="16"/>
                <w:szCs w:val="16"/>
                <w:color w:val="auto"/>
              </w:rPr>
            </w:pPr>
          </w:p>
        </w:tc>
        <w:tc>
          <w:tcPr>
            <w:tcW w:w="176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164,759</w:t>
            </w:r>
          </w:p>
        </w:tc>
        <w:tc>
          <w:tcPr>
            <w:tcW w:w="20" w:type="dxa"/>
            <w:vAlign w:val="bottom"/>
            <w:shd w:val="clear" w:color="auto" w:fill="CCEEFF"/>
          </w:tcPr>
          <w:p>
            <w:pPr>
              <w:spacing w:after="0"/>
              <w:rPr>
                <w:sz w:val="23"/>
                <w:szCs w:val="23"/>
                <w:color w:val="auto"/>
              </w:rPr>
            </w:pPr>
          </w:p>
        </w:tc>
        <w:tc>
          <w:tcPr>
            <w:tcW w:w="1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0" w:type="dxa"/>
            <w:vAlign w:val="bottom"/>
            <w:shd w:val="clear" w:color="auto" w:fill="CCEEFF"/>
          </w:tcPr>
          <w:p>
            <w:pPr>
              <w:spacing w:after="0"/>
              <w:rPr>
                <w:sz w:val="23"/>
                <w:szCs w:val="23"/>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166,989</w:t>
            </w: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359,003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161,897</w:t>
            </w: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(52,765)</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306,238</w:t>
            </w:r>
          </w:p>
        </w:tc>
        <w:tc>
          <w:tcPr>
            <w:tcW w:w="20" w:type="dxa"/>
            <w:vAlign w:val="bottom"/>
          </w:tcPr>
          <w:p>
            <w:pPr>
              <w:spacing w:after="0"/>
              <w:rPr>
                <w:sz w:val="22"/>
                <w:szCs w:val="22"/>
                <w:color w:val="auto"/>
              </w:rPr>
            </w:pPr>
          </w:p>
        </w:tc>
        <w:tc>
          <w:tcPr>
            <w:tcW w:w="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155,064</w:t>
            </w:r>
          </w:p>
        </w:tc>
        <w:tc>
          <w:tcPr>
            <w:tcW w:w="40" w:type="dxa"/>
            <w:vAlign w:val="bottom"/>
          </w:tcPr>
          <w:p>
            <w:pPr>
              <w:spacing w:after="0"/>
              <w:rPr>
                <w:sz w:val="22"/>
                <w:szCs w:val="22"/>
                <w:color w:val="auto"/>
              </w:rPr>
            </w:pP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151,174</w:t>
            </w: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220" w:type="dxa"/>
            <w:vAlign w:val="bottom"/>
            <w:gridSpan w:val="2"/>
          </w:tcPr>
          <w:p>
            <w:pPr>
              <w:ind w:left="28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080" w:type="dxa"/>
            <w:vAlign w:val="bottom"/>
          </w:tcPr>
          <w:p>
            <w:pPr>
              <w:jc w:val="right"/>
              <w:ind w:right="173"/>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0.6834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0.7348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0.7589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British pounds sterling</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1.1766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1.3783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0.7662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0.7837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0.7866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1.0072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1.1787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0.0025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0.0033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0.0028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0.0034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0.0125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0.0135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0.0129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0.0136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0.2233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0.2385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0.2307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0.2423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0.6134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0.7007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0.6469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0.7114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0.2128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0.2585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0.2286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0.2634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32"/>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1" w:name="page32"/>
    <w:bookmarkEnd w:id="31"/>
    <w:p>
      <w:pPr>
        <w:ind w:right="2480"/>
        <w:spacing w:after="0" w:line="412" w:lineRule="auto"/>
        <w:rPr>
          <w:sz w:val="20"/>
          <w:szCs w:val="20"/>
          <w:color w:val="auto"/>
        </w:rPr>
      </w:pPr>
      <w:r>
        <w:rPr>
          <w:rFonts w:ascii="Times New Roman" w:cs="Times New Roman" w:eastAsia="Times New Roman" w:hAnsi="Times New Roman"/>
          <w:sz w:val="18"/>
          <w:szCs w:val="18"/>
          <w:color w:val="auto"/>
        </w:rPr>
        <w:t xml:space="preserve">COMPARISON OF OPERATING RESULTS FOR THE NINE </w:t>
      </w:r>
      <w:r>
        <w:rPr>
          <w:rFonts w:ascii="Times New Roman" w:cs="Times New Roman" w:eastAsia="Times New Roman" w:hAnsi="Times New Roman"/>
          <w:sz w:val="18"/>
          <w:szCs w:val="18"/>
          <w:b w:val="1"/>
          <w:bCs w:val="1"/>
          <w:color w:val="auto"/>
        </w:rPr>
        <w:t>MONTHS ENDED SEPTEMBER 30</w:t>
      </w:r>
      <w:r>
        <w:rPr>
          <w:rFonts w:ascii="Times New Roman" w:cs="Times New Roman" w:eastAsia="Times New Roman" w:hAnsi="Times New Roman"/>
          <w:sz w:val="18"/>
          <w:szCs w:val="18"/>
          <w:color w:val="auto"/>
        </w:rPr>
        <w:t xml:space="preserve">, 2022 AND 2021 </w:t>
      </w:r>
      <w:r>
        <w:rPr>
          <w:rFonts w:ascii="Times New Roman" w:cs="Times New Roman" w:eastAsia="Times New Roman" w:hAnsi="Times New Roman"/>
          <w:sz w:val="18"/>
          <w:szCs w:val="18"/>
          <w:b w:val="1"/>
          <w:bCs w:val="1"/>
          <w:color w:val="auto"/>
        </w:rPr>
        <w:t>EFT PROCESSING SEGMENT</w:t>
      </w:r>
    </w:p>
    <w:p>
      <w:pPr>
        <w:spacing w:after="0" w:line="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three and nine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2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6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60" w:type="dxa"/>
            <w:vAlign w:val="bottom"/>
            <w:tcBorders>
              <w:top w:val="single" w:sz="8" w:color="auto"/>
            </w:tcBorders>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6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3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714,067</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427,687</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286,380</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354,907</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96,293</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0"/>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40,285</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71,159</w:t>
            </w:r>
          </w:p>
        </w:tc>
        <w:tc>
          <w:tcPr>
            <w:tcW w:w="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66,907</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64"/>
        </w:trPr>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549,308</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429,917</w:t>
            </w:r>
          </w:p>
        </w:tc>
        <w:tc>
          <w:tcPr>
            <w:tcW w:w="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119,391</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303"/>
        </w:trPr>
        <w:tc>
          <w:tcPr>
            <w:tcW w:w="3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164,759</w:t>
            </w:r>
          </w:p>
        </w:tc>
        <w:tc>
          <w:tcPr>
            <w:tcW w:w="6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166,989</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7,488 %</w:t>
            </w: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6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70"/>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 September 30,</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Active ATMs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47,581</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EFT Processing Segment total revenues were $319.5 million for the three months ended September 30, 2022, an increase of $92.3 million or 41% compared to the same period in 2021. EFT Processing Segment total revenues were $714.1 million for the nine months ended September 30, 2022, an increase of $286.4 million or 67%. The increase in revenues was primarily due to the increase in domestic and international cash withdrawal transactions resulting from the reduction of travel restrictions across Europe, the increase in low-value point-of-sale transactions in Europe and low-value payment processing transactions in Asia Pacific. Foreign currency movements decreased revenues by approximately $48.6 million and $85.6 million for the three and nine months ended September 30, 2022, respectively, compared to the same period in 2021.</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revenues per ATM increased to $2,112 for the three months ended September 30, 2022 compared to $1,660 for the same period in 2021. Average monthly revenues per ATM increased to $2,501 for the nine months ended September 30, 2022 compared to $1,162 for the same period in 2021. Revenues per transaction decreased to $0.18 for the three months ended September 30, 2022 compared to $0.19 for the same period in 2021. Revenues per transaction increased to $0.15 for the nine months ended September 30, 2022 compared to $0.14 for the same period in 2021. The increases in average monthly revenues per ATM was primarily due to the increase in domestic and international cash withdrawal transactions resulting from the reduction in travel restrictions across Europe, partially offset by the increase in volume of low-value point-of-sale transactions in Europe and low-value payment processing transactions in Asia Pacific.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EFT Processing Segment direct operating costs were $137.8 million for the three months ended September 30, 2022, an increase of $31.5 million or 30% compared to the same period in 2021. EFT Processing Segment direct operating costs were $354.9 million for the nine months ended September 30, 2022, an increase of $96.3 million or 37% compared to the same period in 2021.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direct costs was primarily due to the increase in domestic and international cash withdrawal transactions resulting from the reduction of travel restrictions across Europe, the increase in low-value point-of-sale transactions in Europe and low-value payment processing transactions in Asia Pacific. Foreign currency movements decreased direct operating costs by approximately $20.8 million and $40.3 million for the three and nine months ended September 30, 2022 , respectively, compared to the same periods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$181.7 million for the three months ended September 30, 2022, an increase of $60.8 million or 50% compared to $120.8 million for the same period in 2021. Gross profit, was $359.2 million for the nine months ended September 30, 2022, an increase of $190.1 million or 112% compared to $169.1 million for the same period in 2021. Gross profit as a percentage of revenues (“gross margin”) increased to 56.9% and 50.3% for the three and nine months ended September 30, 2022, respectively, compared to 53.2% and 39.5% for the same periods in 2021. The increase in gross profit and gross margin were primarily due to the incremental volume of transactions that were processed on our network relative to the fixed costs incurred, and the higher proportion of high value and high margin DCC transactions due to reduction of travel restrictions.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Salaries and benefits expenses were $30.0 million for the three months ended September 30, 2022, an increase of $6.4 million or 27% compared to the same period in 2021. Salaries and benefits expenses were $83.0 million for the nine months ended September 30, 2022, an increase of $11.6 million or 16% compared to the same period in 2021. The increase is primarily due to an increase in salaries and headcount to support the growth of the business. Foreign currency movements in the countries in which we employ our workforce reduced these expenses by $4.8 million and $9.9 million for the three and nine months ended September 30, 2022, respectively, compared to the same period in 2021. As a percentage of revenues, these expenses decreased to 9.4% and 11.6% for the three and nine months ended September 30, 2022, respectively, compared to 10.4% and 16.7% for the same periods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$12.2 million for the three months ended September 30, 2022, an increase of $0.9 million or 8% compared to the same period in 2021. Selling, general and administrative expenses were $40.3 million for the nine months ended September 30, 2022, an increase of $7.2 million or 22% compared to the same period in 2021. As a percentage of revenues, these expenses decreased to 3.8% and 5.6% for the three and nine months ended September 30, 2022, respectively, compared to 5.0% and 7.7% for the same periods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$23.1 million for the three months ended September 30, 2022, an increase of $0.4 million or 2% compared to the same period in 2021. Depreciation and amortization expenses were $71.2 million for the nine months ended September 30, 2022, an increase of $4.3 million or 6% compared to the same period in 2021. As a percentage of revenues, these expenses decreased to 7.2% and 10.0% for the three and nine months ended September 30, 2022, respectively, compared to 10.0% and 15.6% for the same periods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EFT Processing Segment had operating income of $116.4 million for the three months ended September 30, 2022, an increase of $53.2 million or 84% compared to the same period in 2021. EFT Processing Segment had operating income of $164.8 million for the nine months ended September 30, 2022, compared to a loss of ($2.2 million) for the same period in 2021. Operating income as a percentage of revenues (“operating margin”) increased to 36.4% and 23.1% for the three and nine months ended September 30, 2022, respectively, compared to 27.8% and (0.5%) for the same periods in 2021, respectively. Operating income per transaction was less than $0.07 and $0.04 for the three and nine months ended September 30, 2022 compared to operating income (loss) of $0.05 and ($0.00) for the same periods in 2021. The increase in operating income, improved operating margin and increase in operating income per transaction were primarily due to increased volumes processed on our network, and associated revenues, compared to the same periods in 2021.</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2022 and 2021 for our epay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0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Pr>
          <w:p>
            <w:pPr>
              <w:spacing w:after="0"/>
              <w:rPr>
                <w:sz w:val="13"/>
                <w:szCs w:val="13"/>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860" w:type="dxa"/>
            <w:vAlign w:val="bottom"/>
            <w:gridSpan w:val="2"/>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712,467</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724,540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542,066</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632,742</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642,194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1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79,725</w:t>
            </w:r>
          </w:p>
        </w:tc>
        <w:tc>
          <w:tcPr>
            <w:tcW w:w="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60" w:type="dxa"/>
            <w:vAlign w:val="bottom"/>
            <w:tcBorders>
              <w:bottom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epay Segment total revenues were $248.9 million for the three months ended September 30, 2022, an increase of $10.6 million or 4% compared to the same period in 2021. epay Segment total revenues were $712.5 million for the nine months ended September 30, 2022, a decrease of ($12.1 million) or (2%) compared to the same period in 2021. The increase in revenue for the three months ended September 30, 2022 is driven by continued expansion in mobile and digital branded payments, together with continued growth of the digital distribution channel. Additionally, the annual recurring benefits of loyalty reward programs, which were previously recognized in earlier quarters in 2021, were recognized in the third quarter of 2022. Foreign currency movements decreased revenue by approximately $32.4 million and $66.1 million for the three and nine months ended September 30, 2022, respectively, compared to the same periods in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per transaction decreased to $0.27 and $0.25 for the three and nine months ended September 30, 2022, respectively, compared to $0.29 and $0.32 for the same periods in 2021. The decrease in revenues per transaction was primarily due to the increase in the number of mobile transactions processed in a region where we generally earn lower revenues per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epay Segment direct operating costs were $190.1 million for the three months ended September 30, 2022, an increase of $9.9 million or 5% compared to the same period in 2021. epay Segment direct operating costs were $542.1 million for the nine months ended September 30, 2022, a decrease of ($5.8 million) or (1%) compared to the same period in 2021. 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 in direct operating costs was primarily due to an increase in activity, driven by benefits from loyalty reward programs. Foreign currency movements decrease direct operating costs by $24.3 million and $49.0 million for the three and nine months ended September 30, 2022, respectively, compared to the same periods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$58.8 million for the three months ended September 30, 2022, an increase of $0.7 million or 1.2% compared to $58.1 million for the same period in 2021. Gross profit was $170.4 million for the nine months ended September 30, 2022, a decrease of ($6.3 million) or (3.6%) compared to $176.7 million for the same period in 2021. Gross margin decreased to 23.6% and 23.9% for the three and nine months ended September 30, 2022, respectively, compared to 24.4% for both the three and nine month periods in 2021. The decrease in gross profit and gross margin is primarily due to a decrease in revenues associated with the shift in mix of transactions processed.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Salaries and benefits expenses were $19.8 million for the three months ended September 30, 2022, a decrease of ($0.3 million) or (2%) compared to the same period in 2021. Salaries and benefits expenses were $59.7 million for the nine months ended September 30, 2022, an increase of $0.5 million or 1% compared to the same period in 2021. The fluctuations in salaries and benefits was driven by an increase in salaries and headcount to support the growth of the business, offset by a $2.5 million and $5.4 million decrease from foreign currency movements for the three and nine months ended September 30, 2022, respectively, compared to the same periods in 2021. As a percentage of revenues, these expenses decreased to 7.9% and increased to 8.4% for the three and nine months ended September 30, 2022, respectively, compared to 8.4% and 8.2% for the three and nine months ended September 30,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$8.5 million for the three months ended September 30, 2022, a decrease of ($1.3 million) or (13%) compared to the same period in 2021. Selling, general and administrative expenses were $26.2 million for the nine months ended September 30, 2022, a decrease of ($2.4 million) or (8%) compared to the same period in 2021. As a percentage of revenues, these expenses decreased to 3.4% and 3.7% for the three and nine months ended September 30, 2022, respectively, compared to 4.1% and 3.9% for the same period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were $1.4 million for the three months ended September 30, 2022, a decrease of ($0.8 million) or (36%) compared to the same period in 2021. Depreciation and amortization expenses were $4.7 million for the nine months ended September 30, 2022, a decrease of ($1.8 million) or (27%) compared to the same period in 2021. Depreciation and amortization expense primarily represents depreciation of POS terminals we install in retail stores and amortization of acquired intangible assets. As a percentage of revenues, these expenses decreased to 0.6% and 0.7% for the three and nine months ended September 30, 2022, respectively, compared to 0.9% for both the three and nine months ended September 30,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epay Segment operating income was $29.1 million for the three months ended September 30, 2022, an increase of $3.2 million or 12% compared to the same period in 2021. epay Segment operating income was $79.7 million for the nine months ended September 30, 2022, a decrease of ($2.6 million) or (3%) compared to the same period in 2021. Operating margin increased to 11.7% and decreased to 11.2% for the three and nine months ended September 30, 2022, respectively, compared to 10.9% and 11.4% for the same periods in 2021. Operating income per transaction was $0.03 for both the three and nine months ended September 30, 2022, respectively, compared to $0.03 and $0.04 for the same periods in 2021. The changes in operating income, operating margin and operating income per transaction for the three and nine months ended September 30, 2022 compared to the same period in 2021 were primarily due to the shift in mix of transactions processed.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2022 and 2021 for the Money Transfer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92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60" w:type="dxa"/>
            <w:vAlign w:val="bottom"/>
            <w:vMerge w:val="restart"/>
          </w:tcPr>
          <w:p>
            <w:pPr>
              <w:spacing w:after="0"/>
              <w:rPr>
                <w:sz w:val="13"/>
                <w:szCs w:val="13"/>
                <w:color w:val="auto"/>
              </w:rPr>
            </w:pPr>
          </w:p>
        </w:tc>
        <w:tc>
          <w:tcPr>
            <w:tcW w:w="20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20" w:type="dxa"/>
            <w:vAlign w:val="bottom"/>
          </w:tcPr>
          <w:p>
            <w:pPr>
              <w:spacing w:after="0"/>
              <w:rPr>
                <w:sz w:val="13"/>
                <w:szCs w:val="13"/>
                <w:color w:val="auto"/>
              </w:rPr>
            </w:pPr>
          </w:p>
        </w:tc>
        <w:tc>
          <w:tcPr>
            <w:tcW w:w="1960" w:type="dxa"/>
            <w:vAlign w:val="bottom"/>
            <w:gridSpan w:val="4"/>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240" w:type="dxa"/>
            <w:vAlign w:val="bottom"/>
          </w:tcPr>
          <w:p>
            <w:pPr>
              <w:spacing w:after="0"/>
              <w:rPr>
                <w:sz w:val="12"/>
                <w:szCs w:val="12"/>
                <w:color w:val="auto"/>
              </w:rPr>
            </w:pPr>
          </w:p>
        </w:tc>
        <w:tc>
          <w:tcPr>
            <w:tcW w:w="7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2"/>
                <w:szCs w:val="12"/>
                <w:color w:val="auto"/>
              </w:rPr>
            </w:pPr>
          </w:p>
        </w:tc>
        <w:tc>
          <w:tcPr>
            <w:tcW w:w="940" w:type="dxa"/>
            <w:vAlign w:val="bottom"/>
            <w:gridSpan w:val="2"/>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2"/>
                <w:szCs w:val="12"/>
                <w:color w:val="auto"/>
              </w:rPr>
            </w:pPr>
          </w:p>
        </w:tc>
        <w:tc>
          <w:tcPr>
            <w:tcW w:w="7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353,451</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11,390</w:t>
            </w: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1,072,266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34,607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200,171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200,231</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593,631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204,905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16,370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17,679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324,299</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315,946</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957,747</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37,078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37,505</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114,519</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1"/>
        </w:trPr>
        <w:tc>
          <w:tcPr>
            <w:tcW w:w="2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total revenues were $364.8 million for the three months ended September 30, 2022, an increase of $11.4 million or 3% compared to the same period in 2021. Money Transfer Segment total revenues were $1,072.3 million for the nine months ended September 30, 2022, an increase of $34.6 million or 3% compared to the same period in 2021. The increase in revenues was primarily due to the increase in international-originated money transfers, U.S. outbound transactions, and direct-to-consumer digital transactions, partially offset by a decrease in U.S. domestic transactions. Revenues per transaction decreased to $9.68 and $9.89 for the three and nine months ended September 30, 2022, respectively, compared to $10.37 and $10.44 for the same periods in 2021 due to a shift in the mix of transactions processed. Foreign currency movements decreased revenues by approximately $28.2 million and $62.6 million for the three and nine months ended September 30, 2022, respectively, compared to the same periods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direct operating costs were $200.2 million for the three months ended September 30, 2022, and were essentially flat compared to the same period in 2021. Money Transfer Segment direct operating costs were $593.6 million for the nine months ended September 30, 2022, an increase of $4.4 million or 1% compared to the same period in 2021.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 offset by foreign currency movements that decreased direct operating costs by approximately $14.0 million and $31.3 million for the three and nine months ended September 30, 2022, respectively, compared to the same periods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$164.7 million for the three months ended September 30, 2022, an increase of $11.5 million or 7.5% compared to $153.2 million for the same period in 2021. Gross profit was $478.6 million for the nine months ended September 30, 2022, an increase of $30.2 million or 6.7% compared to $448.4 million for the same period in 2021. Gross margin increased to 45.1% and 44.6% for the three and nine months ended September 30, 2022, respectively, compared to 43.3% and 43.2% for the same periods in 2021. The increase in gross profit and gross margin was primarily due to increases in international-originated money transfers, U.S. outbound money transfers and direct-to-consumer digital transactions.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$69.7 million for the three months ended September 30, 2022, an increase of $4.4 million or 7% compared to the same period in 2021. Salaries and benefits expenses were $204.9 million for the nine months ended September 30, 2022, an increase of $16.4 million or 9% compared to the same period in 2021. The increase in salaries and benefits was primarily driven by an increase in salaries and headcount to support the growth of the business. As a percentage of revenues, these expenses increased to 19.1% for both the three and nine months ended September 30, 2022, compared to 18.5% and 18.2% for the same periods in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$46.3 million for the three months ended September 30, 2022, an increase of $4.7 million or 11% compared to the same period in 2021. Selling, general and administrative expenses were $133.7 million for the nine months ended September 30, 2022, an increase of $17.7 million or 15% compared to the same period in 2021. The increase was primarily due to an increase in marketing expenses and travel related expenses. As a percentage of revenues, these expenses increased to 12.7% and 12.5% for the three and nine months ended September 30, 2022, respectively, compared to 11.8% and 11.2% for the same periods in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expenses were $8.2 million for the three months ended September 30, 2022, a decrease of ($0.7 million) or (8%) compared to the same period in 2021. Depreciation and amortization expenses were $25.6 million for the nine months ended September 30, 2022, a decrease of ($1.3 million) or (5%) compared to the same period in 2021. Depreciation and amortization primarily represents amortization of acquired intangible assets and depreciation of money transfer terminals, computers and software, leasehold improvements and office equipment. As a percentage of revenues, these expenses decreased to 2.2% and 2.4% for the three and nine months ended September 30, 2022, respectively, compared to 2.5% and 2.6% for the same periods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 Transfer Segment operating income was $40.5 million for the three months ended September 30, 2022, an increase of $3.0 million or 8% compared to the same period in 2021. Money Transfer Segment operating income was $114.5 million for the nine months ended September 30, 2022, a decrease of ($2.5 million) or (2%) compared to the same period in 2021. Operating margin increased to 11.1% and decreased to 10.7% for the three and nine months ended September 30, 2022, respectively, compared to 10.6% and 11.3% for the same periods in 2021. Operating income per transaction decreased to $1.08 and $1.06 for the three and nine months ended September 30, 2022, respectively, compared to $1.10 and $1.18 for the same periods in 2021 due to a shift in the mix of transactions processed.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and nine months ended September 30, 2022 and 2021 for Corporate Services: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Three-Month Ended</w:t>
            </w:r>
          </w:p>
        </w:tc>
        <w:tc>
          <w:tcPr>
            <w:tcW w:w="140" w:type="dxa"/>
            <w:vAlign w:val="bottom"/>
          </w:tcPr>
          <w:p>
            <w:pPr>
              <w:spacing w:after="0"/>
              <w:rPr>
                <w:sz w:val="13"/>
                <w:szCs w:val="13"/>
                <w:color w:val="auto"/>
              </w:rPr>
            </w:pPr>
          </w:p>
        </w:tc>
        <w:tc>
          <w:tcPr>
            <w:tcW w:w="2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80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16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6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5"/>
        </w:trPr>
        <w:tc>
          <w:tcPr>
            <w:tcW w:w="3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4"/>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10,367</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4,625</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45 %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w:t>
            </w:r>
          </w:p>
        </w:tc>
        <w:tc>
          <w:tcPr>
            <w:tcW w:w="20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c>
          <w:tcPr>
            <w:tcW w:w="1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Pr>
          <w:p>
            <w:pPr>
              <w:spacing w:after="0"/>
              <w:rPr>
                <w:sz w:val="23"/>
                <w:szCs w:val="2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7,468</w:t>
            </w:r>
          </w:p>
        </w:tc>
        <w:tc>
          <w:tcPr>
            <w:tcW w:w="18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12,167</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5,447</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45 %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Corporate operating expenses were $17.6 million and $52.8 million for the three and nine months ended September 30, 2022, respectively, an increase of $5.4 million or 45% and $10.7 million or 26% compared to the same periods in 2021. The increase is primarily due to an increase in short-term compensation expense of $4.8 million and $7.6 million for the three and nine months ended September 30, 2022, respectively, compared to the same periods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w:t>
            </w:r>
          </w:p>
        </w:tc>
        <w:tc>
          <w:tcPr>
            <w:tcW w:w="120" w:type="dxa"/>
            <w:vAlign w:val="bottom"/>
          </w:tcPr>
          <w:p>
            <w:pPr>
              <w:spacing w:after="0"/>
              <w:rPr>
                <w:sz w:val="13"/>
                <w:szCs w:val="13"/>
                <w:color w:val="auto"/>
              </w:rPr>
            </w:pPr>
          </w:p>
        </w:tc>
        <w:tc>
          <w:tcPr>
            <w:tcW w:w="194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60" w:type="dxa"/>
            <w:vAlign w:val="bottom"/>
          </w:tcPr>
          <w:p>
            <w:pPr>
              <w:spacing w:after="0"/>
              <w:rPr>
                <w:sz w:val="13"/>
                <w:szCs w:val="13"/>
                <w:color w:val="auto"/>
              </w:rPr>
            </w:pPr>
          </w:p>
        </w:tc>
        <w:tc>
          <w:tcPr>
            <w:tcW w:w="16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w:t>
            </w:r>
          </w:p>
        </w:tc>
        <w:tc>
          <w:tcPr>
            <w:tcW w:w="100" w:type="dxa"/>
            <w:vAlign w:val="bottom"/>
          </w:tcPr>
          <w:p>
            <w:pPr>
              <w:spacing w:after="0"/>
              <w:rPr>
                <w:sz w:val="13"/>
                <w:szCs w:val="13"/>
                <w:color w:val="auto"/>
              </w:rPr>
            </w:pPr>
          </w:p>
        </w:tc>
        <w:tc>
          <w:tcPr>
            <w:tcW w:w="1800" w:type="dxa"/>
            <w:vAlign w:val="bottom"/>
            <w:gridSpan w:val="3"/>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3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7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10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292 %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(11,716)</w:t>
            </w:r>
          </w:p>
        </w:tc>
        <w:tc>
          <w:tcPr>
            <w:tcW w:w="22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(10,072)</w:t>
            </w:r>
          </w:p>
        </w:tc>
        <w:tc>
          <w:tcPr>
            <w:tcW w:w="12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(1,644)</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(28,718)</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(15,798)</w:t>
            </w: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(7,663)</w:t>
            </w:r>
          </w:p>
        </w:tc>
        <w:tc>
          <w:tcPr>
            <w:tcW w:w="10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94 %</w:t>
            </w:r>
          </w:p>
        </w:tc>
        <w:tc>
          <w:tcPr>
            <w:tcW w:w="160" w:type="dxa"/>
            <w:vAlign w:val="bottom"/>
            <w:shd w:val="clear" w:color="auto" w:fill="CCEEFF"/>
          </w:tcPr>
          <w:p>
            <w:pPr>
              <w:spacing w:after="0"/>
              <w:rPr>
                <w:sz w:val="23"/>
                <w:szCs w:val="23"/>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(12,051)</w:t>
            </w:r>
          </w:p>
        </w:tc>
        <w:tc>
          <w:tcPr>
            <w:tcW w:w="10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gains (losses)</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(26,904)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(8,850)</w:t>
            </w:r>
          </w:p>
        </w:tc>
        <w:tc>
          <w:tcPr>
            <w:tcW w:w="10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(61,478)$</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(21,279)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Interest expense was $11.7 million for the three months ended September 30, 2022</w:t>
      </w:r>
      <w:r>
        <w:rPr>
          <w:rFonts w:ascii="Times New Roman" w:cs="Times New Roman" w:eastAsia="Times New Roman" w:hAnsi="Times New Roman"/>
          <w:sz w:val="17"/>
          <w:szCs w:val="17"/>
          <w:color w:val="auto"/>
        </w:rPr>
        <w:t>, an increase of $</w:t>
      </w:r>
      <w:r>
        <w:rPr>
          <w:rFonts w:ascii="Times New Roman" w:cs="Times New Roman" w:eastAsia="Times New Roman" w:hAnsi="Times New Roman"/>
          <w:sz w:val="22"/>
          <w:szCs w:val="22"/>
          <w:color w:val="auto"/>
        </w:rPr>
        <w:t>1.6 million or 16</w:t>
      </w:r>
      <w:r>
        <w:rPr>
          <w:rFonts w:ascii="Times New Roman" w:cs="Times New Roman" w:eastAsia="Times New Roman" w:hAnsi="Times New Roman"/>
          <w:sz w:val="17"/>
          <w:szCs w:val="17"/>
          <w:color w:val="auto"/>
        </w:rPr>
        <w:t>% compared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same period in </w:t>
      </w:r>
      <w:r>
        <w:rPr>
          <w:rFonts w:ascii="Times New Roman" w:cs="Times New Roman" w:eastAsia="Times New Roman" w:hAnsi="Times New Roman"/>
          <w:sz w:val="21"/>
          <w:szCs w:val="21"/>
          <w:color w:val="auto"/>
        </w:rPr>
        <w:t>2021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1"/>
          <w:szCs w:val="21"/>
          <w:color w:val="auto"/>
        </w:rPr>
        <w:t>Interest expense was $26.7 million for the nine months ended September 30, 2022, a decrease of ($2.0 million)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1"/>
          <w:szCs w:val="21"/>
          <w:color w:val="auto"/>
        </w:rPr>
        <w:t xml:space="preserve">or (7%) compared to the same period in 2021. The decrease in interest expense relates to the $7.9 million accretion expense incurred for the nine months ended September 30, 2021, which was eliminated for the nine months ended September 30, 2022 as a result of the adoption of ASU 2020-06, partially offset by increased interest rates and borrowings on the revolving Credit Facility for the nine months ended September 30, 2022 compared to the same period in 2021. See Footnote 2, </w:t>
      </w:r>
      <w:r>
        <w:rPr>
          <w:rFonts w:ascii="Times New Roman" w:cs="Times New Roman" w:eastAsia="Times New Roman" w:hAnsi="Times New Roman"/>
          <w:sz w:val="21"/>
          <w:szCs w:val="21"/>
          <w:i w:val="1"/>
          <w:iCs w:val="1"/>
          <w:color w:val="auto"/>
        </w:rPr>
        <w:t>Recently Issued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and Adopted Accounting Pronouncements, </w:t>
      </w:r>
      <w:r>
        <w:rPr>
          <w:rFonts w:ascii="Times New Roman" w:cs="Times New Roman" w:eastAsia="Times New Roman" w:hAnsi="Times New Roman"/>
          <w:sz w:val="21"/>
          <w:szCs w:val="21"/>
          <w:color w:val="auto"/>
        </w:rPr>
        <w:t>for more information on the impact of this adoption.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net foreign currency exchange losses of $15.8 million and $36.0 million for the three and nine months ended September 30, 2022, respectively, compared to a net foreign currency exchange losses of $8.1 million and $12.1 million for the same periods in 2021, respectively. These realized and unrealized foreign currency exchange losses reflect the fluctuation in the value of the U.S. dollar against the currencies of the countries in which we operated during the respective periods.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effective income tax rate was 31.1% and 33.5% for the three and nine months ended September 30, 2022, respectively, compared to 23.6% and 35.8% for the same periods ended September 30, 2021, respectively. The Company's effective income tax rate for the three and nine months ended September 30, 2022 was higher than the applicable statutory income tax rate of 21% as a result of certain foreign earnings being subject to higher statutory tax rates and the Company's U.S. deferred tax activity on foreign exchange positions. The Company's effective income tax rate for the three and nine months ended September 30, 2021 was higher than the applicable statutory income tax rate of 21% as a result of certain foreign earnings being subject to higher local tax rates, the non-recognition of tax benefits from losses in certain foreign countries where the Company has a limited history of profitable earnings and as a result of an increase in the valuation allowance in certain jurisdictions relating to the reversal of tax benefits recognized in the first quarter of 2021 for continuing net operating losses.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48"/>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epay - Spain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EFT - Pakistan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Infinitium Solutions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India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EURONET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Euronet was $97.7 million for the three months ended September 30, 2022, an increase of $23.8 million or 32% compared to the same period in 2021. The increase in net income was primarily attributable to the $114.7 million increase in revenues, largely driven by the increases within the EFT Segment as tourism and cross-border travel increased during the third quarter of 2022 compared to the third quarter of 2021. The increased revenues led to a $73.1 million increase in gross profit, with $60.9 million of this increase within the EFT Segment. The increase in gross profit was partially offset by $15.1 million increase in salaries and benefits expense, a $21.3 million increase in income tax expense and a $5.2 million increase in selling, general and administrative expense.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Euronet was $163.2 million for the nine months ended September 30, 2022, an increase of $89.4 million, compared to the net income of $73.9 million in the same period in 2021. The increase in net income was primarily attributable to the $309.1 million increase in revenues, largely driven by the increases within the EFT Segment as tourism and cross-border travel increased during the third quarter of 2022 compared to the third quarter of 2021. The increased revenues led to a $214.0 million increase in gross profit, with $190.1 million of this increase within the EFT Segment. The increase in gross profit was partially offset by a $36.4 million increase in salaries and benefits expense, a $40.7 million increase in income tax expense and a $25.4 million increase in selling, general and administrative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we had working capital of $1,075.4 million, which is calculated as the difference between total current assets and total current liabilities, compared to working capital of $1,455.8 million as of December 31, 2021. The decrease in working capital was primarily due to the $331.0 million acquisition of PBMA and the $175.0 million of share repurchases, partially offset by a $42.9 million increase in borrowing on the Credit Facility as of September 30, 2022 compared to December 31, 2021. Our ratio of current assets to current liabilities was 1.50 and 1.79 at September 30, 2022 and December 31, 2021, respectively.</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September 30, 2022, we had $646.1 million of our own cash in use or designated for use in our ATM network, which is recorded in ATM cash on Euronet's Consolidated Balance Sheet. ATM cash increased $102.7 million from $543.4 million as of December 31, 2021 to $646.1 million as of September 30, 2022 as a result of the increase in number of active ATMs as of September 30, 2022 compared to December 31, 2021.The Company has $967.1 million of unrestricted cash as of September 30, 2022 compared to $1,260.5 million as of December 31, 2021. The decrease in unrestricted cash was primarily due to the $331.0 million acquisition of PBMA, the $102.7 million allocated from unrestricted cash to ATM cash and the $175.0 million of share repurchases during the nine months ended September 30, 2022, partially offset by the $42.9 million increase in borrowings on the Credit Facility. Including the $646.1 million of cash in ATMs at September 30, 2022, we have access to $1,613.2 million in available cash, and $652.8 million available under the Credit Facility with no significant long-term debt principal payments until March 2025.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(in thousands):</w:t>
      </w:r>
    </w:p>
    <w:p>
      <w:pPr>
        <w:spacing w:after="0" w:line="36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17399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8"/>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304,340</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(70,952)</w:t>
            </w:r>
          </w:p>
        </w:tc>
      </w:tr>
      <w:tr>
        <w:trPr>
          <w:trHeight w:val="263"/>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(216,291)</w:t>
            </w:r>
          </w:p>
        </w:tc>
      </w:tr>
      <w:tr>
        <w:trPr>
          <w:trHeight w:val="277"/>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 restricted cash</w:t>
            </w:r>
          </w:p>
        </w:tc>
        <w:tc>
          <w:tcPr>
            <w:tcW w:w="3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(82,667)</w:t>
            </w:r>
          </w:p>
        </w:tc>
      </w:tr>
      <w:tr>
        <w:trPr>
          <w:trHeight w:val="25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(207,535)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(65,570)</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were $448.6 million for the three months ended September 30, 2022 compared to cash flows provided by operating activities of $304.3 million for the same period in 2021. The increase in operating cash flows was primarily due to the $89.2 million increase in net income, partially offset by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used in investing activities were $416.0 million for the nine months ended September 30, 2022 compared to $71.0 million for the same period in 2021. The increase in cash used in investing activities is primarily due to the $331.0 million of cash paid at the closing of PBMA in March 2022. Additionally, we used $79.4 million for purchases of property and equipment for the nine months ended September 30, 2022 compared to $66.1 million for the same period in 2021. The increase in purchases of property and equipment is primarily due to the prior period expenditures being reduced by the COVID-19 related impacts to the EFT segment. Cash used for software development and other investing activities totaled $5.3 million and $4.9 million for the nine months ended September 30,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flows provided by financing activities were $173.5 million for the nine months ended September 30, 2022 compared to cash flows used in financing activities of $216.3 million for the same period in 2021. Our borrowing activities on the Credit Facility for the nine months ended September 30, 2022 consisted of net borrowings of $342.9 million compared to net repayments of $217.2 million for the same period in 2021. The increase in net borrowings on the Credit Facility, during the nine months ended September 30, 2022, is primarily the result of treasury management relating to settlement requirements across currencies as well as increased funding requirements for acquisitions and share repurchases. We repurchased $175.3 million of common stock during the nine months ended September 30, 2022 compared to repurchases of $1.0 million during the same period of 2021. We received proceeds of $4.4 million and $6.4 million during the nine months ended September 30, 2022 and 2021, respectively, for the issuance of stock in connection with our Stock Incentive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F</w:t>
      </w:r>
      <w:r>
        <w:rPr>
          <w:rFonts w:ascii="Times New Roman" w:cs="Times New Roman" w:eastAsia="Times New Roman" w:hAnsi="Times New Roman"/>
          <w:sz w:val="18"/>
          <w:szCs w:val="18"/>
          <w:color w:val="000000"/>
        </w:rPr>
        <w:t>oreign currency exchange rates for the nine months ended September 30, 2022 and 2021 had a negative impact of $413.7 million and $82.7 million,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respectively, on cash, cash equivalents, and restricted cash. The negative impact on cash, cash equivalents, and restricted cash for the nine months ended September 30, 2022 was due primarily to the negative impact in the exchange rate of the U.S. dollar to the Euro.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October 24, 2022, the Company amended its revolving credit agreement (the “Credit Facility”) to increase the facility from $1.0 billion to $1.25 billion which expires on October 24, 2027.</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facility contains up to $250 million sublimit, with $150 million committed, for the issuance of letters of credit and a $75 million sublimit for U.S. dollar swingline loans and $75 million for swingline loans in euro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initially 1.25% including the facility fee.</w:t>
      </w:r>
    </w:p>
    <w:p>
      <w:pPr>
        <w:spacing w:after="0" w:line="2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we had $326.3 million of borrowings and $50.9 million of stand-by letters of credit outstanding under the Credit Facility. The remaining $652.8 million under the Credit Facility was available for borrowing.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September 30, 2022, we have outstanding €600 million ($588.4 million) principal amount of the Senior Notes. In addition, we may redeem some or all of these notes on or after February 22, 2026 at their principal amount plus any accrued and unpaid interest.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Uncommitted Loans</w:t>
      </w:r>
      <w:r>
        <w:rPr>
          <w:rFonts w:ascii="Times New Roman" w:cs="Times New Roman" w:eastAsia="Times New Roman" w:hAnsi="Times New Roman"/>
          <w:sz w:val="18"/>
          <w:szCs w:val="18"/>
          <w:color w:val="auto"/>
        </w:rPr>
        <w:t xml:space="preserve"> - On May 25, 2022, we entered into an uncommitted credit agreement for $300 million that expires no later than November 30, 2022. The credit agreement is fully drawn and outstanding at September 30, 2022. The credit agreement was entered into for the sole purpose of providing vault cash for ATMs. Each loan entered into under this agreement accrues interest at the rate per annum equal to the secured overnight financing rate (“SOFR”) plus 1.00%.</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2022, we entered into an uncommitted credit agreement for $150 million that expires no later than June 23, 2023. The credit agreement was entered into for the sole purpose of providing vault cash for ATMs. The loan had no balance at September 30, 2022. Each loan entered into under the agreement was either a Prime rate loan, a Bloomberg Short-term Bank Yield ("BSBY") rate loan or bears interest at the rate agreed to by the lender and the Company at the time such loan is made.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1" w:name="page42"/>
    <w:bookmarkEnd w:id="41"/>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have available credit lines and overdraft facilities to generally supplement short-term working capital requirements, when necessary. There were $3.6 million and $0.9 million outstanding under these other obligation arrangements as of September 30, 2022 and December 31, 2021,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for the nine months ended September 30, 2022 were $79.4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2022 are currently estimated to range from approximately $110 million to $120 million. 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2022, there were no material changes from the disclosure in our Annual Report on Form 10-K for the year ended December 31, 2021. To date, we are not aware of any significant claims made by the indemnified parties or parties to whom we have provided guarantees on behalf of our subsidiaries and, accordingly, no liabilities have been recorded as of September 30, 2022. See also Note 14,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have been no material changes outside the ordinary course of business in our future contractual obligations from the amounts reported within our Annual Report on Form 10-K for the year ended December 31, 2021.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September 30, 2022, our total debt outstanding, excluding unamortized debt issuance costs, was $1,743.3 million. Of this amount, $525.0 million, net of debt discounts, or 30%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September 30, 2022, the fair value of our fixed rate Convertible Notes was $513.6 million, compared to a carrying value of $525.0 million. Further, as of September 30, 2022 we had $326.3 million of borrowings under our Credit Facility, or 19% of our total debt obligations. The carrying values of the Credit Facility approximates fair value because interest as of September 30, 2022, was based on LIBOR that reset at various intervals of less than one year. Additionally, $588.4 million, or 34% of our total debt obligations, relates to Senior Notes having a fixed coupon rate. Our €600 million outstanding principal amount of Senior Notes accrue cash interest at a rate of 1.375% of the principal amount per annum. Based on quoted market prices, as of September 30, 2022, the fair value of our fixed rate Senior Notes was $550.0 million, compared to a carrying value of $588.4 million. An additional $300.0 million, or 17% of our total debt, is related to short-term uncommitted credit agreements. The credit agreements are due within one year and accrue interest at variable rates. The remaining $3.6 million, or less than 1% of our total debt obligations, is related to borrowings by certain subsidiaries to fund, from time to time, working capital requirements. These arrangements generally are due within one year and accrue interest at variable rates. Based on the outstanding borrowings accruing interest at variable rates, a 1% increase in the interest rate would result in a $6.3 million increase or decrease, as applicable, in our annual interest expense.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approximately 74.1% of our revenues were generated in non-U.S. dollar countries and we expect to continue generating a significant portion of our revenues in countries with currencies other than the U.S. dollar.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2022, we estimate that a 10% fluctuation in these foreign currency exchange rates would have the combined annualized effect on reported net income and working capital of approximately $185 million to $190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counterparty credit risk (the risk that counterparties will default and not make payments according to the terms of the agreements) on an individual counterparty basis. We mitigate this risk by entering into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September 30, 2022, we had foreign currency derivative contracts outstanding with a notional value of $415.8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September 30, 2022, we held foreign currency derivative contracts outstanding with a notional value of $1,041.8 million, primarily in U.S. dollars, euros, British pounds, Australian dollars and New Zealand dollars, that were not designated as hedges and for which the majority mature within the next twelve months.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September 30, 2022, we had foreign currency forward contracts outstanding with a notional value of $7.4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Derivative Instruments and Hedging Activities, to our unaudited consolidated financial statements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2022.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 On March 15, 2022, we completed the acquisition of the Merchant Acquiring Business of Piraeus Bank ("PBMA"). We are currently integrating PBMA into our operations and internal control processes and, pursuant to the Securities and Exchange Commission staff interpretive guidance, the assessment of a recently acquired business may be omitted from the scope of an assessment for a period not to exceed one year from the date of acquisition. The scope of our assessment of our internal controls over financial reporting as of September 30, 2022 does not include PBMA.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Except for internal controls related to integration activities associated with our acquisition of PBMA, there has been no change in our internal control over financial reporting during the third quarter of 2022 that has materially affected, or is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were no material changes to the risk factors previously disclosed in our Annual Report on Form 10-K for the year ended December 31, 2021 and our Quarterly Report on Form 10-Q for the three months ended June 30, 2022, as filed with the SEC.</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September 30, 2022.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4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00" w:type="dxa"/>
            <w:vAlign w:val="bottom"/>
            <w:gridSpan w:val="2"/>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0" w:type="dxa"/>
            <w:vAlign w:val="bottom"/>
            <w:gridSpan w:val="2"/>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Programs</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 July 31, 2022</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 August 31, 2022</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 September 30, 2022</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125,049</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firstLine="8"/>
        <w:spacing w:after="0" w:line="261"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2020, the Company put a repurchase program in place to repurchase up to $250 million in value, but not more than 5.0 million shares of common stock through February 28, 2022. On December 8, 2021, the Company put a repurchase program in place to repurchase up to $300 million in value, but not more than 5.0 million shares of common stock through December 8, 2023. Repurchases may take place in the open market or in privately negotiated transactions, including derivative transactions, and may be made under a Rule 10b5-1 plan.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302 — Certification of Chief Executive Officer</w:t>
            </w:r>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302 —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906 — Certification of Chief Executive Officer</w:t>
            </w:r>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906 —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September 30, 2022,</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Consolidated Balance Sheets at September 30, 2022 (unaudited)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 (ii) Consolidated Statements of Operations (unaudited) for the three and nine months ended September 30, 2022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2021, (iii) Consolidated Statements of Comprehensive Income (Loss) (unaudited) for the three and nine months ended September</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 2022 and 2021, (iv) Consolidated Statements of Changes in Equity (unaudited) for the three and nine months ended September</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 2022 and 2021 (v) Consolidated Statements of Cash Flows (unaudited) for the three and nine months ended September 30, 2022 and</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2021, and (vi) Notes to the Unaudited Consolidated Financial Statements.</w:t>
            </w: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280"/>
          </w:cols>
          <w:pgMar w:left="320" w:top="765" w:right="12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207"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2022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2022</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2022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2022-11-04T16:34:31Z</dcterms:created>
  <dcterms:modified xsi:type="dcterms:W3CDTF">2022-11-04T16:34:31Z</dcterms:modified>
</cp:coreProperties>
</file>