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3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1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31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ectPr>
          <w:pgSz w:w="11900" w:h="16838" w:orient="portrait"/>
          <w:cols w:equalWidth="0" w:num="1">
            <w:col w:w="11120"/>
          </w:cols>
          <w:pgMar w:left="240" w:top="122" w:right="539" w:bottom="1440" w:gutter="0" w:footer="0" w:header="0"/>
        </w:sectPr>
      </w:pPr>
    </w:p>
    <w:p>
      <w:pPr>
        <w:spacing w:after="0" w:line="205"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(State or other jurisdiction</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b w:val="1"/>
          <w:bCs w:val="1"/>
          <w:color w:val="auto"/>
        </w:rPr>
        <w:t>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74-2806888</w:t>
      </w:r>
    </w:p>
    <w:p>
      <w:pPr>
        <w:spacing w:after="0" w:line="27" w:lineRule="exact"/>
        <w:rPr>
          <w:sz w:val="20"/>
          <w:szCs w:val="20"/>
          <w:color w:val="auto"/>
        </w:rPr>
      </w:pPr>
    </w:p>
    <w:p>
      <w:pPr>
        <w:jc w:val="center"/>
        <w:ind w:right="1740"/>
        <w:spacing w:after="0"/>
        <w:rPr>
          <w:sz w:val="20"/>
          <w:szCs w:val="20"/>
          <w:color w:val="auto"/>
        </w:rPr>
      </w:pPr>
      <w:r>
        <w:rPr>
          <w:rFonts w:ascii="Arial" w:cs="Arial" w:eastAsia="Arial" w:hAnsi="Arial"/>
          <w:sz w:val="17"/>
          <w:szCs w:val="17"/>
          <w:b w:val="1"/>
          <w:bCs w:val="1"/>
          <w:color w:val="auto"/>
        </w:rPr>
        <w:t>(I.R.S. employer</w:t>
      </w:r>
    </w:p>
    <w:p>
      <w:pPr>
        <w:spacing w:after="0" w:line="21"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0"/>
          <w:szCs w:val="20"/>
          <w:color w:val="auto"/>
        </w:rPr>
      </w:pPr>
    </w:p>
    <w:p>
      <w:pPr>
        <w:sectPr>
          <w:pgSz w:w="11900" w:h="16838" w:orient="portrait"/>
          <w:cols w:equalWidth="0" w:num="2">
            <w:col w:w="7300" w:space="720"/>
            <w:col w:w="3100"/>
          </w:cols>
          <w:pgMar w:left="240" w:top="122" w:right="539" w:bottom="1440" w:gutter="0" w:footer="0" w:header="0"/>
          <w:type w:val="continuous"/>
        </w:sectPr>
      </w:pPr>
    </w:p>
    <w:p>
      <w:pPr>
        <w:spacing w:after="0" w:line="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4601 COLLEGE BOULEVARD, SUITE 300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LEAWOOD, KANSAS 66211</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120"/>
          </w:cols>
          <w:pgMar w:left="240" w:top="122" w:right="539" w:bottom="1440" w:gutter="0" w:footer="0" w:header="0"/>
          <w:type w:val="continuous"/>
        </w:sectPr>
      </w:pPr>
    </w:p>
    <w:p>
      <w:pPr>
        <w:spacing w:after="0" w:line="126" w:lineRule="exact"/>
        <w:rPr>
          <w:sz w:val="20"/>
          <w:szCs w:val="20"/>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right="2020" w:firstLine="2981"/>
        <w:spacing w:after="0" w:line="282"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o Non-accelerated filer o 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7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July 31, 2007 was 48,488,003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2" w:right="5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18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r>
      <w:tr>
        <w:trPr>
          <w:trHeight w:val="392"/>
        </w:trPr>
        <w:tc>
          <w:tcPr>
            <w:tcW w:w="101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360" w:type="dxa"/>
            <w:vAlign w:val="bottom"/>
            <w:gridSpan w:val="3"/>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8820" w:type="dxa"/>
            <w:vAlign w:val="bottom"/>
            <w:gridSpan w:val="12"/>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12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w:t>
            </w: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360" w:type="dxa"/>
            <w:vAlign w:val="bottom"/>
            <w:gridSpan w:val="3"/>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w:t>
              </w:r>
            </w:hyperlink>
          </w:p>
        </w:tc>
        <w:tc>
          <w:tcPr>
            <w:tcW w:w="8820" w:type="dxa"/>
            <w:vAlign w:val="bottom"/>
            <w:gridSpan w:val="12"/>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MANAGEMENT’S DISCUSSION AND ANALYSIS OF FINANCIAL CONDITION AND RESULTS OF</w:t>
              </w:r>
            </w:hyperlink>
          </w:p>
        </w:tc>
        <w:tc>
          <w:tcPr>
            <w:tcW w:w="1240" w:type="dxa"/>
            <w:vAlign w:val="bottom"/>
          </w:tcPr>
          <w:p>
            <w:pPr>
              <w:spacing w:after="0"/>
              <w:rPr>
                <w:sz w:val="17"/>
                <w:szCs w:val="17"/>
                <w:color w:val="auto"/>
              </w:rPr>
            </w:pPr>
          </w:p>
        </w:tc>
      </w:tr>
      <w:tr>
        <w:trPr>
          <w:trHeight w:val="196"/>
        </w:trPr>
        <w:tc>
          <w:tcPr>
            <w:tcW w:w="6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8">
              <w:r>
                <w:rPr>
                  <w:rFonts w:ascii="Arial" w:cs="Arial" w:eastAsia="Arial" w:hAnsi="Arial"/>
                  <w:sz w:val="18"/>
                  <w:szCs w:val="18"/>
                  <w:b w:val="1"/>
                  <w:bCs w:val="1"/>
                  <w:color w:val="0000EE"/>
                  <w:w w:val="97"/>
                </w:rPr>
                <w:t>OPERATIONS</w:t>
              </w:r>
            </w:hyperlink>
          </w:p>
        </w:tc>
        <w:tc>
          <w:tcPr>
            <w:tcW w:w="6900" w:type="dxa"/>
            <w:vAlign w:val="bottom"/>
            <w:tcBorders>
              <w:top w:val="single" w:sz="8" w:color="0000EE"/>
            </w:tcBorders>
            <w:gridSpan w:val="9"/>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17</w:t>
            </w:r>
          </w:p>
        </w:tc>
      </w:tr>
      <w:tr>
        <w:trPr>
          <w:trHeight w:val="196"/>
        </w:trPr>
        <w:tc>
          <w:tcPr>
            <w:tcW w:w="1360" w:type="dxa"/>
            <w:vAlign w:val="bottom"/>
            <w:gridSpan w:val="3"/>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3.</w:t>
              </w:r>
            </w:hyperlink>
          </w:p>
        </w:tc>
        <w:tc>
          <w:tcPr>
            <w:tcW w:w="8820" w:type="dxa"/>
            <w:vAlign w:val="bottom"/>
            <w:gridSpan w:val="12"/>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QUANTITATIVE AND QUALITATIVE DISCLOSURES ABOUT MARKET RISK</w:t>
              </w:r>
            </w:hyperlink>
          </w:p>
        </w:tc>
        <w:tc>
          <w:tcPr>
            <w:tcW w:w="12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34</w:t>
            </w: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360" w:type="dxa"/>
            <w:vAlign w:val="bottom"/>
            <w:gridSpan w:val="3"/>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4.</w:t>
              </w:r>
            </w:hyperlink>
          </w:p>
        </w:tc>
        <w:tc>
          <w:tcPr>
            <w:tcW w:w="8820" w:type="dxa"/>
            <w:vAlign w:val="bottom"/>
            <w:gridSpan w:val="12"/>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CONTROLS AND PROCEDURES</w:t>
              </w:r>
            </w:hyperlink>
          </w:p>
        </w:tc>
        <w:tc>
          <w:tcPr>
            <w:tcW w:w="12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35</w:t>
            </w: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PART II—OTHER INFORMATION</w:t>
              </w:r>
            </w:hyperlink>
          </w:p>
        </w:tc>
        <w:tc>
          <w:tcPr>
            <w:tcW w:w="7500" w:type="dxa"/>
            <w:vAlign w:val="bottom"/>
            <w:gridSpan w:val="9"/>
          </w:tcPr>
          <w:p>
            <w:pPr>
              <w:spacing w:after="0"/>
              <w:rPr>
                <w:sz w:val="17"/>
                <w:szCs w:val="17"/>
                <w:color w:val="auto"/>
              </w:rPr>
            </w:pPr>
          </w:p>
        </w:tc>
        <w:tc>
          <w:tcPr>
            <w:tcW w:w="12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35</w:t>
            </w:r>
          </w:p>
        </w:tc>
      </w:tr>
      <w:tr>
        <w:trPr>
          <w:trHeight w:val="196"/>
        </w:trPr>
        <w:tc>
          <w:tcPr>
            <w:tcW w:w="1360" w:type="dxa"/>
            <w:vAlign w:val="bottom"/>
            <w:gridSpan w:val="3"/>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1.</w:t>
              </w:r>
            </w:hyperlink>
          </w:p>
        </w:tc>
        <w:tc>
          <w:tcPr>
            <w:tcW w:w="8820" w:type="dxa"/>
            <w:vAlign w:val="bottom"/>
            <w:gridSpan w:val="12"/>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LEGAL PROCEEDINGS</w:t>
              </w:r>
            </w:hyperlink>
          </w:p>
        </w:tc>
        <w:tc>
          <w:tcPr>
            <w:tcW w:w="12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35</w:t>
            </w: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1A.</w:t>
              </w:r>
            </w:hyperlink>
          </w:p>
        </w:tc>
        <w:tc>
          <w:tcPr>
            <w:tcW w:w="560" w:type="dxa"/>
            <w:vAlign w:val="bottom"/>
          </w:tcPr>
          <w:p>
            <w:pPr>
              <w:spacing w:after="0"/>
              <w:rPr>
                <w:sz w:val="17"/>
                <w:szCs w:val="17"/>
                <w:color w:val="auto"/>
              </w:rPr>
            </w:pPr>
          </w:p>
        </w:tc>
        <w:tc>
          <w:tcPr>
            <w:tcW w:w="8820" w:type="dxa"/>
            <w:vAlign w:val="bottom"/>
            <w:gridSpan w:val="12"/>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RISK FACTORS</w:t>
              </w:r>
            </w:hyperlink>
          </w:p>
        </w:tc>
        <w:tc>
          <w:tcPr>
            <w:tcW w:w="12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36</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2.</w:t>
              </w:r>
            </w:hyperlink>
          </w:p>
        </w:tc>
        <w:tc>
          <w:tcPr>
            <w:tcW w:w="560" w:type="dxa"/>
            <w:vAlign w:val="bottom"/>
          </w:tcPr>
          <w:p>
            <w:pPr>
              <w:spacing w:after="0"/>
              <w:rPr>
                <w:sz w:val="17"/>
                <w:szCs w:val="17"/>
                <w:color w:val="auto"/>
              </w:rPr>
            </w:pPr>
          </w:p>
        </w:tc>
        <w:tc>
          <w:tcPr>
            <w:tcW w:w="8820" w:type="dxa"/>
            <w:vAlign w:val="bottom"/>
            <w:gridSpan w:val="12"/>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UNREGISTERED SALES OF EQUITY SECURITIES AND USE OF PROCEEDS</w:t>
              </w:r>
            </w:hyperlink>
          </w:p>
        </w:tc>
        <w:tc>
          <w:tcPr>
            <w:tcW w:w="12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40</w:t>
            </w:r>
          </w:p>
        </w:tc>
      </w:tr>
      <w:tr>
        <w:trPr>
          <w:trHeight w:val="20"/>
        </w:trPr>
        <w:tc>
          <w:tcPr>
            <w:tcW w:w="6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700" w:type="dxa"/>
            <w:vAlign w:val="bottom"/>
            <w:gridSpan w:val="7"/>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360" w:type="dxa"/>
            <w:vAlign w:val="bottom"/>
            <w:gridSpan w:val="3"/>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ITEM 4.</w:t>
              </w:r>
            </w:hyperlink>
          </w:p>
        </w:tc>
        <w:tc>
          <w:tcPr>
            <w:tcW w:w="8820" w:type="dxa"/>
            <w:vAlign w:val="bottom"/>
            <w:gridSpan w:val="12"/>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SUBMISSION OF MATTERS TO A VOTE OF SECURITY HOLDERS</w:t>
              </w:r>
            </w:hyperlink>
          </w:p>
        </w:tc>
        <w:tc>
          <w:tcPr>
            <w:tcW w:w="12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40</w:t>
            </w:r>
          </w:p>
        </w:tc>
      </w:tr>
      <w:tr>
        <w:trPr>
          <w:trHeight w:val="20"/>
        </w:trPr>
        <w:tc>
          <w:tcPr>
            <w:tcW w:w="6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700" w:type="dxa"/>
            <w:vAlign w:val="bottom"/>
            <w:gridSpan w:val="7"/>
            <w:shd w:val="clear" w:color="auto" w:fill="0000EE"/>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360" w:type="dxa"/>
            <w:vAlign w:val="bottom"/>
            <w:gridSpan w:val="3"/>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ITEM 6.</w:t>
              </w:r>
            </w:hyperlink>
          </w:p>
        </w:tc>
        <w:tc>
          <w:tcPr>
            <w:tcW w:w="8820" w:type="dxa"/>
            <w:vAlign w:val="bottom"/>
            <w:gridSpan w:val="12"/>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EXHIBITS</w:t>
              </w:r>
            </w:hyperlink>
          </w:p>
        </w:tc>
        <w:tc>
          <w:tcPr>
            <w:tcW w:w="12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41</w:t>
            </w:r>
          </w:p>
        </w:tc>
      </w:tr>
      <w:tr>
        <w:trPr>
          <w:trHeight w:val="426"/>
        </w:trPr>
        <w:tc>
          <w:tcPr>
            <w:tcW w:w="6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700" w:type="dxa"/>
            <w:vAlign w:val="bottom"/>
            <w:gridSpan w:val="7"/>
          </w:tcPr>
          <w:p>
            <w:pPr>
              <w:jc w:val="right"/>
              <w:ind w:right="116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6"/>
        </w:trPr>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As of June</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1"/>
              </w:rPr>
              <w:t>30, 2007</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71"/>
        </w:trPr>
        <w:tc>
          <w:tcPr>
            <w:tcW w:w="898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740" w:type="dxa"/>
            <w:vAlign w:val="bottom"/>
          </w:tcPr>
          <w:p>
            <w:pPr>
              <w:jc w:val="center"/>
              <w:ind w:right="31"/>
              <w:spacing w:after="0"/>
              <w:rPr>
                <w:sz w:val="20"/>
                <w:szCs w:val="20"/>
                <w:color w:val="auto"/>
              </w:rPr>
            </w:pPr>
            <w:r>
              <w:rPr>
                <w:rFonts w:ascii="Arial" w:cs="Arial" w:eastAsia="Arial" w:hAnsi="Arial"/>
                <w:sz w:val="14"/>
                <w:szCs w:val="14"/>
                <w:b w:val="1"/>
                <w:bCs w:val="1"/>
                <w:color w:val="auto"/>
                <w:w w:val="91"/>
              </w:rPr>
              <w:t>31, 2006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282,293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321,058</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130,535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80,703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 PINs and other</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51,447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02"/>
        </w:trPr>
        <w:tc>
          <w:tcPr>
            <w:tcW w:w="8980" w:type="dxa"/>
            <w:vAlign w:val="bottom"/>
          </w:tcPr>
          <w:p>
            <w:pPr>
              <w:ind w:left="220"/>
              <w:spacing w:after="0" w:line="201" w:lineRule="exact"/>
              <w:rPr>
                <w:sz w:val="20"/>
                <w:szCs w:val="20"/>
                <w:color w:val="auto"/>
              </w:rPr>
            </w:pPr>
            <w:r>
              <w:rPr>
                <w:rFonts w:ascii="Arial" w:cs="Arial" w:eastAsia="Arial" w:hAnsi="Arial"/>
                <w:sz w:val="18"/>
                <w:szCs w:val="18"/>
                <w:color w:val="auto"/>
              </w:rPr>
              <w:t>Trade accounts receivable, net of allowances for doubtful accounts of $5,246 at June 30, 2007 and $2,137 at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20"/>
              <w:spacing w:after="0"/>
              <w:rPr>
                <w:sz w:val="20"/>
                <w:szCs w:val="20"/>
                <w:color w:val="auto"/>
              </w:rPr>
            </w:pPr>
            <w:r>
              <w:rPr>
                <w:rFonts w:ascii="Arial" w:cs="Arial" w:eastAsia="Arial" w:hAnsi="Arial"/>
                <w:sz w:val="18"/>
                <w:szCs w:val="18"/>
                <w:color w:val="auto"/>
              </w:rPr>
              <w:t>December 31, 2006</w:t>
            </w:r>
          </w:p>
        </w:tc>
        <w:tc>
          <w:tcPr>
            <w:tcW w:w="8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264,135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212,631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10,337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763,021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688,471</w:t>
            </w:r>
          </w:p>
        </w:tc>
        <w:tc>
          <w:tcPr>
            <w:tcW w:w="0" w:type="dxa"/>
            <w:vAlign w:val="bottom"/>
          </w:tcPr>
          <w:p>
            <w:pPr>
              <w:spacing w:after="0"/>
              <w:rPr>
                <w:sz w:val="1"/>
                <w:szCs w:val="1"/>
                <w:color w:val="auto"/>
              </w:rPr>
            </w:pP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$106,442 at June 30, 2007 and $91,883 at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December 31, 2006</w:t>
            </w:r>
          </w:p>
        </w:tc>
        <w:tc>
          <w:tcPr>
            <w:tcW w:w="8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69,882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55,174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706,876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278,743</w:t>
            </w:r>
          </w:p>
        </w:tc>
        <w:tc>
          <w:tcPr>
            <w:tcW w:w="0" w:type="dxa"/>
            <w:vAlign w:val="bottom"/>
          </w:tcPr>
          <w:p>
            <w:pPr>
              <w:spacing w:after="0"/>
              <w:rPr>
                <w:sz w:val="1"/>
                <w:szCs w:val="1"/>
                <w:color w:val="auto"/>
              </w:rPr>
            </w:pP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$28,832 at June 30, 2007 and $20,696 at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December 31, 2006</w:t>
            </w:r>
          </w:p>
        </w:tc>
        <w:tc>
          <w:tcPr>
            <w:tcW w:w="8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160,823</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47,539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19,004</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Other assets, net of accumulated amortization of $11,825 at June 30, 2007 and $10,542 at December 31, 2006</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1,745,296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1,108,139</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307,321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269,212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135,738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99,039</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Current installments on capital lease obligations</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23,422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498,130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542,943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349,073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excluding current installments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56,018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43,071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Minority interest</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1,120,187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819,824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80" w:type="dxa"/>
            <w:vAlign w:val="bottom"/>
          </w:tcPr>
          <w:p>
            <w:pPr>
              <w:ind w:left="220"/>
              <w:spacing w:after="0" w:line="201" w:lineRule="exact"/>
              <w:rPr>
                <w:sz w:val="20"/>
                <w:szCs w:val="20"/>
                <w:color w:val="auto"/>
              </w:rPr>
            </w:pPr>
            <w:r>
              <w:rPr>
                <w:rFonts w:ascii="Arial" w:cs="Arial" w:eastAsia="Arial" w:hAnsi="Arial"/>
                <w:sz w:val="18"/>
                <w:szCs w:val="18"/>
                <w:color w:val="auto"/>
                <w:w w:val="98"/>
              </w:rPr>
              <w:t>Common Stock, $0.02 par value. 90,000,000 shares authorized; 48,686,117 and 37,647,782 issued at June 30,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20"/>
              <w:spacing w:after="0"/>
              <w:rPr>
                <w:sz w:val="20"/>
                <w:szCs w:val="20"/>
                <w:color w:val="auto"/>
              </w:rPr>
            </w:pPr>
            <w:r>
              <w:rPr>
                <w:rFonts w:ascii="Arial" w:cs="Arial" w:eastAsia="Arial" w:hAnsi="Arial"/>
                <w:sz w:val="18"/>
                <w:szCs w:val="18"/>
                <w:color w:val="auto"/>
              </w:rPr>
              <w:t>2007 and December 31, 2006, respectively</w:t>
            </w:r>
          </w:p>
        </w:tc>
        <w:tc>
          <w:tcPr>
            <w:tcW w:w="8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649,349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338,216</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Treasury stock, at cost, 210,441 and 207,755 shares at June 30, 2007 and December 31, 2006, respectively</w:t>
            </w: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Subscriptions receivable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(40,295)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(58,480)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reserve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625,109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288,315</w:t>
            </w:r>
          </w:p>
        </w:tc>
        <w:tc>
          <w:tcPr>
            <w:tcW w:w="0" w:type="dxa"/>
            <w:vAlign w:val="bottom"/>
          </w:tcPr>
          <w:p>
            <w:pPr>
              <w:spacing w:after="0"/>
              <w:rPr>
                <w:sz w:val="1"/>
                <w:szCs w:val="1"/>
                <w:color w:val="auto"/>
              </w:rPr>
            </w:pPr>
          </w:p>
        </w:tc>
      </w:tr>
      <w:tr>
        <w:trPr>
          <w:trHeight w:val="223"/>
        </w:trPr>
        <w:tc>
          <w:tcPr>
            <w:tcW w:w="89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1,745,296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1,108,139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EFT Processing Segment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45,684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39,618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87,731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Processing Segment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142,230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113,352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269,811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Money Transfer Segment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49,219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50,008</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237,133</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407,550</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160,411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105,761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281,075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30,789</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19,454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49,718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17,413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28,215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12,571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20,521</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221,184</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379,529</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3,387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8,441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(11,363)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Income from unconsolidated affiliates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exchange gain,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600"/>
              <w:spacing w:after="0"/>
              <w:rPr>
                <w:sz w:val="20"/>
                <w:szCs w:val="20"/>
                <w:color w:val="auto"/>
              </w:rPr>
            </w:pPr>
            <w:r>
              <w:rPr>
                <w:rFonts w:ascii="Arial" w:cs="Arial" w:eastAsia="Arial" w:hAnsi="Arial"/>
                <w:sz w:val="18"/>
                <w:szCs w:val="18"/>
                <w:color w:val="auto"/>
              </w:rPr>
              <w:t>Other income, net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Income from continuing operations before income taxes and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14,207</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14,938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27,716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(8,923)</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17,841</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18,185</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6,356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Unrealized loss on interest rate swaps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Comprehensive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14,945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13,245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25,853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basic:</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400"/>
              <w:spacing w:after="0"/>
              <w:rPr>
                <w:sz w:val="20"/>
                <w:szCs w:val="20"/>
                <w:color w:val="auto"/>
              </w:rPr>
            </w:pPr>
            <w:r>
              <w:rPr>
                <w:rFonts w:ascii="Arial" w:cs="Arial" w:eastAsia="Arial" w:hAnsi="Arial"/>
                <w:sz w:val="18"/>
                <w:szCs w:val="18"/>
                <w:color w:val="auto"/>
              </w:rPr>
              <w:t>Basic weighted average shares outstanding</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47,638,963</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37,030,289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42,379,086</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36,792,719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0.28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weighted average shares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49,359,226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42,748,568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47,929,754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42,414,161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3,726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Loss (gain) on disposal of property and equipment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discontinued operations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Deferred income tax benefit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(1,910)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assigned to minority interest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obligations issuance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(7,272)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5,321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17,532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(56,655)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(313,462)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escrow</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(353,827)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Proceeds from issuance of shares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163,541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short-term debt obligations and revolving credit agreements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408,663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Payments on short-term debt obligations and revolving credit agreements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(438,310)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 obligations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190,000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capital lease obligations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received from minority interest stockholders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Cash dividends paid to minority interest stockholders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313,045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differences on cash</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(38,765)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321,058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219,932</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282,293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232,723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Income taxes paid during the period</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9,156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Euronet Worldwide, Inc. and its subsidiaries (the “Company” or “Euronet”) is an industry leader in processing secure electronic financial transactions. Euronet’s Prepaid Processing Segment is one of the world’s largest providers of “top-up” services for prepaid products, primarily prepaid mobile airtime. The EFT Processing Segment provides end to end solutions relating to operations of automated teller machine (“ATM”) and Point of Sale (“POS”) networks, and debit and credit card processing in Europe, the Middle East, India and China. The Money Transfer Segment, comprised primarily of the Company’s RIA Envia, Inc. (“RIA”) subsidiary and its operating subsidiaries, is the third-largest global money transfer company and provides services through a sending network of agents and Company-owned stores in the U.S., the Caribbean, Europe and Asia, disbursing money transfers through a worldwide payer network.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June 30, 2007, the results of its operations for the three- and six-month periods ended June 30, 2007 and cash flows for the six-month periods ended June 30, 2007 and 2006.</w:t>
      </w:r>
    </w:p>
    <w:p>
      <w:pPr>
        <w:spacing w:after="0" w:line="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unaudited consolidated financial statements should be read in conjunction with the audited consolidated financial statements of Euronet for the year ended December 31, 2006, including the notes thereto, set forth in the Company’s Annual Report on Form 10-K.</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 The results of operations for the three- and six-month periods ended June 30, 2007 are not necessarily indicative of the results to be expected for the full year ending December 31, 2007. Certain amounts in prior years have been reclassified to conform to current period presentation.</w:t>
      </w:r>
    </w:p>
    <w:p>
      <w:pPr>
        <w:spacing w:after="0" w:line="183" w:lineRule="exact"/>
        <w:rPr>
          <w:sz w:val="20"/>
          <w:szCs w:val="20"/>
          <w:color w:val="auto"/>
        </w:rPr>
      </w:pPr>
    </w:p>
    <w:p>
      <w:pPr>
        <w:ind w:right="488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Money transfer settlement obligations</w:t>
      </w:r>
    </w:p>
    <w:p>
      <w:pPr>
        <w:ind w:right="14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 and consist of amounts owed by Euronet to money transfer recipients. As of June 30, 2007, the Company’s money transfer settlement obligations were $24.4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instruments and hedging activities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accounts for derivative instruments and hedging activities in accordance with Financial Accounting Standards Board (“FASB”) Statement of Financial Accounting Standards (“SFAS”) No. 133, “Accounting for Derivative Instruments and Hedging Activities,” as amended (“SFAS No. 133”), which requires that all derivative instruments be recognized as either assets or liabilities on the balance sheet at fair value. During the second quarter 2007, the Company entered into derivative instruments to manage exposure to interest rate risk that are considered cash flow hedges under the provisions of SFAS No. 133. To qualify for hedge accounting under SFAS No. 133,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stockholders’ equity as a component of other comprehensive income and then recognized as an adjustment to interest expense over the term of the hedging instrument.</w:t>
      </w:r>
    </w:p>
    <w:p>
      <w:pPr>
        <w:spacing w:after="0" w:line="5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Money Transfer Segment, the Company enters into foreign currency forward contracts to offset foreign currency exposure related to the notional value of money transfer transactions collected in currencies other than the U.S. dollar. These forward contracts are considered derivative instruments under the provisions of SFAS No. 133, however, the Company does not designate such instruments as hedges. Accordingly, changes in the value of these contracts are recognized immediately as a component of foreign currency exchange gain, net in the Unaudited Consolidated Statement of Income. The impact of changes in value of these forward contracts, together with the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impact of the change in value of the related foreign currency denominated receivable, on the Company’s Unaudited Consolidated Income Statement is not significant.</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Cash flows resulting from derivative instruments are classified as cash flows from operating activities in the Company’s Unaudited Consolidated Statement of Cash Flows. The Company enters into derivative instruments with highly credit-worthy financial institutions and does not use derivative instruments for trading or speculative purposes. See Note 8, Derivative Instruments and Hedging Activities, for further discussion of derivative instruments.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of taxes collected and remitted to governmental authorities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2006, the Emerging Issues Task Force (“EITF”) issued EITF 06-3, “How Taxes Collected and Remitted to Governmental Authorities Should Be Presented in the Income Statement (That Is, Gross versus Net Presentation).” The Company presents taxes collected and remitted to governmental authorities on a net basis in the accompanying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Effective January 1, 2007, the Company adopted the provisions of FASB Interpretation No. 48, “Accounting for Uncertainty in Income Taxes” (“FIN 48”), an interpretation of SFAS No. 109, “Accounting for Income Taxes.” FIN 48 seeks to reduce the diversity in practice associated with certain aspects of the measurement and recognition related to accounting for income taxes. This interpretation also requires expanded disclosures about fair value measurements.</w:t>
      </w:r>
    </w:p>
    <w:p>
      <w:pPr>
        <w:spacing w:after="0" w:line="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policy is to record estimated interest and penalties related to the underpayment of income taxes as income tax expense in the consolidated statements of income. See Note 13, Income Taxes, for further discussion regarding the adoption of FIN 48.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Liabilities—Including an amendment of FASB Statement No. 115” (“SFAS No. 159”). SFAS No. 159 expands the use of fair value accounting but does not affect existing standards which require assets or liabilities to be carried at fair value. Under SFAS No.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deferred financing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No. 159, changes in fair value are recognized in earnings. SFAS No. 159 is effective for Euronet beginning in the first quarter 2008. Euronet is currently determining whether fair value accounting is appropriate for any of its eligible items and cannot estimate the impact, if any, which SFAS No. 159 will have on its consolidated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weighted-average shares outstanding during the respective period, after adjusting for the potential dilution of the assumed conversion of the Company’s convertible debentures, shares issuable in connection with acquisition obligations, options to purchase the Company’s common stock and restricted stock. The following table provides a reconciliation of net income to earnings available to common stockholders and the computation of diluted weighted average number of common shares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Reconciliation of net income to earnings available to earnings available</w:t>
            </w:r>
          </w:p>
        </w:tc>
        <w:tc>
          <w:tcPr>
            <w:tcW w:w="5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common stockholders:</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8,618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11,127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18,185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Add: interest expense of 1.625% convertible debentures, if dilutive</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Earnings available to common stockholders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8,618</w:t>
            </w:r>
          </w:p>
        </w:tc>
        <w:tc>
          <w:tcPr>
            <w:tcW w:w="5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11,924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19,719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47,638,963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37,030,289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42,379,086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36,792,719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Additional shares from assumed conversion of 1.625% convertible</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debentures</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4,163,488</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4,163,488</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4,163,488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200"/>
              <w:spacing w:after="0" w:line="201" w:lineRule="exact"/>
              <w:rPr>
                <w:sz w:val="20"/>
                <w:szCs w:val="20"/>
                <w:color w:val="auto"/>
              </w:rPr>
            </w:pPr>
            <w:r>
              <w:rPr>
                <w:rFonts w:ascii="Arial" w:cs="Arial" w:eastAsia="Arial" w:hAnsi="Arial"/>
                <w:sz w:val="18"/>
                <w:szCs w:val="18"/>
                <w:color w:val="auto"/>
                <w:w w:val="98"/>
              </w:rPr>
              <w:t>Weighted average shares issuable in connection with acquisition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obligations (See Note 4 - Acquisitions)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673,636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91,285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338,679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Incremental shares from assumed conversion of stock options and</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stock</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1,046,627</w:t>
            </w: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1,463,506</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1,048,501</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1,384,926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49,359,226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42,748,568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47,929,754</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42,414,161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For both the three- and six-month periods ended June 30, 2007, the table does not include 532,985 stock options or shares of restricted stock that are anti-dilutive to the Company’s weighted average common shares outstanding. For the six-month period ended June 30, 2006, the table does not include 22,500 stock options or shares of restricted stock that are anti-dilutive to the Company’s weighted average common shares outstanding. For the three-month period ended June 30, 2006, the assumed conversion of all stock options and restricted stock outstanding was dilutive to the Company’s diluted earnings per share.</w:t>
      </w:r>
    </w:p>
    <w:p>
      <w:pPr>
        <w:spacing w:after="0" w:line="5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$140 million of 1.625% convertible debentures due 2024 and $175 million of 3.50% convertible debentures due 2025 outstanding that, if converted, would have a potentially dilutive effect on the Company’s stock. These debentures are convertible into 4.2 million shares of Common Stock for the $140 million 1.625% issue, and 4.3 million shares of Common Stock for the $175 million 3.50% issue only upon the occurrence of certain conditions. As required by EITF Issue No. 04-8, “The Effect of Contingently Convertible Debt on Diluted Earnings per Share,”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assumed conversion of the 1.625% convertible debentures was anti-dilutive for the three-month period ended June 30, 2007 and dilutive for the three-month period ended June 30, 2006 and six-month periods ended June 30, 2007 and 2006. Under the if-converted method, the assumed conversion of the 3.50% convertible debentures was anti-dilutive for the three- and six-month periods ended June 30, 2007 and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SFAS No. 141, “Business Combinations,” the Company allocates the purchase price of its acquisitions to the tangible assets, liabilities and intangible assets acquired based on estimated fair values. Any excess purchase price over those fair values is recorded as goodwill. The fair value assigned to intangible assets acquired is supported by valuations using estimates and assumptions provided by management. For certain acquisitions, management engages an appraiser to assist in the valuation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RIA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April 2007, the Company completed the acquisition of the common stock of RIA, which expanded the Company’s money transfer operations in the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internationally. The purchase price of $503.9 million was comprised of $358.3 million in cash, 4,053,606 shares of Euronet Common Stock valued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$108.9 million, 3,685,098 contingent value rights (“CVRs”) and stock appreciation rights (“SARs”) valued at a total of $32.1 million and transaction costs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$4.6 million. The Company financed the cash portion of the purchase price through a combination of cash on hand and $190 million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debt obligations. The following table summarizes the allocation of the purchase price to the fair values of the acquired tangible and intangible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assets at the acquisition date, which remains preliminary while management completes its valuation of the fair value of the net assets acquired.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3"/>
          </w:tcPr>
          <w:p>
            <w:pPr>
              <w:jc w:val="right"/>
              <w:ind w:right="730"/>
              <w:spacing w:after="0"/>
              <w:rPr>
                <w:sz w:val="20"/>
                <w:szCs w:val="20"/>
                <w:color w:val="auto"/>
              </w:rPr>
            </w:pPr>
            <w:r>
              <w:rPr>
                <w:rFonts w:ascii="Arial" w:cs="Arial" w:eastAsia="Arial" w:hAnsi="Arial"/>
                <w:sz w:val="14"/>
                <w:szCs w:val="14"/>
                <w:b w:val="1"/>
                <w:bCs w:val="1"/>
                <w:color w:val="auto"/>
                <w:w w:val="92"/>
              </w:rPr>
              <w:t>Estimated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7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460" w:type="dxa"/>
            <w:vAlign w:val="bottom"/>
            <w:gridSpan w:val="3"/>
          </w:tcPr>
          <w:p>
            <w:pPr>
              <w:jc w:val="right"/>
              <w:ind w:right="910"/>
              <w:spacing w:after="0"/>
              <w:rPr>
                <w:sz w:val="20"/>
                <w:szCs w:val="20"/>
                <w:color w:val="auto"/>
              </w:rPr>
            </w:pPr>
            <w:r>
              <w:rPr>
                <w:rFonts w:ascii="Arial" w:cs="Arial" w:eastAsia="Arial" w:hAnsi="Arial"/>
                <w:sz w:val="14"/>
                <w:szCs w:val="14"/>
                <w:b w:val="1"/>
                <w:bCs w:val="1"/>
                <w:color w:val="auto"/>
              </w:rPr>
              <w:t>Life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78,220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1460" w:type="dxa"/>
            <w:vAlign w:val="bottom"/>
            <w:gridSpan w:val="3"/>
          </w:tcPr>
          <w:p>
            <w:pPr>
              <w:jc w:val="center"/>
              <w:ind w:right="590"/>
              <w:spacing w:after="0"/>
              <w:rPr>
                <w:sz w:val="20"/>
                <w:szCs w:val="20"/>
                <w:color w:val="auto"/>
              </w:rPr>
            </w:pPr>
            <w:r>
              <w:rPr>
                <w:rFonts w:ascii="Arial" w:cs="Arial" w:eastAsia="Arial" w:hAnsi="Arial"/>
                <w:sz w:val="18"/>
                <w:szCs w:val="18"/>
                <w:color w:val="auto"/>
                <w:w w:val="92"/>
              </w:rPr>
              <w:t>various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10,854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6"/>
              </w:rPr>
              <w:t>3 - 8 years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73,210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560" w:type="dxa"/>
            <w:vAlign w:val="bottom"/>
          </w:tcPr>
          <w:p>
            <w:pPr>
              <w:spacing w:after="0"/>
              <w:rPr>
                <w:sz w:val="18"/>
                <w:szCs w:val="18"/>
                <w:color w:val="auto"/>
              </w:rPr>
            </w:pPr>
          </w:p>
        </w:tc>
        <w:tc>
          <w:tcPr>
            <w:tcW w:w="1460" w:type="dxa"/>
            <w:vAlign w:val="bottom"/>
            <w:gridSpan w:val="3"/>
          </w:tcPr>
          <w:p>
            <w:pPr>
              <w:jc w:val="center"/>
              <w:ind w:right="590"/>
              <w:spacing w:after="0"/>
              <w:rPr>
                <w:sz w:val="20"/>
                <w:szCs w:val="20"/>
                <w:color w:val="auto"/>
              </w:rPr>
            </w:pPr>
            <w:r>
              <w:rPr>
                <w:rFonts w:ascii="Arial" w:cs="Arial" w:eastAsia="Arial" w:hAnsi="Arial"/>
                <w:sz w:val="18"/>
                <w:szCs w:val="18"/>
                <w:color w:val="auto"/>
                <w:w w:val="89"/>
              </w:rPr>
              <w:t>20 years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37,150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4"/>
              </w:rPr>
              <w:t>5 years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Non-compete agreements</w:t>
            </w:r>
          </w:p>
        </w:tc>
        <w:tc>
          <w:tcPr>
            <w:tcW w:w="560" w:type="dxa"/>
            <w:vAlign w:val="bottom"/>
          </w:tcPr>
          <w:p>
            <w:pPr>
              <w:spacing w:after="0"/>
              <w:rPr>
                <w:sz w:val="18"/>
                <w:szCs w:val="18"/>
                <w:color w:val="auto"/>
              </w:rPr>
            </w:pPr>
          </w:p>
        </w:tc>
        <w:tc>
          <w:tcPr>
            <w:tcW w:w="1460" w:type="dxa"/>
            <w:vAlign w:val="bottom"/>
            <w:gridSpan w:val="3"/>
          </w:tcPr>
          <w:p>
            <w:pPr>
              <w:jc w:val="center"/>
              <w:ind w:right="590"/>
              <w:spacing w:after="0"/>
              <w:rPr>
                <w:sz w:val="20"/>
                <w:szCs w:val="20"/>
                <w:color w:val="auto"/>
              </w:rPr>
            </w:pPr>
            <w:r>
              <w:rPr>
                <w:rFonts w:ascii="Arial" w:cs="Arial" w:eastAsia="Arial" w:hAnsi="Arial"/>
                <w:sz w:val="18"/>
                <w:szCs w:val="18"/>
                <w:color w:val="auto"/>
                <w:w w:val="84"/>
              </w:rPr>
              <w:t>3 years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9"/>
                <w:szCs w:val="19"/>
                <w:color w:val="auto"/>
              </w:rPr>
            </w:pPr>
          </w:p>
        </w:tc>
        <w:tc>
          <w:tcPr>
            <w:tcW w:w="1340" w:type="dxa"/>
            <w:vAlign w:val="bottom"/>
            <w:gridSpan w:val="2"/>
          </w:tcPr>
          <w:p>
            <w:pPr>
              <w:jc w:val="center"/>
              <w:ind w:right="470"/>
              <w:spacing w:after="0"/>
              <w:rPr>
                <w:sz w:val="20"/>
                <w:szCs w:val="20"/>
                <w:color w:val="auto"/>
              </w:rPr>
            </w:pPr>
            <w:r>
              <w:rPr>
                <w:rFonts w:ascii="Arial" w:cs="Arial" w:eastAsia="Arial" w:hAnsi="Arial"/>
                <w:sz w:val="18"/>
                <w:szCs w:val="18"/>
                <w:color w:val="auto"/>
                <w:w w:val="95"/>
              </w:rPr>
              <w:t>Indefinite</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402,839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acquired</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605,549</w:t>
            </w: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(85,190)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w:t>
            </w: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(14,852)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assets acquired</w:t>
            </w:r>
          </w:p>
        </w:tc>
        <w:tc>
          <w:tcPr>
            <w:tcW w:w="1900" w:type="dxa"/>
            <w:vAlign w:val="bottom"/>
            <w:gridSpan w:val="3"/>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503,933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the Stock Purchase Agreement, as amended, $35.0 million in cash and 276,382 shares of Euronet Common Stock valued at</w:t>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$7.4 million are being held in escrow to secure certain obligations of the sellers under the Stock Purchase Agreement, as amended. These amounts have been reflected in the purchase price because the Company has determined beyond a reasonable doubt that the obligations will be met. The 3,685,098 CVRs mature on October 1, 2008 and will result in the issuance of up to $20 million of additional shares of Euronet Common Stock or payment of additional cash, at the Company’s option, if the price of Euronet Common Stock is less than $32.56 on the maturity date. The 3,685,098 SARs entitle the sellers to acquire additional shares of Euronet Common Stock at an exercise price of $27.14 at any time through October 1, 2008. Between the CVRs and SARs, the sellers are entitled to additional consideration of at least $20 million in Euronet Common Stock or cash. Management has initially estimated the total fair value of the CVRs and SARs at approximately $32.1 million using a Black Scholes pricing model. These and other terms and conditions applicable to the CVRs and SARs are set forth in the agreements governing these instruments.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in April 2007, the Company combined its previous money transfer business with RIA and incurred total exit costs of approximately $0.9 million during the second quarter 2007. These costs were recorded as operating expenses and represent the accelerated depreciation and amortization of property and equipment, software and leasehold improvements that were disposed of during the second quarter 2007; the write off of marketing materials and trademarks that have been discontinued; the write off of accounts receivable from agents that did not meet RIA’s credit requirements; and severance and retention payments made to certain employees. Additional costs incurred in association with exiting the Company’s previous money transfer business, if any, are not expected to be significant.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During the six-months ended June 30, 2007, the Company completed three other acquisitions described below for an aggregate purchase price of</w:t>
      </w:r>
    </w:p>
    <w:p>
      <w:pPr>
        <w:spacing w:after="0" w:line="3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$26.5 million, comprised of $18.1 million in cash, 275,429 shares of Euronet Common Stock valued at $7.6 million and notes payable of $0.8 million. In connection with one of these acquisitions, the Company agreed to certain contingent consideration arrangements based on the value of Euronet Common Stock and the achievement of certain performance criteria. Upon the achievement of certain performance criteria, during 2009 and 2010, the Company may have to pay a total of $2.5 million in cash or 75,489 shares of Euronet Common Stock, at the option of the seller.</w:t>
      </w:r>
    </w:p>
    <w:p>
      <w:pPr>
        <w:spacing w:after="0" w:line="69" w:lineRule="exact"/>
        <w:rPr>
          <w:sz w:val="20"/>
          <w:szCs w:val="20"/>
          <w:color w:val="auto"/>
        </w:rPr>
      </w:pPr>
    </w:p>
    <w:p>
      <w:pPr>
        <w:ind w:left="660" w:right="140" w:hanging="436"/>
        <w:spacing w:after="0" w:line="286"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During January 2007, EFT Services Holding BV and Euronet Adminisztracios Kft, both wholly-owned subsidiaries of Euronet, completed the acquisition of a total of 100% of the share capital of Brodos SRL in Romania (“Brodos Romania”). Brodos Romania is a leading electronic prepaid mobile airtime processor that expanded the Company’s Prepaid Processing Segment business to Romania.</w:t>
      </w:r>
    </w:p>
    <w:p>
      <w:pPr>
        <w:spacing w:after="0" w:line="70" w:lineRule="exact"/>
        <w:rPr>
          <w:rFonts w:ascii="Arial" w:cs="Arial" w:eastAsia="Arial" w:hAnsi="Arial"/>
          <w:sz w:val="17"/>
          <w:szCs w:val="17"/>
          <w:b w:val="1"/>
          <w:bCs w:val="1"/>
          <w:color w:val="auto"/>
        </w:rPr>
      </w:pPr>
    </w:p>
    <w:p>
      <w:pPr>
        <w:jc w:val="both"/>
        <w:ind w:left="660" w:right="52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February 2007, e-pay Holdings Limited, a wholly-owned subsidiary of Euronet, completed the acquisition of all of the share capital of Omega Logic, Ltd. (“Omega Logic”). Omega Logic is a prepaid top-up company based, and primarily operating, in the U.K. This acquisition enhanced our Prepaid Processing Segment business in the U.K.</w:t>
      </w:r>
    </w:p>
    <w:p>
      <w:pPr>
        <w:spacing w:after="0" w:line="86" w:lineRule="exact"/>
        <w:rPr>
          <w:rFonts w:ascii="Arial" w:cs="Arial" w:eastAsia="Arial" w:hAnsi="Arial"/>
          <w:sz w:val="18"/>
          <w:szCs w:val="18"/>
          <w:b w:val="1"/>
          <w:bCs w:val="1"/>
          <w:color w:val="auto"/>
        </w:rPr>
      </w:pPr>
    </w:p>
    <w:p>
      <w:pPr>
        <w:jc w:val="both"/>
        <w:ind w:left="660" w:right="8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April 2007, PaySpot, Inc. (a wholly-owned subsidiary of Euronet) acquired customer relationships from Synergy Telecom, Inc. (“Synergy”) and Synergy agreed not to compete with PaySpot in the prepaid mobile phone top-up business in the U.S. for a period of five years. This acquisition enhances the Company’s Prepaid Processing Segment business in the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June 30, 2007, 75,743 shares of Euronet Common Stock issued in connection with these acquisitions remains in escrow subject to the achievement of certain performance criteria. These shares have been reflected in the purchase price because the Company has determined beyond a reasonable doubt that the performance criteria will be met.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to acquire La Nacional</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January 2007, the Company signed a stock purchase agreement to acquire Envios de Valores La Nacional Corp. and its U.S. based affiliates (“La Nacional”), a money transfer company originating transactions through a network of sending agents and company-owned stores. See Note 11, Commitments, Litigation and Contingencies, for further disclosure regarding the agreement to acquire La Nacional.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Acquisition: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2006, the Company completed the acquisition of the assets of Essentis, Limited (“Essentis”) for approximately $2.9 million, which was comprised of $0.9 million in cash and approximately $2.0 million in assumed liabilities. Essentis is a U.K. company that owns and develops software packages that enhance Euronet’s outsourcing and software offerings to banks. Essentis is reported in the Company’s EFT Processing Segment. There are no potential additional purchase price or escrow arrangements associated with the acquisition of Essentis.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and Condensed Statements of Net Income:</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following unaudited pro forma financial information presents the condensed combined results of operations of Euronet for the three- and six- months ended June 30, 2007 and 2006, as if the acquisition of RIA described above had occurred January 1, 2006. Adjustments were made to reflect the impact of events that are a direct result of the acquisition and are expected to have a continuing impact on the Company’s combined results of operations, including amortization of purchased intangible assets that would have been recorded if the acquisition had occurred at the beginning of the periods presented. The pro forma financial information is not intended to represent, or be indicative of, the consolidated results of operations or financial condition of Euronet that would have been reported had the acquisitions been completed as of the beginning of the periods presented. Moreover, the pro forma financial information should not be considered as representative of the future consolidated results of operations or financial condition of Euronet.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Pro Forma for the Three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Pro Forma for the Six</w:t>
            </w:r>
          </w:p>
        </w:tc>
        <w:tc>
          <w:tcPr>
            <w:tcW w:w="0" w:type="dxa"/>
            <w:vAlign w:val="bottom"/>
          </w:tcPr>
          <w:p>
            <w:pPr>
              <w:spacing w:after="0"/>
              <w:rPr>
                <w:sz w:val="1"/>
                <w:szCs w:val="1"/>
                <w:color w:val="auto"/>
              </w:rPr>
            </w:pPr>
          </w:p>
        </w:tc>
      </w:tr>
      <w:tr>
        <w:trPr>
          <w:trHeight w:val="171"/>
        </w:trPr>
        <w:tc>
          <w:tcPr>
            <w:tcW w:w="546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Months Ended June 30,</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Months Ended June 30,</w:t>
            </w:r>
          </w:p>
        </w:tc>
        <w:tc>
          <w:tcPr>
            <w:tcW w:w="0" w:type="dxa"/>
            <w:vAlign w:val="bottom"/>
          </w:tcPr>
          <w:p>
            <w:pPr>
              <w:spacing w:after="0"/>
              <w:rPr>
                <w:sz w:val="1"/>
                <w:szCs w:val="1"/>
                <w:color w:val="auto"/>
              </w:rPr>
            </w:pPr>
          </w:p>
        </w:tc>
      </w:tr>
      <w:tr>
        <w:trPr>
          <w:trHeight w:val="142"/>
        </w:trPr>
        <w:tc>
          <w:tcPr>
            <w:tcW w:w="54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57"/>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357"/>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6"/>
              </w:rPr>
              <w:t>239,606</w:t>
            </w: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86"/>
              </w:rPr>
              <w:t>200,143</w:t>
            </w: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9"/>
              </w:rPr>
              <w:t>453,739</w:t>
            </w: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89"/>
              </w:rPr>
              <w:t>387,072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16,829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14,896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7"/>
              <w:spacing w:after="0"/>
              <w:rPr>
                <w:sz w:val="20"/>
                <w:szCs w:val="20"/>
                <w:color w:val="auto"/>
              </w:rPr>
            </w:pPr>
            <w:r>
              <w:rPr>
                <w:rFonts w:ascii="Arial" w:cs="Arial" w:eastAsia="Arial" w:hAnsi="Arial"/>
                <w:sz w:val="18"/>
                <w:szCs w:val="18"/>
                <w:color w:val="auto"/>
              </w:rPr>
              <w:t>29,056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27,176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8,650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7,412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11,010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10,551</w:t>
            </w:r>
          </w:p>
        </w:tc>
        <w:tc>
          <w:tcPr>
            <w:tcW w:w="0" w:type="dxa"/>
            <w:vAlign w:val="bottom"/>
          </w:tcPr>
          <w:p>
            <w:pPr>
              <w:spacing w:after="0"/>
              <w:rPr>
                <w:sz w:val="1"/>
                <w:szCs w:val="1"/>
                <w:color w:val="auto"/>
              </w:rPr>
            </w:pPr>
          </w:p>
        </w:tc>
      </w:tr>
      <w:tr>
        <w:trPr>
          <w:trHeight w:val="432"/>
        </w:trPr>
        <w:tc>
          <w:tcPr>
            <w:tcW w:w="5460" w:type="dxa"/>
            <w:vAlign w:val="bottom"/>
            <w:gridSpan w:val="3"/>
          </w:tcPr>
          <w:p>
            <w:pPr>
              <w:spacing w:after="0"/>
              <w:rPr>
                <w:sz w:val="20"/>
                <w:szCs w:val="20"/>
                <w:color w:val="auto"/>
              </w:rPr>
            </w:pPr>
            <w:r>
              <w:rPr>
                <w:rFonts w:ascii="Arial" w:cs="Arial" w:eastAsia="Arial" w:hAnsi="Arial"/>
                <w:sz w:val="18"/>
                <w:szCs w:val="18"/>
                <w:color w:val="auto"/>
              </w:rPr>
              <w:t>Per share data:</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per share-basic</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Net income per share-diluted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0.17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7"/>
              <w:spacing w:after="0"/>
              <w:rPr>
                <w:sz w:val="20"/>
                <w:szCs w:val="20"/>
                <w:color w:val="auto"/>
              </w:rPr>
            </w:pPr>
            <w:r>
              <w:rPr>
                <w:rFonts w:ascii="Arial" w:cs="Arial" w:eastAsia="Arial" w:hAnsi="Arial"/>
                <w:sz w:val="18"/>
                <w:szCs w:val="18"/>
                <w:color w:val="auto"/>
              </w:rPr>
              <w:t>0.24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property and equipment, net of accumulated depreciation and amortization, as of June 30, 2007 and December 31, 2006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December</w:t>
            </w:r>
          </w:p>
        </w:tc>
        <w:tc>
          <w:tcPr>
            <w:tcW w:w="0" w:type="dxa"/>
            <w:vAlign w:val="bottom"/>
          </w:tcPr>
          <w:p>
            <w:pPr>
              <w:spacing w:after="0"/>
              <w:rPr>
                <w:sz w:val="1"/>
                <w:szCs w:val="1"/>
                <w:color w:val="auto"/>
              </w:rPr>
            </w:pPr>
          </w:p>
        </w:tc>
      </w:tr>
      <w:tr>
        <w:trPr>
          <w:trHeight w:val="171"/>
        </w:trPr>
        <w:tc>
          <w:tcPr>
            <w:tcW w:w="45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1"/>
              </w:rPr>
              <w:t>31, 2006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4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81,322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POS terminals</w:t>
            </w:r>
          </w:p>
        </w:tc>
        <w:tc>
          <w:tcPr>
            <w:tcW w:w="4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27,965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Vehicles and office equipment</w:t>
            </w:r>
          </w:p>
        </w:tc>
        <w:tc>
          <w:tcPr>
            <w:tcW w:w="4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4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176,324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147,057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(106,442)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(91,883)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69,882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60" w:type="dxa"/>
            <w:vAlign w:val="bottom"/>
            <w:vMerge w:val="restart"/>
          </w:tcPr>
          <w:p>
            <w:pPr>
              <w:jc w:val="right"/>
              <w:ind w:right="273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goodwill activity for the six-month period ended June 30, 2007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Intangible</w:t>
            </w: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Goodwill</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$ 278,743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$ 326,282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RIA</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112,240</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402,839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515,079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Other 2007 acquisitions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8,366</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20,264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to 2006 acquisition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(8,349)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Balance as of June 30, 2007</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160,823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$ 706,876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$ 867,699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June 30, 2007, is expected to total $20.1 million for 2007, $23.3 million for 2008, $23.3 million for 2009, $23.0 million for 2010, $19.3 million for 2011 and $16.1 million for 2012.</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annual goodwill impairment test for the year ended December 31, 2006 indicated that there were no impairments. Determining the fair value of reporting units for the purpose of the goodwill impairment test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material non-cash impairment charges during the year in which these changes take place.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six-month period ended June 30, 2007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92"/>
              </w:rPr>
              <w:t>Revolving</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6"/>
              </w:rPr>
              <w:t>1.625%</w:t>
            </w:r>
          </w:p>
        </w:tc>
        <w:tc>
          <w:tcPr>
            <w:tcW w:w="280" w:type="dxa"/>
            <w:vAlign w:val="bottom"/>
          </w:tcPr>
          <w:p>
            <w:pPr>
              <w:spacing w:after="0"/>
              <w:rPr>
                <w:sz w:val="14"/>
                <w:szCs w:val="14"/>
                <w:color w:val="auto"/>
              </w:rPr>
            </w:pPr>
          </w:p>
        </w:tc>
        <w:tc>
          <w:tcPr>
            <w:tcW w:w="100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rPr>
              <w:t>3.50%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Credit</w:t>
            </w: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 Loan</w:t>
            </w:r>
          </w:p>
        </w:tc>
        <w:tc>
          <w:tcPr>
            <w:tcW w:w="24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2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Facilities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Leases</w:t>
            </w:r>
          </w:p>
        </w:tc>
        <w:tc>
          <w:tcPr>
            <w:tcW w:w="2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Due 2024</w:t>
            </w:r>
          </w:p>
        </w:tc>
        <w:tc>
          <w:tcPr>
            <w:tcW w:w="2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Due 2025</w:t>
            </w:r>
          </w:p>
        </w:tc>
        <w:tc>
          <w:tcPr>
            <w:tcW w:w="2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34,073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4,378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20,001</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$ 140,000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$ 175,000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$ 373,452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Increases (decreases):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borrowings (repayments)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189,525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Capital lease interest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Balance at June 30, 2007</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40,318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18,846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189,525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Less - current maturities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(12,994)</w:t>
            </w:r>
          </w:p>
        </w:tc>
        <w:tc>
          <w:tcPr>
            <w:tcW w:w="0" w:type="dxa"/>
            <w:vAlign w:val="bottom"/>
          </w:tcPr>
          <w:p>
            <w:pPr>
              <w:spacing w:after="0"/>
              <w:rPr>
                <w:sz w:val="1"/>
                <w:szCs w:val="1"/>
                <w:color w:val="auto"/>
              </w:rPr>
            </w:pPr>
          </w:p>
        </w:tc>
      </w:tr>
      <w:tr>
        <w:trPr>
          <w:trHeight w:val="209"/>
        </w:trPr>
        <w:tc>
          <w:tcPr>
            <w:tcW w:w="2620" w:type="dxa"/>
            <w:vAlign w:val="bottom"/>
            <w:gridSpan w:val="2"/>
          </w:tcPr>
          <w:p>
            <w:pPr>
              <w:spacing w:after="0"/>
              <w:rPr>
                <w:sz w:val="20"/>
                <w:szCs w:val="20"/>
                <w:color w:val="auto"/>
              </w:rPr>
            </w:pPr>
            <w:r>
              <w:rPr>
                <w:rFonts w:ascii="Arial" w:cs="Arial" w:eastAsia="Arial" w:hAnsi="Arial"/>
                <w:sz w:val="18"/>
                <w:szCs w:val="18"/>
                <w:color w:val="auto"/>
                <w:w w:val="97"/>
              </w:rPr>
              <w:t>Long-term obligations at June 30,</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40,318</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12,860</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$ 140,000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$ 175,000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187,625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$ 555,803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completion of the acquisition of RIA during April 2007, the Company entered into a $290 million secured syndicated credit facility consisting of a $190 million seven-year term loan, which was fully-drawn at closing, and a $100 million five-year revolving credit facility (the “Credit Facility”) that replaced the previous $50 million revolving credit facility. The $190 million seven-year term loan bears interest at LIBOR plus 200 basis points or prime plus 100 basis points and contains a 1% per annum principal amortization requirement, payable quarterly, with the remaining balance outstanding due at the end of year seven. The $100 million five-year revolving line of credit bears interest at LIBOR or prime plus a margin that adjusts each quarter based upon the Company’s consolidated total leverage ratio. The weighted average interest rate of the Company’s borrowings under the revolving credit facility was 8.2% as of June 30, 2007.</w:t>
      </w:r>
    </w:p>
    <w:p>
      <w:pPr>
        <w:spacing w:after="0" w:line="8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term loan may be expanded by up to an additional $150 million and the revolving credit facility may be expanded by up to an additional $25 million, subject to satisfaction of certain conditions including pro-forma debt covenant compliance. The new agreements contain certain mandatory prepayments, customary events of default and financial covenants, including leverage ratios. The leverage ratios step down on various dates through September 2008. Financing costs of $4.3 million have been deferred and are being amortized over the terms of the respective loans.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second quarter 2007, the Company entered into interest rate swap agreements for a total notional amount of $50 million to manage interest rate exposure related to a portion of the term loan, which currently bears interest at LIBOR plus 200 basis points. The interest rate swap agreements are determined to be cash flow hedges and effectively convert $50 million of the term loan to a fixed interest rate of 7.3% through the May 2009 maturity date of the swap agreements. As of June 30, 2007, the Company has recorded a liability of less than $0.1 million in the other long-term liabilities caption on the Company’s Consolidated Balance Sheets to recognize the fair value of the swap agreements. The offset is recorded in accumulated other comprehensive income. The fair value of swap agreements is based on market quotes received from the agreement counterparties and represents the net amount the Company would have been required to pay to terminate the positions.</w:t>
      </w:r>
    </w:p>
    <w:p>
      <w:pPr>
        <w:spacing w:after="0" w:line="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June 30, 2007, the Company had foreign currency forward contracts outstanding with a notional value of $29.8 million, $3.0 million and $2.7 million in euros, British pounds and other currencies, respectively, that were not designated as hedges and had in a weighted average maturity of 17 days.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PRIVATE PLACEMENT</w:t>
      </w:r>
    </w:p>
    <w:p>
      <w:pPr>
        <w:spacing w:after="0" w:line="12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During March 2007, the Company entered into a securities purchase agreement with certain accredited investors to issue and sell 6,374,528 shares of Common Stock in a private placement. The offering price for the shares was $25.00 per share and the gross proceeds of the offering were approximately $159.4 million. The net proceeds from the sale, after deducting commissions and estimated expenses, were approximately $154.3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Euronet’s reportable operating segments have been determined in accordance with SFAS No. 131, “Disclosures About Segments of an Enterprise and Related Information.” Effective January 1, 2007, the Company began reporting and managing the operations of the EFT Processing Segment and the Software Solutions Segment on a combined basis. Additionally, as a result of the acquisition of RIA in April 2007, the Company began reporting the Money Transfer Segment. The Company’s former money transfer business was previously reported within the Prepaid Processing Segment. Previously reported amounts have been restated to reflect these changes, which did not impact the Company’s consolidated financial statements. As a result of these changes, the Company currently operates in the following three reportable operating segments.</w:t>
      </w:r>
    </w:p>
    <w:p>
      <w:pPr>
        <w:spacing w:after="0" w:line="70" w:lineRule="exact"/>
        <w:rPr>
          <w:sz w:val="20"/>
          <w:szCs w:val="20"/>
          <w:color w:val="auto"/>
        </w:rPr>
      </w:pPr>
    </w:p>
    <w:p>
      <w:pPr>
        <w:ind w:left="660" w:right="280" w:hanging="436"/>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Asia and Africa. The Company provides comprehensive electronic payment solutions consisting of ATM network participation, outsourced ATM and POS management solutions, credit and gift card outsourcing and electronic recharge services for prepaid mobile airtime. Through this segment, the Company also offers a suite of integrated electronic financial transaction (“EFT”) software solutions for electronic payment, merchant acquiring, card issuing and transaction delivery systems.</w:t>
      </w:r>
    </w:p>
    <w:p>
      <w:pPr>
        <w:spacing w:after="0" w:line="93" w:lineRule="exact"/>
        <w:rPr>
          <w:rFonts w:ascii="Arial" w:cs="Arial" w:eastAsia="Arial" w:hAnsi="Arial"/>
          <w:sz w:val="18"/>
          <w:szCs w:val="18"/>
          <w:color w:val="auto"/>
        </w:rPr>
      </w:pPr>
    </w:p>
    <w:p>
      <w:pPr>
        <w:ind w:left="660" w:right="24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distribution of prepaid mobile airtime and other prepaid products and collection services in the U.S., Europe, Africa and Asia Pacific.</w:t>
      </w:r>
    </w:p>
    <w:p>
      <w:pPr>
        <w:spacing w:after="0" w:line="75" w:lineRule="exact"/>
        <w:rPr>
          <w:rFonts w:ascii="Arial" w:cs="Arial" w:eastAsia="Arial" w:hAnsi="Arial"/>
          <w:sz w:val="18"/>
          <w:szCs w:val="18"/>
          <w:color w:val="auto"/>
        </w:rPr>
      </w:pPr>
    </w:p>
    <w:p>
      <w:pPr>
        <w:ind w:left="660" w:right="80" w:hanging="43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and bill payment services through a sending network of agents and Company-owned stores primarily in North America, the Caribbean, Europe and Asia Pacific, disbursing money transfers through a worldwide payer network.</w:t>
      </w:r>
    </w:p>
    <w:p>
      <w:pPr>
        <w:spacing w:after="0" w:line="7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certain intersegment eliminations and the costs of providing corporate and other administrative services to the three segments.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segment results of the Company’s operations for the three- and six-month periods ended June 30, 2007 and 2006:</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9"/>
          </w:tcPr>
          <w:p>
            <w:pPr>
              <w:jc w:val="right"/>
              <w:ind w:right="910"/>
              <w:spacing w:after="0"/>
              <w:rPr>
                <w:sz w:val="20"/>
                <w:szCs w:val="20"/>
                <w:color w:val="auto"/>
              </w:rPr>
            </w:pPr>
            <w:r>
              <w:rPr>
                <w:rFonts w:ascii="Arial" w:cs="Arial" w:eastAsia="Arial" w:hAnsi="Arial"/>
                <w:sz w:val="14"/>
                <w:szCs w:val="14"/>
                <w:b w:val="1"/>
                <w:bCs w:val="1"/>
                <w:color w:val="auto"/>
              </w:rPr>
              <w:t>For the Three Months Ended June 30, 2007</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gridSpan w:val="3"/>
          </w:tcPr>
          <w:p>
            <w:pPr>
              <w:jc w:val="center"/>
              <w:ind w:right="590"/>
              <w:spacing w:after="0" w:line="119" w:lineRule="exact"/>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EFT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9"/>
              </w:rPr>
              <w:t>Prepaid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690"/>
              <w:spacing w:after="0"/>
              <w:rPr>
                <w:sz w:val="20"/>
                <w:szCs w:val="20"/>
                <w:color w:val="auto"/>
              </w:rPr>
            </w:pPr>
            <w:r>
              <w:rPr>
                <w:rFonts w:ascii="Arial" w:cs="Arial" w:eastAsia="Arial" w:hAnsi="Arial"/>
                <w:sz w:val="14"/>
                <w:szCs w:val="14"/>
                <w:b w:val="1"/>
                <w:bCs w:val="1"/>
                <w:color w:val="auto"/>
                <w:w w:val="94"/>
              </w:rPr>
              <w:t>Money</w:t>
            </w:r>
          </w:p>
        </w:tc>
        <w:tc>
          <w:tcPr>
            <w:tcW w:w="80" w:type="dxa"/>
            <w:vAlign w:val="bottom"/>
          </w:tcPr>
          <w:p>
            <w:pPr>
              <w:spacing w:after="0"/>
              <w:rPr>
                <w:sz w:val="12"/>
                <w:szCs w:val="12"/>
                <w:color w:val="auto"/>
              </w:rPr>
            </w:pPr>
          </w:p>
        </w:tc>
        <w:tc>
          <w:tcPr>
            <w:tcW w:w="1360" w:type="dxa"/>
            <w:vAlign w:val="bottom"/>
            <w:gridSpan w:val="2"/>
          </w:tcPr>
          <w:p>
            <w:pPr>
              <w:jc w:val="center"/>
              <w:ind w:right="65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40" w:type="dxa"/>
            <w:vAlign w:val="bottom"/>
            <w:gridSpan w:val="3"/>
          </w:tcPr>
          <w:p>
            <w:pPr>
              <w:jc w:val="center"/>
              <w:ind w:right="57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60" w:type="dxa"/>
            <w:vAlign w:val="bottom"/>
          </w:tcPr>
          <w:p>
            <w:pPr>
              <w:spacing w:after="0"/>
              <w:rPr>
                <w:sz w:val="14"/>
                <w:szCs w:val="14"/>
                <w:color w:val="auto"/>
              </w:rPr>
            </w:pPr>
          </w:p>
        </w:tc>
        <w:tc>
          <w:tcPr>
            <w:tcW w:w="1340" w:type="dxa"/>
            <w:vAlign w:val="bottom"/>
            <w:gridSpan w:val="3"/>
          </w:tcPr>
          <w:p>
            <w:pPr>
              <w:jc w:val="center"/>
              <w:ind w:right="570"/>
              <w:spacing w:after="0"/>
              <w:rPr>
                <w:sz w:val="20"/>
                <w:szCs w:val="20"/>
                <w:color w:val="auto"/>
              </w:rPr>
            </w:pPr>
            <w:r>
              <w:rPr>
                <w:rFonts w:ascii="Arial" w:cs="Arial" w:eastAsia="Arial" w:hAnsi="Arial"/>
                <w:sz w:val="14"/>
                <w:szCs w:val="14"/>
                <w:b w:val="1"/>
                <w:bCs w:val="1"/>
                <w:color w:val="auto"/>
                <w:w w:val="92"/>
              </w:rPr>
              <w:t>Transfer</w:t>
            </w:r>
          </w:p>
        </w:tc>
        <w:tc>
          <w:tcPr>
            <w:tcW w:w="1440" w:type="dxa"/>
            <w:vAlign w:val="bottom"/>
            <w:gridSpan w:val="3"/>
          </w:tcPr>
          <w:p>
            <w:pPr>
              <w:jc w:val="center"/>
              <w:ind w:right="570"/>
              <w:spacing w:after="0"/>
              <w:rPr>
                <w:sz w:val="20"/>
                <w:szCs w:val="20"/>
                <w:color w:val="auto"/>
              </w:rPr>
            </w:pPr>
            <w:r>
              <w:rPr>
                <w:rFonts w:ascii="Arial" w:cs="Arial" w:eastAsia="Arial" w:hAnsi="Arial"/>
                <w:sz w:val="14"/>
                <w:szCs w:val="14"/>
                <w:b w:val="1"/>
                <w:bCs w:val="1"/>
                <w:color w:val="auto"/>
                <w:w w:val="93"/>
              </w:rPr>
              <w:t>and Other</w:t>
            </w: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60" w:type="dxa"/>
            <w:vAlign w:val="bottom"/>
            <w:tcBorders>
              <w:left w:val="single" w:sz="8" w:color="CCEEFF"/>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$ 45,684</w:t>
            </w:r>
          </w:p>
        </w:tc>
        <w:tc>
          <w:tcPr>
            <w:tcW w:w="160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$ 142,230</w:t>
            </w:r>
          </w:p>
        </w:tc>
        <w:tc>
          <w:tcPr>
            <w:tcW w:w="1400" w:type="dxa"/>
            <w:vAlign w:val="bottom"/>
            <w:tcBorders>
              <w:right w:val="single" w:sz="8" w:color="CCEEFF"/>
            </w:tcBorders>
            <w:gridSpan w:val="4"/>
            <w:shd w:val="clear" w:color="auto" w:fill="CCEEFF"/>
          </w:tcPr>
          <w:p>
            <w:pPr>
              <w:jc w:val="right"/>
              <w:ind w:right="570"/>
              <w:spacing w:after="0"/>
              <w:rPr>
                <w:sz w:val="20"/>
                <w:szCs w:val="20"/>
                <w:color w:val="auto"/>
              </w:rPr>
            </w:pPr>
            <w:r>
              <w:rPr>
                <w:rFonts w:ascii="Arial" w:cs="Arial" w:eastAsia="Arial" w:hAnsi="Arial"/>
                <w:sz w:val="18"/>
                <w:szCs w:val="18"/>
                <w:color w:val="auto"/>
              </w:rPr>
              <w:t>$ 49,219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237,133</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17,768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116,248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26,395</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160,411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10,557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70"/>
              <w:spacing w:after="0"/>
              <w:rPr>
                <w:sz w:val="20"/>
                <w:szCs w:val="20"/>
                <w:color w:val="auto"/>
              </w:rPr>
            </w:pPr>
            <w:r>
              <w:rPr>
                <w:rFonts w:ascii="Arial" w:cs="Arial" w:eastAsia="Arial" w:hAnsi="Arial"/>
                <w:sz w:val="18"/>
                <w:szCs w:val="18"/>
                <w:color w:val="auto"/>
              </w:rPr>
              <w:t>9,833</w:t>
            </w:r>
          </w:p>
        </w:tc>
        <w:tc>
          <w:tcPr>
            <w:tcW w:w="80" w:type="dxa"/>
            <w:vAlign w:val="bottom"/>
          </w:tcPr>
          <w:p>
            <w:pPr>
              <w:spacing w:after="0"/>
              <w:rPr>
                <w:sz w:val="18"/>
                <w:szCs w:val="18"/>
                <w:color w:val="auto"/>
              </w:rPr>
            </w:pPr>
          </w:p>
        </w:tc>
        <w:tc>
          <w:tcPr>
            <w:tcW w:w="1360" w:type="dxa"/>
            <w:vAlign w:val="bottom"/>
            <w:gridSpan w:val="2"/>
          </w:tcPr>
          <w:p>
            <w:pPr>
              <w:jc w:val="right"/>
              <w:ind w:right="570"/>
              <w:spacing w:after="0"/>
              <w:rPr>
                <w:sz w:val="20"/>
                <w:szCs w:val="20"/>
                <w:color w:val="auto"/>
              </w:rPr>
            </w:pPr>
            <w:r>
              <w:rPr>
                <w:rFonts w:ascii="Arial" w:cs="Arial" w:eastAsia="Arial" w:hAnsi="Arial"/>
                <w:sz w:val="18"/>
                <w:szCs w:val="18"/>
                <w:color w:val="auto"/>
              </w:rPr>
              <w:t>3,379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6,819</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1,117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36,437</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132,351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47,839</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4,557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221,184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9,879</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ind w:right="910"/>
              <w:spacing w:after="0"/>
              <w:rPr>
                <w:sz w:val="20"/>
                <w:szCs w:val="20"/>
                <w:color w:val="auto"/>
              </w:rPr>
            </w:pPr>
            <w:r>
              <w:rPr>
                <w:rFonts w:ascii="Arial" w:cs="Arial" w:eastAsia="Arial" w:hAnsi="Arial"/>
                <w:sz w:val="14"/>
                <w:szCs w:val="14"/>
                <w:b w:val="1"/>
                <w:bCs w:val="1"/>
                <w:color w:val="auto"/>
              </w:rPr>
              <w:t>For the Three Months Ended June 30, 2006</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gridSpan w:val="3"/>
          </w:tcPr>
          <w:p>
            <w:pPr>
              <w:jc w:val="center"/>
              <w:ind w:right="590"/>
              <w:spacing w:after="0" w:line="119" w:lineRule="exact"/>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EFT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9"/>
              </w:rPr>
              <w:t>Prepaid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690"/>
              <w:spacing w:after="0"/>
              <w:rPr>
                <w:sz w:val="20"/>
                <w:szCs w:val="20"/>
                <w:color w:val="auto"/>
              </w:rPr>
            </w:pPr>
            <w:r>
              <w:rPr>
                <w:rFonts w:ascii="Arial" w:cs="Arial" w:eastAsia="Arial" w:hAnsi="Arial"/>
                <w:sz w:val="14"/>
                <w:szCs w:val="14"/>
                <w:b w:val="1"/>
                <w:bCs w:val="1"/>
                <w:color w:val="auto"/>
                <w:w w:val="94"/>
              </w:rPr>
              <w:t>Money</w:t>
            </w:r>
          </w:p>
        </w:tc>
        <w:tc>
          <w:tcPr>
            <w:tcW w:w="80" w:type="dxa"/>
            <w:vAlign w:val="bottom"/>
          </w:tcPr>
          <w:p>
            <w:pPr>
              <w:spacing w:after="0"/>
              <w:rPr>
                <w:sz w:val="12"/>
                <w:szCs w:val="12"/>
                <w:color w:val="auto"/>
              </w:rPr>
            </w:pPr>
          </w:p>
        </w:tc>
        <w:tc>
          <w:tcPr>
            <w:tcW w:w="1360" w:type="dxa"/>
            <w:vAlign w:val="bottom"/>
            <w:gridSpan w:val="2"/>
          </w:tcPr>
          <w:p>
            <w:pPr>
              <w:jc w:val="center"/>
              <w:ind w:right="65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40" w:type="dxa"/>
            <w:vAlign w:val="bottom"/>
            <w:gridSpan w:val="3"/>
          </w:tcPr>
          <w:p>
            <w:pPr>
              <w:jc w:val="center"/>
              <w:ind w:right="57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60" w:type="dxa"/>
            <w:vAlign w:val="bottom"/>
          </w:tcPr>
          <w:p>
            <w:pPr>
              <w:spacing w:after="0"/>
              <w:rPr>
                <w:sz w:val="14"/>
                <w:szCs w:val="14"/>
                <w:color w:val="auto"/>
              </w:rPr>
            </w:pPr>
          </w:p>
        </w:tc>
        <w:tc>
          <w:tcPr>
            <w:tcW w:w="1340" w:type="dxa"/>
            <w:vAlign w:val="bottom"/>
            <w:gridSpan w:val="3"/>
          </w:tcPr>
          <w:p>
            <w:pPr>
              <w:jc w:val="center"/>
              <w:ind w:right="570"/>
              <w:spacing w:after="0"/>
              <w:rPr>
                <w:sz w:val="20"/>
                <w:szCs w:val="20"/>
                <w:color w:val="auto"/>
              </w:rPr>
            </w:pPr>
            <w:r>
              <w:rPr>
                <w:rFonts w:ascii="Arial" w:cs="Arial" w:eastAsia="Arial" w:hAnsi="Arial"/>
                <w:sz w:val="14"/>
                <w:szCs w:val="14"/>
                <w:b w:val="1"/>
                <w:bCs w:val="1"/>
                <w:color w:val="auto"/>
                <w:w w:val="92"/>
              </w:rPr>
              <w:t>Transfer</w:t>
            </w:r>
          </w:p>
        </w:tc>
        <w:tc>
          <w:tcPr>
            <w:tcW w:w="1440" w:type="dxa"/>
            <w:vAlign w:val="bottom"/>
            <w:gridSpan w:val="3"/>
          </w:tcPr>
          <w:p>
            <w:pPr>
              <w:jc w:val="center"/>
              <w:ind w:right="570"/>
              <w:spacing w:after="0"/>
              <w:rPr>
                <w:sz w:val="20"/>
                <w:szCs w:val="20"/>
                <w:color w:val="auto"/>
              </w:rPr>
            </w:pPr>
            <w:r>
              <w:rPr>
                <w:rFonts w:ascii="Arial" w:cs="Arial" w:eastAsia="Arial" w:hAnsi="Arial"/>
                <w:sz w:val="14"/>
                <w:szCs w:val="14"/>
                <w:b w:val="1"/>
                <w:bCs w:val="1"/>
                <w:color w:val="auto"/>
                <w:w w:val="93"/>
              </w:rPr>
              <w:t>and Other</w:t>
            </w: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60" w:type="dxa"/>
            <w:vAlign w:val="bottom"/>
            <w:tcBorders>
              <w:left w:val="single" w:sz="8" w:color="CCEEFF"/>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$ 39,618</w:t>
            </w:r>
          </w:p>
        </w:tc>
        <w:tc>
          <w:tcPr>
            <w:tcW w:w="160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$ 113,352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153,803</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13,991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91,290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9,441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5,705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7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360" w:type="dxa"/>
            <w:vAlign w:val="bottom"/>
            <w:gridSpan w:val="2"/>
          </w:tcPr>
          <w:p>
            <w:pPr>
              <w:jc w:val="right"/>
              <w:ind w:right="570"/>
              <w:spacing w:after="0"/>
              <w:rPr>
                <w:sz w:val="20"/>
                <w:szCs w:val="20"/>
                <w:color w:val="auto"/>
              </w:rPr>
            </w:pPr>
            <w:r>
              <w:rPr>
                <w:rFonts w:ascii="Arial" w:cs="Arial" w:eastAsia="Arial" w:hAnsi="Arial"/>
                <w:sz w:val="18"/>
                <w:szCs w:val="18"/>
                <w:color w:val="auto"/>
              </w:rPr>
              <w:t>3,808</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30,723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104,660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1,404</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4,768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141,555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8,692</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(4,768</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ind w:right="1030"/>
              <w:spacing w:after="0"/>
              <w:rPr>
                <w:sz w:val="20"/>
                <w:szCs w:val="20"/>
                <w:color w:val="auto"/>
              </w:rPr>
            </w:pPr>
            <w:r>
              <w:rPr>
                <w:rFonts w:ascii="Arial" w:cs="Arial" w:eastAsia="Arial" w:hAnsi="Arial"/>
                <w:sz w:val="14"/>
                <w:szCs w:val="14"/>
                <w:b w:val="1"/>
                <w:bCs w:val="1"/>
                <w:color w:val="auto"/>
              </w:rPr>
              <w:t>For the Six Months Ended June 30, 2007</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gridSpan w:val="3"/>
          </w:tcPr>
          <w:p>
            <w:pPr>
              <w:jc w:val="center"/>
              <w:ind w:right="630"/>
              <w:spacing w:after="0" w:line="119" w:lineRule="exact"/>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EFT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Prepaid</w:t>
            </w:r>
          </w:p>
        </w:tc>
        <w:tc>
          <w:tcPr>
            <w:tcW w:w="60" w:type="dxa"/>
            <w:vAlign w:val="bottom"/>
          </w:tcPr>
          <w:p>
            <w:pPr>
              <w:spacing w:after="0"/>
              <w:rPr>
                <w:sz w:val="12"/>
                <w:szCs w:val="12"/>
                <w:color w:val="auto"/>
              </w:rPr>
            </w:pPr>
          </w:p>
        </w:tc>
        <w:tc>
          <w:tcPr>
            <w:tcW w:w="1340" w:type="dxa"/>
            <w:vAlign w:val="bottom"/>
            <w:gridSpan w:val="3"/>
            <w:vMerge w:val="restart"/>
          </w:tcPr>
          <w:p>
            <w:pPr>
              <w:jc w:val="right"/>
              <w:ind w:right="750"/>
              <w:spacing w:after="0"/>
              <w:rPr>
                <w:sz w:val="20"/>
                <w:szCs w:val="20"/>
                <w:color w:val="auto"/>
              </w:rPr>
            </w:pPr>
            <w:r>
              <w:rPr>
                <w:rFonts w:ascii="Arial" w:cs="Arial" w:eastAsia="Arial" w:hAnsi="Arial"/>
                <w:sz w:val="14"/>
                <w:szCs w:val="14"/>
                <w:b w:val="1"/>
                <w:bCs w:val="1"/>
                <w:color w:val="auto"/>
              </w:rPr>
              <w:t>Money</w:t>
            </w:r>
          </w:p>
        </w:tc>
        <w:tc>
          <w:tcPr>
            <w:tcW w:w="80" w:type="dxa"/>
            <w:vAlign w:val="bottom"/>
          </w:tcPr>
          <w:p>
            <w:pPr>
              <w:spacing w:after="0"/>
              <w:rPr>
                <w:sz w:val="12"/>
                <w:szCs w:val="12"/>
                <w:color w:val="auto"/>
              </w:rPr>
            </w:pPr>
          </w:p>
        </w:tc>
        <w:tc>
          <w:tcPr>
            <w:tcW w:w="1360" w:type="dxa"/>
            <w:vAlign w:val="bottom"/>
            <w:gridSpan w:val="2"/>
          </w:tcPr>
          <w:p>
            <w:pPr>
              <w:jc w:val="center"/>
              <w:ind w:right="69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40" w:type="dxa"/>
            <w:vAlign w:val="bottom"/>
            <w:gridSpan w:val="3"/>
          </w:tcPr>
          <w:p>
            <w:pPr>
              <w:jc w:val="center"/>
              <w:ind w:right="590"/>
              <w:spacing w:after="0" w:line="149" w:lineRule="exact"/>
              <w:rPr>
                <w:sz w:val="20"/>
                <w:szCs w:val="20"/>
                <w:color w:val="auto"/>
              </w:rPr>
            </w:pPr>
            <w:r>
              <w:rPr>
                <w:rFonts w:ascii="Arial" w:cs="Arial" w:eastAsia="Arial" w:hAnsi="Arial"/>
                <w:sz w:val="14"/>
                <w:szCs w:val="14"/>
                <w:b w:val="1"/>
                <w:bCs w:val="1"/>
                <w:color w:val="auto"/>
                <w:w w:val="91"/>
              </w:rPr>
              <w:t>Eliminations</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7"/>
              </w:rPr>
              <w:t>Processing</w:t>
            </w:r>
          </w:p>
        </w:tc>
        <w:tc>
          <w:tcPr>
            <w:tcW w:w="240" w:type="dxa"/>
            <w:vAlign w:val="bottom"/>
          </w:tcPr>
          <w:p>
            <w:pPr>
              <w:spacing w:after="0"/>
              <w:rPr>
                <w:sz w:val="14"/>
                <w:szCs w:val="1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7"/>
              </w:rPr>
              <w:t>Processing</w:t>
            </w:r>
          </w:p>
        </w:tc>
        <w:tc>
          <w:tcPr>
            <w:tcW w:w="60" w:type="dxa"/>
            <w:vAlign w:val="bottom"/>
          </w:tcPr>
          <w:p>
            <w:pPr>
              <w:spacing w:after="0"/>
              <w:rPr>
                <w:sz w:val="14"/>
                <w:szCs w:val="14"/>
                <w:color w:val="auto"/>
              </w:rPr>
            </w:pPr>
          </w:p>
        </w:tc>
        <w:tc>
          <w:tcPr>
            <w:tcW w:w="1340" w:type="dxa"/>
            <w:vAlign w:val="bottom"/>
            <w:gridSpan w:val="3"/>
          </w:tcPr>
          <w:p>
            <w:pPr>
              <w:jc w:val="right"/>
              <w:ind w:right="690"/>
              <w:spacing w:after="0"/>
              <w:rPr>
                <w:sz w:val="20"/>
                <w:szCs w:val="20"/>
                <w:color w:val="auto"/>
              </w:rPr>
            </w:pPr>
            <w:r>
              <w:rPr>
                <w:rFonts w:ascii="Arial" w:cs="Arial" w:eastAsia="Arial" w:hAnsi="Arial"/>
                <w:sz w:val="14"/>
                <w:szCs w:val="14"/>
                <w:b w:val="1"/>
                <w:bCs w:val="1"/>
                <w:color w:val="auto"/>
                <w:w w:val="96"/>
              </w:rPr>
              <w:t>Transfer</w:t>
            </w:r>
          </w:p>
        </w:tc>
        <w:tc>
          <w:tcPr>
            <w:tcW w:w="1440" w:type="dxa"/>
            <w:vAlign w:val="bottom"/>
            <w:gridSpan w:val="3"/>
          </w:tcPr>
          <w:p>
            <w:pPr>
              <w:jc w:val="center"/>
              <w:ind w:right="630"/>
              <w:spacing w:after="0"/>
              <w:rPr>
                <w:sz w:val="20"/>
                <w:szCs w:val="20"/>
                <w:color w:val="auto"/>
              </w:rPr>
            </w:pPr>
            <w:r>
              <w:rPr>
                <w:rFonts w:ascii="Arial" w:cs="Arial" w:eastAsia="Arial" w:hAnsi="Arial"/>
                <w:sz w:val="14"/>
                <w:szCs w:val="14"/>
                <w:b w:val="1"/>
                <w:bCs w:val="1"/>
                <w:color w:val="auto"/>
                <w:w w:val="96"/>
              </w:rPr>
              <w:t>and Other</w:t>
            </w: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left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87,731</w:t>
            </w:r>
          </w:p>
        </w:tc>
        <w:tc>
          <w:tcPr>
            <w:tcW w:w="42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$ 269,811</w:t>
            </w:r>
          </w:p>
        </w:tc>
        <w:tc>
          <w:tcPr>
            <w:tcW w:w="66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50,008</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407,550</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34,691</w:t>
            </w:r>
          </w:p>
        </w:tc>
        <w:tc>
          <w:tcPr>
            <w:tcW w:w="42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219,478</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26,906</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19,811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13,405</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10,423</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8,092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7,412</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71,546</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250,261</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49,495</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379,529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16,185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19,550</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June 30, 2007</w:t>
            </w:r>
          </w:p>
        </w:tc>
        <w:tc>
          <w:tcPr>
            <w:tcW w:w="124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$ 172,365</w:t>
            </w:r>
          </w:p>
        </w:tc>
        <w:tc>
          <w:tcPr>
            <w:tcW w:w="42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$ 703,481</w:t>
            </w:r>
          </w:p>
        </w:tc>
        <w:tc>
          <w:tcPr>
            <w:tcW w:w="6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$ 624,576</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244,874</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4"/>
              </w:rPr>
              <w:t>$ 1,745,296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8"/>
          </w:tcPr>
          <w:p>
            <w:pPr>
              <w:jc w:val="right"/>
              <w:ind w:right="1020"/>
              <w:spacing w:after="0"/>
              <w:rPr>
                <w:sz w:val="20"/>
                <w:szCs w:val="20"/>
                <w:color w:val="auto"/>
              </w:rPr>
            </w:pPr>
            <w:r>
              <w:rPr>
                <w:rFonts w:ascii="Arial" w:cs="Arial" w:eastAsia="Arial" w:hAnsi="Arial"/>
                <w:sz w:val="14"/>
                <w:szCs w:val="14"/>
                <w:b w:val="1"/>
                <w:bCs w:val="1"/>
                <w:color w:val="auto"/>
              </w:rPr>
              <w:t>For the Six Months Ended June 30, 2006</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EFT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4"/>
              </w:rPr>
              <w:t>Money</w:t>
            </w:r>
          </w:p>
        </w:tc>
        <w:tc>
          <w:tcPr>
            <w:tcW w:w="12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7"/>
              </w:rPr>
              <w:t>Processing</w:t>
            </w: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4"/>
              </w:rPr>
              <w:t>Processing</w:t>
            </w:r>
          </w:p>
        </w:tc>
        <w:tc>
          <w:tcPr>
            <w:tcW w:w="13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Transfer</w:t>
            </w: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75,627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223,717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300,773</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179,414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17,679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11,550</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6,858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6,783</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58,938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205,457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December 31, 2006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172,191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672,936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18,387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244,625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1,108,139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LITIGATION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lease payments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remaining lease terms in excess of one year) as of June 30, 2007 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200"/>
              <w:spacing w:after="0"/>
              <w:rPr>
                <w:sz w:val="20"/>
                <w:szCs w:val="20"/>
                <w:color w:val="auto"/>
              </w:rPr>
            </w:pPr>
            <w:r>
              <w:rPr>
                <w:rFonts w:ascii="Arial" w:cs="Arial" w:eastAsia="Arial" w:hAnsi="Arial"/>
                <w:sz w:val="18"/>
                <w:szCs w:val="18"/>
                <w:color w:val="auto"/>
              </w:rPr>
              <w:t>2007 (six months)</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7,668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14,797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200"/>
              <w:spacing w:after="0"/>
              <w:rPr>
                <w:sz w:val="20"/>
                <w:szCs w:val="20"/>
                <w:color w:val="auto"/>
              </w:rPr>
            </w:pPr>
            <w:r>
              <w:rPr>
                <w:rFonts w:ascii="Arial" w:cs="Arial" w:eastAsia="Arial" w:hAnsi="Arial"/>
                <w:sz w:val="18"/>
                <w:szCs w:val="18"/>
                <w:color w:val="auto"/>
              </w:rPr>
              <w:t>2009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12,216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11,284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200"/>
              <w:spacing w:after="0"/>
              <w:rPr>
                <w:sz w:val="20"/>
                <w:szCs w:val="20"/>
                <w:color w:val="auto"/>
              </w:rPr>
            </w:pPr>
            <w:r>
              <w:rPr>
                <w:rFonts w:ascii="Arial" w:cs="Arial" w:eastAsia="Arial" w:hAnsi="Arial"/>
                <w:sz w:val="18"/>
                <w:szCs w:val="18"/>
                <w:color w:val="auto"/>
              </w:rPr>
              <w:t>2011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8,042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40" w:type="dxa"/>
            <w:vAlign w:val="bottom"/>
          </w:tcPr>
          <w:p>
            <w:pPr>
              <w:ind w:left="400"/>
              <w:spacing w:after="0"/>
              <w:rPr>
                <w:sz w:val="20"/>
                <w:szCs w:val="20"/>
                <w:color w:val="auto"/>
              </w:rPr>
            </w:pPr>
            <w:r>
              <w:rPr>
                <w:rFonts w:ascii="Arial" w:cs="Arial" w:eastAsia="Arial" w:hAnsi="Arial"/>
                <w:sz w:val="18"/>
                <w:szCs w:val="18"/>
                <w:color w:val="auto"/>
              </w:rPr>
              <w:t>Total minimum lease payments</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60,272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had not been returned. This claim was made after the Company terminated its business with the Contractor and established a cash supply agreement with another supplier. In the first quarter 2006, the Contractor initiated legal action in Budapest, Hungary regarding the claim. In April 2007, an arbitration tribunal awarded the Contractor $1.0 million, plus $0.2 million in interest, under the claim, which was recorded as selling, general and administrative expenses of the Company’s EFT Processing Segment during the first quarter 2007 and paid in the second quarter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connection with the agreement to acquire La Nacional, in January 2007, the Company deposited $26 million in an escrow account created for the proposed acquisition, which can only be released by mutual agreement of the Company and La Nacional or through legal remedies available under the agreement. On February 6, 2007, two employees of La Nacional working in different La Nacional stores were arrested for allegedly violating federal money laundering laws and certain state statutes. On April 5, 2007, the Company gave notice to the stockholder of La Nacional of the termination of the stock purchase agreement and requested the release of the escrowed funds under the terms of the stock purchase agreement. La Nacional is contesting the Company’s request for release of the escrowed funds. While pursuing all legal remedies available, the Company is also engaged in negotiations to determine whether the dispute can be resolved through revised terms for the acquisition.</w:t>
      </w:r>
    </w:p>
    <w:p>
      <w:pPr>
        <w:spacing w:after="0" w:line="70"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From time to time, the Company is a party to litigation arising in the ordinary course of its business. Currently, there are no legal proceedings that management believes, either individually or in the aggregate, would have a material adverse effect upon the consolidated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results of operations or financial condition of the Company. The Company expenses legal costs in connection with loss contingencies when incurred.</w:t>
      </w:r>
    </w:p>
    <w:p>
      <w:pPr>
        <w:spacing w:after="0" w:line="1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2006, the Internal Revenue Service announced that Internal Revenue Code Section 4251 (relating to communications excise tax) will no longer apply to, among other services, prepaid mobile airtime services such as those offered by the Company’s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The Company plans to claim refunds for amounts paid during this period. As of June 30, 2007, the refund claim had not been quantified. No amounts have been recorded for any potential recovery in the Consolidated Financial Statements, and no such amounts will be recorded until such time as the refund is considered “realizable” as stipulated under SFAS No. 5, “Accounting for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GUARANTEES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June 30, 2007, the Company had $33.4 million of bank guarantees issued on its behalf, of which $14.2 million are collateralized by cash deposits held by the respective issuing banks and $4.4 million are supported by stand-by letters of credit issued against the Company’s revolving credit facility.</w:t>
      </w:r>
    </w:p>
    <w:p>
      <w:pPr>
        <w:spacing w:after="0" w:line="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Euronet Worldwide, Inc. regularly grants guarantees of the obligations of its wholly-owned subsidiaries. As of June 30, 2007, the Company had granted guarantees in the following amounts:</w:t>
      </w:r>
    </w:p>
    <w:p>
      <w:pPr>
        <w:spacing w:after="0" w:line="62"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Cash in various ATM networks — $20.7 million over the terms of the cash supply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Other vendor supply agreements — $3.1 million over the term of the vendor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Performance guarantees — $19.3 million over the terms of the agreements with the customers.</w:t>
      </w:r>
    </w:p>
    <w:p>
      <w:pPr>
        <w:spacing w:after="0" w:line="11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24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our vendors and into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40" w:hanging="436"/>
        <w:spacing w:after="0" w:line="293"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4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Company has issued surety bonds in compliance with money transfer licensing requirements of certain states; and</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Company is required to meet minimum capitalization and cash requirements of various regulatory authorities in the jurisdictions in which the Company has money transfer operations.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2007 or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effective tax rate, after consideration of minority interest, was 36.7% and 24.4% for the three-month periods ended June 30, 2007 and 2006, respectively, and was 33.3% and 25.9% for the six-month periods ended June 30, 2007 and 2006, respectively.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increase in the effective tax rate largely relates to the acquisition of RIA, which operates in jurisdictions that have tax rates that are higher than the Company’s historical effective tax rate, and the recognition of a deferred tax benefit in Poland during 2006. Since the Company is in a net operating loss position for its U.S. operations, valuation allowances have been recorded in instances in which the Company determines that it is more likely than not that a tax benefit will not be realized. Accordingly, tax benefit or expense associated with foreign currency gains or losses incurred by the Company’s U.S. entities are not currently being recognized. During the second quarter 2007, the Company recognized $1.3 million of non-cash deferred income tax expense related to the deduction of goodwill amortization expense for U.S. income tax purposes, a substantial portion of which relates to the Company’s acquisition of RIA Envia. Goodwill arising from certain business combinations involving the Company’s U.S. operations is amortized as an expense for tax purposes over 15 years but not for financial reporting purposes. The Company recorded deferred income tax expense and a deferred tax liability related to the tax-deductible goodwill. The deferred tax liability will remain on the Company’s balance sheet indefinitely unless there is an impairment of goodwill for financial reporting purposes or the related business entity is disposed of through a sale. Moreover, during the second quarter 2007, the Company reversed $2.7 million in valuation allowances on deferred tax assets related to U.S. federal and state net operating losses. The Company has concluded that it is more likely than not that the net deferred tax asset of $2.7 million will be realized because the Company would utilize tax-planning strategies in the event its net operating losses were to expire.</w:t>
      </w:r>
    </w:p>
    <w:p>
      <w:pPr>
        <w:spacing w:after="0" w:line="6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As of January 1, 2007, the Company adopted the provisions of FIN 48 and has analyzed its filing positions in all federal, state and foreign jurisdictions. As a result of this analysis, the Company recognized less than $0.1 million in additional unrecognized tax benefits. The amount of unrecognized tax benefits as of January 1, 2007 included approximately $5.9 million of uncertain tax benefits and other items, largely attributable to share-based compensation.</w:t>
      </w:r>
    </w:p>
    <w:p>
      <w:pPr>
        <w:jc w:val="both"/>
        <w:ind w:right="300"/>
        <w:spacing w:after="0" w:line="277" w:lineRule="auto"/>
        <w:rPr>
          <w:sz w:val="20"/>
          <w:szCs w:val="20"/>
          <w:color w:val="auto"/>
        </w:rPr>
      </w:pPr>
      <w:r>
        <w:rPr>
          <w:rFonts w:ascii="Arial" w:cs="Arial" w:eastAsia="Arial" w:hAnsi="Arial"/>
          <w:sz w:val="17"/>
          <w:szCs w:val="17"/>
          <w:color w:val="auto"/>
        </w:rPr>
        <w:t>Approximately $2.8 million of the unrecognized tax benefits would impact the Company’s provision for income taxes and effective tax rate, if recognized. Total estimated accrued interest and penalties related to the underpayment of income taxes was $0.5 million as of January 1, 2007 and June 30, 2007. The following tax years remain open in the Company’s major jurisdictions as of January 1, 2007 and June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5860" w:type="dxa"/>
            <w:vAlign w:val="bottom"/>
            <w:shd w:val="clear" w:color="auto" w:fill="CCEEFF"/>
          </w:tcPr>
          <w:p>
            <w:pPr>
              <w:ind w:left="4500"/>
              <w:spacing w:after="0"/>
              <w:rPr>
                <w:sz w:val="20"/>
                <w:szCs w:val="20"/>
                <w:color w:val="auto"/>
              </w:rPr>
            </w:pPr>
            <w:r>
              <w:rPr>
                <w:rFonts w:ascii="Arial" w:cs="Arial" w:eastAsia="Arial" w:hAnsi="Arial"/>
                <w:sz w:val="18"/>
                <w:szCs w:val="18"/>
                <w:color w:val="auto"/>
                <w:w w:val="88"/>
              </w:rPr>
              <w:t>1999 through 2006</w:t>
            </w:r>
          </w:p>
        </w:tc>
        <w:tc>
          <w:tcPr>
            <w:tcW w:w="2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U.S. (Federal)</w:t>
            </w:r>
          </w:p>
        </w:tc>
        <w:tc>
          <w:tcPr>
            <w:tcW w:w="5860" w:type="dxa"/>
            <w:vAlign w:val="bottom"/>
          </w:tcPr>
          <w:p>
            <w:pPr>
              <w:ind w:left="4500"/>
              <w:spacing w:after="0"/>
              <w:rPr>
                <w:sz w:val="20"/>
                <w:szCs w:val="20"/>
                <w:color w:val="auto"/>
              </w:rPr>
            </w:pPr>
            <w:r>
              <w:rPr>
                <w:rFonts w:ascii="Arial" w:cs="Arial" w:eastAsia="Arial" w:hAnsi="Arial"/>
                <w:sz w:val="18"/>
                <w:szCs w:val="18"/>
                <w:color w:val="auto"/>
                <w:w w:val="88"/>
              </w:rPr>
              <w:t>2000 through 2006</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5860" w:type="dxa"/>
            <w:vAlign w:val="bottom"/>
            <w:shd w:val="clear" w:color="auto" w:fill="CCEEFF"/>
          </w:tcPr>
          <w:p>
            <w:pPr>
              <w:ind w:left="4500"/>
              <w:spacing w:after="0"/>
              <w:rPr>
                <w:sz w:val="20"/>
                <w:szCs w:val="20"/>
                <w:color w:val="auto"/>
              </w:rPr>
            </w:pPr>
            <w:r>
              <w:rPr>
                <w:rFonts w:ascii="Arial" w:cs="Arial" w:eastAsia="Arial" w:hAnsi="Arial"/>
                <w:sz w:val="18"/>
                <w:szCs w:val="18"/>
                <w:color w:val="auto"/>
                <w:w w:val="88"/>
              </w:rPr>
              <w:t>2002 through 2006</w:t>
            </w:r>
          </w:p>
        </w:tc>
        <w:tc>
          <w:tcPr>
            <w:tcW w:w="2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Australia</w:t>
            </w:r>
          </w:p>
        </w:tc>
        <w:tc>
          <w:tcPr>
            <w:tcW w:w="5860" w:type="dxa"/>
            <w:vAlign w:val="bottom"/>
          </w:tcPr>
          <w:p>
            <w:pPr>
              <w:ind w:left="4500"/>
              <w:spacing w:after="0"/>
              <w:rPr>
                <w:sz w:val="20"/>
                <w:szCs w:val="20"/>
                <w:color w:val="auto"/>
              </w:rPr>
            </w:pPr>
            <w:r>
              <w:rPr>
                <w:rFonts w:ascii="Arial" w:cs="Arial" w:eastAsia="Arial" w:hAnsi="Arial"/>
                <w:sz w:val="18"/>
                <w:szCs w:val="18"/>
                <w:color w:val="auto"/>
                <w:w w:val="88"/>
              </w:rPr>
              <w:t>2003 through 2006</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U.K.</w:t>
            </w:r>
          </w:p>
        </w:tc>
        <w:tc>
          <w:tcPr>
            <w:tcW w:w="5860" w:type="dxa"/>
            <w:vAlign w:val="bottom"/>
            <w:shd w:val="clear" w:color="auto" w:fill="CCEEFF"/>
          </w:tcPr>
          <w:p>
            <w:pPr>
              <w:ind w:left="4500"/>
              <w:spacing w:after="0"/>
              <w:rPr>
                <w:sz w:val="20"/>
                <w:szCs w:val="20"/>
                <w:color w:val="auto"/>
              </w:rPr>
            </w:pPr>
            <w:r>
              <w:rPr>
                <w:rFonts w:ascii="Arial" w:cs="Arial" w:eastAsia="Arial" w:hAnsi="Arial"/>
                <w:sz w:val="18"/>
                <w:szCs w:val="18"/>
                <w:color w:val="auto"/>
                <w:w w:val="88"/>
              </w:rPr>
              <w:t>2004 through 2006</w:t>
            </w:r>
          </w:p>
        </w:tc>
        <w:tc>
          <w:tcPr>
            <w:tcW w:w="20" w:type="dxa"/>
            <w:vAlign w:val="bottom"/>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Germany</w:t>
            </w:r>
          </w:p>
        </w:tc>
        <w:tc>
          <w:tcPr>
            <w:tcW w:w="5860" w:type="dxa"/>
            <w:vAlign w:val="bottom"/>
          </w:tcPr>
          <w:p>
            <w:pPr>
              <w:ind w:left="4500"/>
              <w:spacing w:after="0"/>
              <w:rPr>
                <w:sz w:val="20"/>
                <w:szCs w:val="20"/>
                <w:color w:val="auto"/>
              </w:rPr>
            </w:pPr>
            <w:r>
              <w:rPr>
                <w:rFonts w:ascii="Arial" w:cs="Arial" w:eastAsia="Arial" w:hAnsi="Arial"/>
                <w:sz w:val="18"/>
                <w:szCs w:val="18"/>
                <w:color w:val="auto"/>
                <w:w w:val="88"/>
              </w:rPr>
              <w:t>2004 through 2006</w:t>
            </w:r>
          </w:p>
        </w:tc>
        <w:tc>
          <w:tcPr>
            <w:tcW w:w="20" w:type="dxa"/>
            <w:vAlign w:val="bottom"/>
          </w:tcPr>
          <w:p>
            <w:pPr>
              <w:spacing w:after="0"/>
              <w:rPr>
                <w:sz w:val="20"/>
                <w:szCs w:val="20"/>
                <w:color w:val="auto"/>
              </w:rPr>
            </w:pPr>
          </w:p>
        </w:tc>
      </w:tr>
    </w:tbl>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application of FIN 48 requires significant judgment in assessing the outcome of future tax examinations and their potential impact on the Company’s estimated effective tax rate and the value of deferred tax assets, such as those related to the Company’s net operating loss carryforwards. It is reasonably possible that amounts reserved for potential exposure could significantly change as a result of the conclusion of tax examinations and, accordingly, materially affect our operating results. During the six-months ended June 30, 2007, the Company’s unrecognized tax benefits increased by $0.5 million and the amount that would impact the Company’s provision for income taxes, if recognized, increased by $0.3 million. These increases were primarily due to a 1% increase in the estimated effective federal tax rate in the U.S. as a result of the second quarter 2007 acquisition of RIA.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GAIN FROM DISCONTINUED OPERATIONS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July 2002, the Company sold substantially all of the non-current assets and related capital lease obligations of its ATM processing business in France to Atos S.A. During the first quarter 2007, the Company received a binding French Supreme Court decision relating to a lawsuit in France that resulted in a cash recovery and gain to the Company of $0.3 million, net of legal costs. There were no assets or liabilities held for sale at June 30, 2007 or December 31, 2006.</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Euronet Worldwide, Inc. (“we,” “us,” “Euronet” or the “Company”) is a leading electronic transaction processor, offering automated teller machine (“ATM”) and Point of Sale (“POS”) outsourcing services, integrated electronic financial transaction (“EFT”) software, network gateways and electronic prepaid top-up services to financial institutions, mobile operators and retailers and electronic consumer money transfer and bill payment services. The EFT Processing Segment provides end to end solutions relating to operations of ATMs and POS networks, and debit and credit card processing in Europe, the Middle East, India and China. We are one of the largest providers of prepaid mobile airtime processing. Based on revenues and volumes, our second quarter 2007 acquisition of RIA Envia, Inc. (“RIA”) also makes us the third-largest global money transfer company.</w:t>
      </w:r>
    </w:p>
    <w:p>
      <w:pPr>
        <w:spacing w:after="0" w:line="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Effective January 1 2007, we began reporting and managing the operations of the EFT Processing Segment and the Software Solutions Segment on a combined basis. Additionally, as a result of the acquisition of RIA in April 2007, we commenced reporting of the Money Transfer Segment. Previously reported amounts have been restated to reflect these changes, which did not impact our consolidated financial statements. As a result of these changes, we operate in the following three principal business segments.</w:t>
      </w:r>
    </w:p>
    <w:p>
      <w:pPr>
        <w:spacing w:after="0" w:line="79" w:lineRule="exact"/>
        <w:rPr>
          <w:sz w:val="20"/>
          <w:szCs w:val="20"/>
          <w:color w:val="auto"/>
        </w:rPr>
      </w:pPr>
    </w:p>
    <w:p>
      <w:pPr>
        <w:ind w:left="660" w:right="120" w:hanging="436"/>
        <w:spacing w:after="0" w:line="30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An EFT Processing Segment, which processes transactions for a network of 9,858 ATMs and more than 45,000 POS terminals across Europe, Asia and Africa. We provide comprehensive electronic payment solutions consisting of ATM network participation, outsourced ATM and POS management solutions, credit and gift card outsourcing and electronic recharge services for prepaid mobile airtime. Through this segment, we also offer a suite of integrated EFT software solutions for electronic payment, merchant acquiring, card issuing and transaction delivery systems.</w:t>
      </w:r>
    </w:p>
    <w:p>
      <w:pPr>
        <w:spacing w:after="0" w:line="59" w:lineRule="exact"/>
        <w:rPr>
          <w:rFonts w:ascii="Arial" w:cs="Arial" w:eastAsia="Arial" w:hAnsi="Arial"/>
          <w:sz w:val="16"/>
          <w:szCs w:val="16"/>
          <w:b w:val="1"/>
          <w:bCs w:val="1"/>
          <w:color w:val="auto"/>
        </w:rPr>
      </w:pPr>
    </w:p>
    <w:p>
      <w:pPr>
        <w:ind w:left="660" w:right="60" w:hanging="436"/>
        <w:spacing w:after="0" w:line="31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A Prepaid Processing Segment, which provides distribution of prepaid mobile airtime and other prepaid products and collection services for various prepaid products, cards and services. Including terminals owned by unconsolidated subsidiaries, we operate a network of approximately 358,000 POS terminals providing electronic processing of prepaid mobile airtime top-up services in the U.S., Europe, Africa and Asia Pacific.</w:t>
      </w:r>
    </w:p>
    <w:p>
      <w:pPr>
        <w:spacing w:after="0" w:line="52" w:lineRule="exact"/>
        <w:rPr>
          <w:rFonts w:ascii="Arial" w:cs="Arial" w:eastAsia="Arial" w:hAnsi="Arial"/>
          <w:sz w:val="16"/>
          <w:szCs w:val="16"/>
          <w:b w:val="1"/>
          <w:bCs w:val="1"/>
          <w:color w:val="auto"/>
        </w:rPr>
      </w:pPr>
    </w:p>
    <w:p>
      <w:pPr>
        <w:ind w:left="660" w:right="80" w:hanging="436"/>
        <w:spacing w:after="0" w:line="34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A Money Transfer Segment, which provides global money transfer and bill payment services through a sending network of agents and Company-owned stores primarily in North America, the Caribbean, Europe and Asia-Pacific, disbursing money transfers through a worldwide payer network.</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six processing centers in Europe, two in Asia and two in the U.S., and we have 24 principal offices in Europe, five in the Asia-Pacific region, four in the U.S. and one each in the Middle East and Latin America. Our executive offices are located in Leawood, Kansas, USA.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represented approximately 22% of total consolidated revenue for the first half of</w:t>
      </w:r>
      <w:r>
        <w:rPr>
          <w:rFonts w:ascii="Arial" w:cs="Arial" w:eastAsia="Arial" w:hAnsi="Arial"/>
          <w:sz w:val="17"/>
          <w:szCs w:val="17"/>
          <w:i w:val="1"/>
          <w:iCs w:val="1"/>
          <w:color w:val="auto"/>
        </w:rPr>
        <w:t xml:space="preserve"> </w:t>
      </w:r>
      <w:r>
        <w:rPr>
          <w:rFonts w:ascii="Arial" w:cs="Arial" w:eastAsia="Arial" w:hAnsi="Arial"/>
          <w:sz w:val="17"/>
          <w:szCs w:val="17"/>
          <w:color w:val="auto"/>
        </w:rPr>
        <w:t>2007, is derived from fees charged for transactions effected by cardholders on our proprietary network of ATMs, as well as fixed management fees and transaction fees we charge to banks for operating ATMs and processing credit cards under outsourcing agreements. Through our proprietary network, we generally charge fees for four types of ATM transactions: i) cash withdrawals, ii) balance inquiries, iii) transactions not completed because the relevant card issuer does not give authorization, and iv) prepaid telecommunication recharges. Revenue in this segment is also derived from licensing, professional services and maintenance fees for software and sales of related hardware, primarily to financial institutions around the world.</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Revenue in the Prepaid Processing Segment, which represented approximately 66% of total consolidated revenue for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2007, is primarily derived from commissions and processing fees received from mobile and other telecommunication operators, or from distributors of prepaid wireless products for the distribution and/or processing of prepaid mobile airtime. Agreements with mobile operators are important to the success of our business. These agreements permit us to distribute prepaid mobile airtime to the mobile operators’ customers. Other products offered by this segment include prepaid long distance calling card plans, prepaid Internet plans, prepaid debit cards, prepaid gift cards and prepaid mobile content such as ring tones and games.</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 in the Money Transfer Segment, which represents approximately 12% of total consolidated revenue for the first half of</w:t>
      </w:r>
      <w:r>
        <w:rPr>
          <w:rFonts w:ascii="Arial" w:cs="Arial" w:eastAsia="Arial" w:hAnsi="Arial"/>
          <w:sz w:val="18"/>
          <w:szCs w:val="18"/>
          <w:i w:val="1"/>
          <w:iCs w:val="1"/>
          <w:color w:val="auto"/>
        </w:rPr>
        <w:t xml:space="preserve"> </w:t>
      </w:r>
      <w:r>
        <w:rPr>
          <w:rFonts w:ascii="Arial" w:cs="Arial" w:eastAsia="Arial" w:hAnsi="Arial"/>
          <w:sz w:val="18"/>
          <w:szCs w:val="18"/>
          <w:color w:val="auto"/>
        </w:rPr>
        <w:t>2007, is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in North America, the Caribbean, Europe and Asia-Pacific</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and a worldwide network of distribution agents, consisting primarily of financial institutions in the transfer destination countries. Origination and distribution agents each earn fees for cash collection and distribution services. These fees are recognized as direct operating costs at the time of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cross-border merchant processing and acquiring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card issuing and outsourcing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 We have been able to enter into agreements under which we use our software in lieu of cash as our initial capital contributions to new transaction processing joint ventures. Such contributions sometimes permit us to enter new markets without significant capital investment.</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entered the cross-border merchant processing and acquiring business through the execution of an agreement with a large petrol retailer in Central Europe. Since the beginning of 2007, we have devoted significant resources to the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may involve the assumption of credit risk, as the principal amount of transactions may be settled to merchants before settlements are received from card associations.</w:t>
      </w:r>
    </w:p>
    <w:p>
      <w:pPr>
        <w:spacing w:after="0" w:line="6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i w:val="1"/>
          <w:iCs w:val="1"/>
          <w:color w:val="auto"/>
        </w:rPr>
        <w:t xml:space="preserve">Prepaid Processing Segment </w:t>
      </w:r>
      <w:r>
        <w:rPr>
          <w:rFonts w:ascii="Arial" w:cs="Arial" w:eastAsia="Arial" w:hAnsi="Arial"/>
          <w:sz w:val="17"/>
          <w:szCs w:val="17"/>
          <w:color w:val="auto"/>
        </w:rPr>
        <w:t>– We plan to expand this business by taking advantage of our existing expertise and our relationships with mobile phone</w:t>
      </w:r>
      <w:r>
        <w:rPr>
          <w:rFonts w:ascii="Arial" w:cs="Arial" w:eastAsia="Arial" w:hAnsi="Arial"/>
          <w:sz w:val="17"/>
          <w:szCs w:val="17"/>
          <w:i w:val="1"/>
          <w:iCs w:val="1"/>
          <w:color w:val="auto"/>
        </w:rPr>
        <w:t xml:space="preserve"> </w:t>
      </w:r>
      <w:r>
        <w:rPr>
          <w:rFonts w:ascii="Arial" w:cs="Arial" w:eastAsia="Arial" w:hAnsi="Arial"/>
          <w:sz w:val="17"/>
          <w:szCs w:val="17"/>
          <w:color w:val="auto"/>
        </w:rPr>
        <w:t>operators and retailers. Expansion will depend on various factors, including, but not necessarily limited to, the following:</w:t>
      </w:r>
    </w:p>
    <w:p>
      <w:pPr>
        <w:spacing w:after="0" w:line="38"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 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successfully integrate newly acquired operations with our existing operations.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quarter 2007, we completed the acquisition of the stock of Omega Logic, Ltd. (“Omega Logic”) and Brodos SRL in Romania (“Brodos Romania”). Omega Logic is a prepaid top-up company based, and primarily operating, in the U.K. that enhanced our Prepaid Processing Segment business in the U.K. Brodos Romania is a leading electronic prepaid mobile airtime processor in Romania.</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We completed the acquisition of RIA in April 2007, which expanded our money transfer and bill payment services business. RIA</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approximately $4.5 billion in money transfers annually, originates transactions through a network of approximately 10,000 sending agents, including Company-owned stores, located throughout 13 countries in North America, the Caribbean, Europe and Asia-Pacific and disburses money transfers through a payer network of approximately 42,000 locations in 88 countries. This acquisition makes Euronet the third-largest global money transfer company. The Money Transfer Segment provides us with additional expansion opportunities.</w:t>
      </w:r>
    </w:p>
    <w:p>
      <w:pPr>
        <w:sectPr>
          <w:pgSz w:w="11900" w:h="16838" w:orient="portrait"/>
          <w:cols w:equalWidth="0" w:num="1">
            <w:col w:w="11360"/>
          </w:cols>
          <w:pgMar w:left="240" w:top="419" w:right="299" w:bottom="1440" w:gutter="0" w:footer="0" w:header="0"/>
        </w:sectPr>
      </w:pP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expansion and development of our money transfer business will depend on various factors, including, but not necessarily limited to, the following:</w:t>
      </w:r>
    </w:p>
    <w:p>
      <w:pPr>
        <w:spacing w:after="0" w:line="129"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the immigration developments occurring in the U.S. during 2006;</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at competitive prices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Prepaid Processing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and Asia,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successfully integrate RIA with our existing operations.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Like other participants in the money transfer industry, as a result of immigration developments, downturns in certain labor markets and/or other economic factors, growth rates in money transfers from the U.S. to Mexico have slowed. This slowing of growth began during the middle of 2006 and continues to impact money transfer revenues for transactions from the U.S. to Mexico. Despite recent improvement in this trend, we believe that it is too early to conclude on the impact, if any, to our results of operations.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division includes non-operating activity, certain inter-segment eliminations and the cost of providing corporate and other administrative services to the business segments, including share-based compensation expense related to most stock option and restricted stock grants. These services are not directly identifiable with our business segments. The impact of share-based compensation is recorded as an expense of the Corporate Services division, with certain limited exceptions related to grants of restricted stock to key members of management that vest based on the achievement of performance criteria by our subsidiaries.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 and operating income by segment for the three- and six-month periods ended June 30, 2007 and 2006 are summarized in the tables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100"/>
              <w:spacing w:after="0"/>
              <w:rPr>
                <w:sz w:val="20"/>
                <w:szCs w:val="20"/>
                <w:color w:val="auto"/>
              </w:rPr>
            </w:pPr>
            <w:r>
              <w:rPr>
                <w:rFonts w:ascii="Arial" w:cs="Arial" w:eastAsia="Arial" w:hAnsi="Arial"/>
                <w:sz w:val="14"/>
                <w:szCs w:val="14"/>
                <w:b w:val="1"/>
                <w:bCs w:val="1"/>
                <w:color w:val="auto"/>
              </w:rPr>
              <w:t>Revenues for the Three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restart"/>
          </w:tcPr>
          <w:p>
            <w:pPr>
              <w:jc w:val="right"/>
              <w:ind w:right="156"/>
              <w:spacing w:after="0"/>
              <w:rPr>
                <w:sz w:val="20"/>
                <w:szCs w:val="20"/>
                <w:color w:val="auto"/>
              </w:rPr>
            </w:pPr>
            <w:r>
              <w:rPr>
                <w:rFonts w:ascii="Arial" w:cs="Arial" w:eastAsia="Arial" w:hAnsi="Arial"/>
                <w:sz w:val="14"/>
                <w:szCs w:val="14"/>
                <w:b w:val="1"/>
                <w:bCs w:val="1"/>
                <w:color w:val="auto"/>
                <w:w w:val="98"/>
              </w:rPr>
              <w:t>Year-over-Year Change</w:t>
            </w:r>
          </w:p>
        </w:tc>
        <w:tc>
          <w:tcPr>
            <w:tcW w:w="420" w:type="dxa"/>
            <w:vAlign w:val="bottom"/>
          </w:tcPr>
          <w:p>
            <w:pPr>
              <w:spacing w:after="0"/>
              <w:rPr>
                <w:sz w:val="14"/>
                <w:szCs w:val="14"/>
                <w:color w:val="auto"/>
              </w:rPr>
            </w:pPr>
          </w:p>
        </w:tc>
        <w:tc>
          <w:tcPr>
            <w:tcW w:w="228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2"/>
              </w:rPr>
              <w:t>Revenues for the Six Months</w:t>
            </w:r>
          </w:p>
        </w:tc>
        <w:tc>
          <w:tcPr>
            <w:tcW w:w="100" w:type="dxa"/>
            <w:vAlign w:val="bottom"/>
          </w:tcPr>
          <w:p>
            <w:pPr>
              <w:spacing w:after="0"/>
              <w:rPr>
                <w:sz w:val="14"/>
                <w:szCs w:val="14"/>
                <w:color w:val="auto"/>
              </w:rPr>
            </w:pPr>
          </w:p>
        </w:tc>
        <w:tc>
          <w:tcPr>
            <w:tcW w:w="19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100"/>
              <w:spacing w:after="0"/>
              <w:rPr>
                <w:sz w:val="20"/>
                <w:szCs w:val="20"/>
                <w:color w:val="auto"/>
              </w:rPr>
            </w:pPr>
            <w:r>
              <w:rPr>
                <w:rFonts w:ascii="Arial" w:cs="Arial" w:eastAsia="Arial" w:hAnsi="Arial"/>
                <w:sz w:val="14"/>
                <w:szCs w:val="14"/>
                <w:b w:val="1"/>
                <w:bCs w:val="1"/>
                <w:color w:val="auto"/>
              </w:rPr>
              <w:t>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1"/>
              </w:rPr>
              <w:t>Ended June 30,</w:t>
            </w:r>
          </w:p>
        </w:tc>
        <w:tc>
          <w:tcPr>
            <w:tcW w:w="10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82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Increase</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4"/>
              </w:rPr>
              <w:t>Increase</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1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2"/>
              </w:rPr>
              <w:t>(Decrease)</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96"/>
              <w:spacing w:after="0"/>
              <w:rPr>
                <w:sz w:val="20"/>
                <w:szCs w:val="20"/>
                <w:color w:val="auto"/>
              </w:rPr>
            </w:pPr>
            <w:r>
              <w:rPr>
                <w:rFonts w:ascii="Arial" w:cs="Arial" w:eastAsia="Arial" w:hAnsi="Arial"/>
                <w:sz w:val="14"/>
                <w:szCs w:val="14"/>
                <w:b w:val="1"/>
                <w:bCs w:val="1"/>
                <w:color w:val="auto"/>
              </w:rPr>
              <w:t>Percent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6,066</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87,731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12,104</w:t>
            </w: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Prepaid Processing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142,230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113,352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28,878</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269,811</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223,717</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46,094</w:t>
            </w:r>
          </w:p>
        </w:tc>
        <w:tc>
          <w:tcPr>
            <w:tcW w:w="820" w:type="dxa"/>
            <w:vAlign w:val="bottom"/>
          </w:tcPr>
          <w:p>
            <w:pPr>
              <w:jc w:val="right"/>
              <w:ind w:right="11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48,386</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5809%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48,579</w:t>
            </w: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4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237,133</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153,803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83,330</w:t>
            </w: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54%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407,550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300,773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106,777</w:t>
            </w:r>
          </w:p>
        </w:tc>
        <w:tc>
          <w:tcPr>
            <w:tcW w:w="440" w:type="dxa"/>
            <w:vAlign w:val="bottom"/>
          </w:tcPr>
          <w:p>
            <w:pPr>
              <w:spacing w:after="0"/>
              <w:rPr>
                <w:sz w:val="24"/>
                <w:szCs w:val="24"/>
                <w:color w:val="auto"/>
              </w:rPr>
            </w:pPr>
          </w:p>
        </w:tc>
        <w:tc>
          <w:tcPr>
            <w:tcW w:w="820" w:type="dxa"/>
            <w:vAlign w:val="bottom"/>
          </w:tcPr>
          <w:p>
            <w:pPr>
              <w:jc w:val="right"/>
              <w:ind w:right="9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4"/>
              </w:rPr>
              <w:t>Operating Income for</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40" w:type="dxa"/>
            <w:vAlign w:val="bottom"/>
            <w:gridSpan w:val="7"/>
            <w:vMerge w:val="restart"/>
          </w:tcPr>
          <w:p>
            <w:pPr>
              <w:ind w:left="420"/>
              <w:spacing w:after="0"/>
              <w:rPr>
                <w:sz w:val="20"/>
                <w:szCs w:val="20"/>
                <w:color w:val="auto"/>
              </w:rPr>
            </w:pPr>
            <w:r>
              <w:rPr>
                <w:rFonts w:ascii="Arial" w:cs="Arial" w:eastAsia="Arial" w:hAnsi="Arial"/>
                <w:sz w:val="14"/>
                <w:szCs w:val="14"/>
                <w:b w:val="1"/>
                <w:bCs w:val="1"/>
                <w:color w:val="auto"/>
              </w:rPr>
              <w:t>Operating Income for the Six Months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the Three Months Ended</w:t>
            </w:r>
          </w:p>
        </w:tc>
        <w:tc>
          <w:tcPr>
            <w:tcW w:w="140" w:type="dxa"/>
            <w:vAlign w:val="bottom"/>
          </w:tcPr>
          <w:p>
            <w:pPr>
              <w:spacing w:after="0"/>
              <w:rPr>
                <w:sz w:val="12"/>
                <w:szCs w:val="12"/>
                <w:color w:val="auto"/>
              </w:rPr>
            </w:pPr>
          </w:p>
        </w:tc>
        <w:tc>
          <w:tcPr>
            <w:tcW w:w="1640" w:type="dxa"/>
            <w:vAlign w:val="bottom"/>
            <w:gridSpan w:val="4"/>
            <w:vMerge w:val="restart"/>
          </w:tcPr>
          <w:p>
            <w:pPr>
              <w:jc w:val="right"/>
              <w:ind w:right="82"/>
              <w:spacing w:after="0"/>
              <w:rPr>
                <w:sz w:val="20"/>
                <w:szCs w:val="20"/>
                <w:color w:val="auto"/>
              </w:rPr>
            </w:pPr>
            <w:r>
              <w:rPr>
                <w:rFonts w:ascii="Arial" w:cs="Arial" w:eastAsia="Arial" w:hAnsi="Arial"/>
                <w:sz w:val="14"/>
                <w:szCs w:val="14"/>
                <w:b w:val="1"/>
                <w:bCs w:val="1"/>
                <w:color w:val="auto"/>
                <w:w w:val="94"/>
              </w:rPr>
              <w:t>Year-over-Year Change</w:t>
            </w:r>
          </w:p>
        </w:tc>
        <w:tc>
          <w:tcPr>
            <w:tcW w:w="294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Increase</w:t>
            </w: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4"/>
                <w:szCs w:val="14"/>
                <w:b w:val="1"/>
                <w:bCs w:val="1"/>
                <w:color w:val="auto"/>
                <w:w w:val="98"/>
              </w:rPr>
              <w:t>Increase</w:t>
            </w:r>
          </w:p>
        </w:tc>
        <w:tc>
          <w:tcPr>
            <w:tcW w:w="4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660" w:type="dxa"/>
            <w:vAlign w:val="bottom"/>
          </w:tcPr>
          <w:p>
            <w:pPr>
              <w:jc w:val="right"/>
              <w:ind w:right="22"/>
              <w:spacing w:after="0"/>
              <w:rPr>
                <w:sz w:val="20"/>
                <w:szCs w:val="20"/>
                <w:color w:val="auto"/>
              </w:rPr>
            </w:pPr>
            <w:r>
              <w:rPr>
                <w:rFonts w:ascii="Arial" w:cs="Arial" w:eastAsia="Arial" w:hAnsi="Arial"/>
                <w:sz w:val="14"/>
                <w:szCs w:val="14"/>
                <w:b w:val="1"/>
                <w:bCs w:val="1"/>
                <w:color w:val="auto"/>
              </w:rPr>
              <w:t>Percent</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16,185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16,689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(504)</w:t>
            </w:r>
          </w:p>
        </w:tc>
        <w:tc>
          <w:tcPr>
            <w:tcW w:w="7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Prepaid Processing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9,879</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8,692</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1,187</w:t>
            </w: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19,550</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18,260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1,290</w:t>
            </w: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1,692</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20,506</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17,016</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w:t>
            </w:r>
          </w:p>
        </w:tc>
        <w:tc>
          <w:tcPr>
            <w:tcW w:w="200" w:type="dxa"/>
            <w:vAlign w:val="bottom"/>
          </w:tcPr>
          <w:p>
            <w:pPr>
              <w:spacing w:after="0"/>
              <w:rPr>
                <w:sz w:val="19"/>
                <w:szCs w:val="19"/>
                <w:color w:val="auto"/>
              </w:rPr>
            </w:pP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36,248</w:t>
            </w: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400" w:type="dxa"/>
            <w:vAlign w:val="bottom"/>
          </w:tcPr>
          <w:p>
            <w:pPr>
              <w:spacing w:after="0"/>
              <w:rPr>
                <w:sz w:val="19"/>
                <w:szCs w:val="19"/>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(4,557)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(4,768)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9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(8,227)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967</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Pr>
          <w:p>
            <w:pPr>
              <w:ind w:left="400"/>
              <w:spacing w:after="0"/>
              <w:rPr>
                <w:sz w:val="20"/>
                <w:szCs w:val="20"/>
                <w:color w:val="auto"/>
              </w:rPr>
            </w:pPr>
            <w:r>
              <w:rPr>
                <w:rFonts w:ascii="Arial" w:cs="Arial" w:eastAsia="Arial" w:hAnsi="Arial"/>
                <w:sz w:val="18"/>
                <w:szCs w:val="18"/>
                <w:color w:val="auto"/>
              </w:rPr>
              <w:t>Total</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15,949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12,248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3,701</w:t>
            </w: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rPr>
              <w:t>30%</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28,021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24,576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3,445</w:t>
            </w: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482"/>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SIX-MONTH PERIODS ENDED JUNE 30,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2007 and 2006 for our EFT Processing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140"/>
              <w:spacing w:after="0"/>
              <w:rPr>
                <w:sz w:val="20"/>
                <w:szCs w:val="20"/>
                <w:color w:val="auto"/>
              </w:rPr>
            </w:pPr>
            <w:r>
              <w:rPr>
                <w:rFonts w:ascii="Arial" w:cs="Arial" w:eastAsia="Arial" w:hAnsi="Arial"/>
                <w:sz w:val="14"/>
                <w:szCs w:val="14"/>
                <w:b w:val="1"/>
                <w:bCs w:val="1"/>
                <w:color w:val="auto"/>
              </w:rPr>
              <w:t>Results for the Three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Results for the Six</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60"/>
              <w:spacing w:after="0"/>
              <w:rPr>
                <w:sz w:val="20"/>
                <w:szCs w:val="20"/>
                <w:color w:val="auto"/>
              </w:rPr>
            </w:pPr>
            <w:r>
              <w:rPr>
                <w:rFonts w:ascii="Arial" w:cs="Arial" w:eastAsia="Arial" w:hAnsi="Arial"/>
                <w:sz w:val="14"/>
                <w:szCs w:val="14"/>
                <w:b w:val="1"/>
                <w:bCs w:val="1"/>
                <w:color w:val="auto"/>
              </w:rPr>
              <w:t>Months Ended June 30,</w:t>
            </w:r>
          </w:p>
        </w:tc>
        <w:tc>
          <w:tcPr>
            <w:tcW w:w="160" w:type="dxa"/>
            <w:vAlign w:val="bottom"/>
          </w:tcPr>
          <w:p>
            <w:pPr>
              <w:spacing w:after="0"/>
              <w:rPr>
                <w:sz w:val="14"/>
                <w:szCs w:val="14"/>
                <w:color w:val="auto"/>
              </w:rPr>
            </w:pPr>
          </w:p>
        </w:tc>
        <w:tc>
          <w:tcPr>
            <w:tcW w:w="21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14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Increase</w:t>
            </w: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(Decrease)</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Percent</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45,684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39,618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6,066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87,731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75,627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12,104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17,768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13,991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3,777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34,691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26,857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7,834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10,557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9,441</w:t>
            </w: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1,116</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19,811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17,679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2,132</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3,825</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3,466</w:t>
            </w: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558</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8,092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6,858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1,234</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36,437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5,714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71,546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58,938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12,608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9,247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8,895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352</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16,185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16,689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(504)</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Transactions processed (in</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ATMs as of June 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9,858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7,866</w:t>
            </w: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1,992</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7,866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1,992</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discussed previously, effective January 1, 2007, we began reporting and managing the operations of the EFT Processing Segment and the Software Solutions Segment on a combined basis. Previously reported amounts have been restated to reflect these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revenue for the first half of 2007 increased when compared to the first half of 2006 primarily due to increases in the number of ATMs operated and, for owned ATMs, the number of transactions processed as well as the impact of foreign currency translations to the U.S. dollar. These increases were attributable primarily to our operations in Poland, India and Euronet Card Services Greece.</w:t>
      </w:r>
    </w:p>
    <w:p>
      <w:pPr>
        <w:spacing w:after="0" w:line="7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Partially offsetting these increases was a reduction in revenue associated with the extension of certain customer contracts for several years beyond their original terms. In exchange for these extensions, we paid or received up-front payments, and agreed on gradually declining fee structures. As prescribed by U.S. GAAP, revenue under these contracts is recognized based on proportional performance of services over the term of the contract, which generally results in “straight-line” (i.e., consistent value per period) revenue recognition of the contracts’ total cash flows, including any up-front payment. This straight-line revenue recognition results in revenue that is less than contractual invoices and cash receipts in the early periods of the agreement and revenue that is greater than the contractual invoices and cash receipts in the later years of the agreement. As a result of the revenue recognition under these contracts, amounts invoiced under the contracts exceeded the amount of revenue that we recognized by about $1.2 million for the first half of 2007. We may decide to enter into similar arrangements with other EFT Processing Segment customers during 2007 and beyond.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revenue per ATM was $1,577 for the second quarter and $1,564 for the first half of 2007 compared to $1,700 for the second quarter and</w:t>
      </w:r>
    </w:p>
    <w:p>
      <w:pPr>
        <w:spacing w:after="0" w:line="46"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$1,663 for the first half of 2006. Revenue per transaction was $0.31 for the second quarter and $0.32 for the first half of 2007 compared to $0.35 for both the second quarter and first half of 2006. The decrease in revenue per ATM and revenue per transaction was due to the addition of ATMs in India where revenue per ATM is generally lower than Central and Eastern Europe, the addition of Euronet-owned ATMs where related revenue has not yet developed to material levels and the impact of the contract extensions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 for the first half of 2007 compared to the first half of 2006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is attributed to the increase in the number of ATMs under operation, the number of transactions processed and foreign currency translations to the U.S. dollar.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margin, which is calculated as revenue less direct operating costs, increased to $27.9 million for the second quarter and $53.0 million for the first half of 2007 from $25.6 million for the second quarter and $48.8 million for the first half of 2006. Gross margin as a percentage of revenue was 60% for the first half of 2007 compared to 64% for the first half of 2006. The decrease in gross margin as a percentage of revenue is due to the impact of accounting for certain contract renewals and other fluctuations in revenues discussed above, as well as the increased contributions of our subsidiary in India, which generally earns a lower gross margin than our other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salaries and benefits for the first half of 2007 compared to the first half of 2006 was due to staffing costs to expand in emerging markets, such as India, China and new European markets, and additional products, such as POS, card processing and cross-border merchant processing and acquiring. Salaries and benefits also increased as a result of general merit increases awarded to employees and certain additional staffing requirements due to the larger number of ATMs under operation and transactions processed. As a percentage of revenue, however, these costs remained flat at 23% of revenue for the first half of both 2006 and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increase in selling, general and administrative expenses for the first half of 2007, compared to the first half of 2006, is primarily due to the $1.2 million loss recorded in the first quarter 2007 under a claim from a former cash supply contractor in Central Europe. The claim loss was awarded by an arbitration tribunal in Budapest, Hungary and involved the claim that the cash supply contractor provided us with cash during the fourth quarter 1999 and first quarter 2000 that was not returned. Excluding this loss, as a percentage of revenues, these costs decreased to 9% of revenue for the first half of 2007 from 10% of revenue for the first half of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depreciation and amortization expense for the first half of 2007 compared to the first half of 2006 is due primarily to additional equipment and software for the expansion of our Hungarian processing center incurred during 2006 and additional ATMs in Poland. As a percentage of revenue, these expenses remained flat at 9% of revenue for the first half of both 2006 and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Operating income decreased slightly for the first half of 2007 compared to the first half of 2006, primarily due to the arbitration loss described under selling, general and administrative expenses above. Excluding the arbitration loss, the increase in operating income for the segment is generally the result of increased revenue and gross margin described above, combined with leveraging certain management cost structures. Excluding the arbitration loss, operating income as a percentage of revenue was 20% for the first half of 2007 compared to 22% for the first half of 2006 and $0.06 per transaction for the first half of 2007 compared to $0.08 per transaction for the first half of 2006. Average monthly operating income per ATM was $310 for the first half of 2007 compared to $367 for the first half of 2006. The decreases in operating income as a percentage of revenue, operating income per transaction and average monthly operating income per ATM were generally the result of the decreases in gross margin, revenue per ATM and revenue per transaction described above.</w:t>
      </w:r>
    </w:p>
    <w:p>
      <w:pPr>
        <w:spacing w:after="0" w:line="5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For the first half of 2007 and 2006, operating income includes $0.6 million and $0.7 million, respectively, in losses associated with expanding operations for the Company’s 75% owned joint venture in China. As of June 30, 2007, we have deployed and are providing all of the day-to-day outsourcing services for over 100 ATMs. Under current agreements, we expect that the total number of ATMs in China deployed and for which we will be providing day-to-day outsourcing services will increase to over 800 during the next 12 to 18 months. Operating income for the first half of 2007 also includes expenses of</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$0.2 million related to the development of the capabilities necessary to enter the cross-border merchant processing and acquiring business. We expect that our results for the full year 2007 will include expenses of approximately $1.5 million to $2.0 million related to the ongoing investment in developing these capabilities.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sales backlog</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As of June 30, 2007, we had a software contract backlog of approximately $6.9 million compared to approximately $9.4 million as of June 30, 2006. Such backlog represents software sales based on signed contracts under which we continue to have performance milestones before the sale will be completed. We recognize revenue on a percentage of completion method, based on certain milestone conditions, for our software solutions. As a result, we have not recognized all the revenue associated with these sales contracts. We cannot give assurances that the milestones under the contracts will be completed within one year or that we will be able to recognize the related revenue within the one-year period.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2007 and 2006 for our Prepaid Processing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Results for the Three</w:t>
            </w:r>
          </w:p>
        </w:tc>
        <w:tc>
          <w:tcPr>
            <w:tcW w:w="120" w:type="dxa"/>
            <w:vAlign w:val="bottom"/>
          </w:tcPr>
          <w:p>
            <w:pPr>
              <w:spacing w:after="0"/>
              <w:rPr>
                <w:sz w:val="14"/>
                <w:szCs w:val="14"/>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Results for the Six Months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7"/>
              </w:rPr>
              <w:t>Months Ended June 30,</w:t>
            </w:r>
          </w:p>
        </w:tc>
        <w:tc>
          <w:tcPr>
            <w:tcW w:w="12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142,230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113,352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28,878</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269,811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223,717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46,094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116,248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91,290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24,958</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219,478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179,414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40,064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5,705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1,315</w:t>
            </w:r>
          </w:p>
        </w:tc>
        <w:tc>
          <w:tcPr>
            <w:tcW w:w="4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13,405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11,550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1,855</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28%</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3,694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229</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7,412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6,783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629</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132,351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104,660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27,691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250,261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205,457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44,804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9,879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8,692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1,187</w:t>
            </w:r>
          </w:p>
        </w:tc>
        <w:tc>
          <w:tcPr>
            <w:tcW w:w="4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19,550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18,260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1,290</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Transactions processed (in</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49%</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Effective in the second quarter 2007, as a result of the acquisition of RIA, the Company established the Money Transfer Segment. The Company’s previous money transfer business was relatively insignificant and was reported and managed as part of the Company’s Prepaid Processing Segment. We have restated previously reported amounts to reflect the reclassification of the money transfer business from the Prepaid Processing Segment to Money Transfer Segment for all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The increase in revenues for the first half of 2007 compared to the first half of 2006 was generally attributable to: (i) the increase in total transactions processed across all of our Prepaid Processing Segment operations, (ii) the first quarter 2007 acquisitions of Omega Logic and Brodos Romania, and</w:t>
      </w:r>
    </w:p>
    <w:p>
      <w:pPr>
        <w:ind w:right="100" w:firstLine="8"/>
        <w:spacing w:after="0" w:line="290"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foreign currency translations to the U.S. dollar. Revenue growth was partially offset by reduced revenue in Spain resulting from the second quarter 2006 expiration of a preferential commission arrangement with a Spanish mobile operator. Additionally, in certain mature markets,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revenue growth for 2007 and beyond to be derived from developing markets or markets in which there is organic growth in the prepaid sector overall, from continued conversion from scratch cards to electronic top-up in less mature markets, from additional products sold over the base of prepaid processing terminals and, possibly, from acquisitions.</w:t>
      </w:r>
    </w:p>
    <w:p>
      <w:pPr>
        <w:spacing w:after="0" w:line="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per transaction decreased to $0.89 for the second quarter and $0.90 for the first half of 2007 from $1.05 for the second quarter and $1.10 for the first half of 2006 due primarily to the growth in revenues and transactions recorded by our ATX subsidiary. ATX provides only transaction processing services without direct costs and other operating costs generally associated with installing and managing terminals; therefore, the revenue we recognize from these transactions is a fraction of that recognized on average transactions, but with very low cost. Transaction volumes at ATX have increased by more than 200% for the first half of 2007 compared to the first half of 2006. The expiration of preferential commission arrangements in Spain discussed above also contributed to the decrease in revenue per transaction. Partially offsetting the decreases described above was the growth in both volumes and revenues in Australia and the U.S., which generally have higher revenue per transaction, but also pay higher commission rates to retailers, than our other Prepaid Processing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Direct operating costs in the Prepaid Processing Segment include the commissions we pay to retail merchants for the distribution and sale of prepaid mobile airtime and other prepaid products, as well as communication and paper expenses required to operate POS terminals. Because of their nature, these expenditures generally fluctuate directly with revenues and processed transactions. The increase in direct operating costs is generally attributable to the increase in total transactions processed and foreign currency translations to the U.S. dollar compared to the prior year.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margin, which represents revenue less direct costs, was $26.0 million for the second quarter and $50.3 million for the first half of 2007 compared to $22.1 million for the second quarter and $44.3 million for the first half of 2006. Gross margin as a percentage of revenue was relatively flat at 19% for the first half of 2007 compared to 20% for the first half of 2006. Gross margin per transaction was $0.16 for the second quarter and $0.17 for the first half of 2007 compared to $0.20 for the second quarter and $0.22 for the first half of 2006. Most of the reduction in gross margin per transaction is due to the growth of revenues and transactions at our ATX subsidiary, the expiration of preferential commission arrangements in Spain discussed above and the general maturity of the prepaid mobile airtime business in many of our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in salaries and benefits for the first half of 2007 compared to the first half of 2006 is primarily the result of the acquisitions of Brodos Romania and Omega Logic, as well as additional overhead to support development in other new and growing markets. As a percentage of revenue, salaries and benefits have decreased slightly to 5.0% for the first half of 2007, from 5.2% for the first half of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increase in selling, general and administrative expenses for the first half of 2007 compared to the first half of 2006 is the result of the acquisitions of Brodos Romania and Omega Logic, as well as additional overhead to support development in other new and growing markets. As a percentage of revenue these selling, general and administrative expenses increased to 3.7% for the first half of 2007 compared to 3.4% of revenue for the first half of 2006 mainly due to additional expenses incurred in new and growing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Depreciation and amortization expense primarily represents amortization of acquired intangibles and the depreciation of POS terminals we install in retail stores. The increase for the first half of 2007 compared to the first half 2006 is primarily due to the acquisitions of Brodos Romania and Omega Logic. As a percentage of revenues, depreciation and amortization decreased to 2.7% for the first half of 2007 from 3.0% for first half of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improvement in operating income for the first half of 2007 compared to the first half of 2006 was due to the significant growth in revenues and transactions processed and the benefit of foreign currency translations to the U.S. dollar, partially offset by the impact of the events in Spain discussed above and the costs of development in new and growing markets.</w:t>
      </w:r>
    </w:p>
    <w:p>
      <w:pPr>
        <w:spacing w:after="0" w:line="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Operating income as a percentage of revenues was 6.9% for the second quarter and 7.2% for the first half of 2007 compared to 7.7% for second quarter and 8.2% for the first half of 2006. The decreases are primarily due to the events in Spain and operating expenses incurred to support development in new and growing markets. Operating income per transaction was $0.06 for the second quarter and $0.07 for the first half of 2007 compared to $0.08 for the second quarter and $0.09 for the first half of 2006. The decrease in operating income per transaction is due to the events in Spain and the growth in revenues and transactions at our ATX subsidiary.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Money Transfer Segment was established during April 2007 with the acquisition of RIA, which is more fully described in Note 4 – Acquisitions, to the unaudited consolidated financial statements included in this report. To assist in better understanding the results of the Money Transfer Segment, pro forma results have been provided as if RIA’s results were included in our consolidated results of operations beginning January 1, 2006. Because our results of operations for the three- and six-month periods ended June 30, 2006 were insignificant, and fluctuations when compared to the three- and six-month periods ended June 30, 2007 are nearly entirely due to the acquisition of RIA, the following discussion and analysis will focus on pro forma results of operations. The pro forma financial information is not intended to represent, or be indicative of, the consolidated results of operations or financial condition that would have been reported had the RIA acquisition been completed as of the beginning of the periods presented. Moreover, the pro forma financial information should not be considered as representative of our future consolidated results of operations or financial condition. The following tables present the actual and pro forma results of operations for the three- and six-month periods ended June 30, 2007 and 2006 for the Money Transfer Segment: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Actual</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gridSpan w:val="7"/>
            <w:vMerge w:val="restart"/>
          </w:tcPr>
          <w:p>
            <w:pPr>
              <w:jc w:val="right"/>
              <w:ind w:right="620"/>
              <w:spacing w:after="0"/>
              <w:rPr>
                <w:sz w:val="20"/>
                <w:szCs w:val="20"/>
                <w:color w:val="auto"/>
              </w:rPr>
            </w:pPr>
            <w:r>
              <w:rPr>
                <w:rFonts w:ascii="Arial" w:cs="Arial" w:eastAsia="Arial" w:hAnsi="Arial"/>
                <w:sz w:val="14"/>
                <w:szCs w:val="14"/>
                <w:b w:val="1"/>
                <w:bCs w:val="1"/>
                <w:color w:val="auto"/>
              </w:rPr>
              <w:t>Results for the Three</w:t>
            </w:r>
          </w:p>
        </w:tc>
        <w:tc>
          <w:tcPr>
            <w:tcW w:w="460" w:type="dxa"/>
            <w:vAlign w:val="bottom"/>
          </w:tcPr>
          <w:p>
            <w:pPr>
              <w:spacing w:after="0"/>
              <w:rPr>
                <w:sz w:val="10"/>
                <w:szCs w:val="10"/>
                <w:color w:val="auto"/>
              </w:rPr>
            </w:pPr>
          </w:p>
        </w:tc>
        <w:tc>
          <w:tcPr>
            <w:tcW w:w="6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Year-over-</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Results for the Six</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Year-over-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7"/>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Year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7"/>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Months Ended June 30,</w:t>
            </w:r>
          </w:p>
        </w:tc>
        <w:tc>
          <w:tcPr>
            <w:tcW w:w="4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8"/>
          </w:tcPr>
          <w:p>
            <w:pPr>
              <w:jc w:val="right"/>
              <w:spacing w:after="0"/>
              <w:rPr>
                <w:sz w:val="20"/>
                <w:szCs w:val="20"/>
                <w:color w:val="auto"/>
              </w:rPr>
            </w:pPr>
            <w:r>
              <w:rPr>
                <w:rFonts w:ascii="Arial" w:cs="Arial" w:eastAsia="Arial" w:hAnsi="Arial"/>
                <w:sz w:val="14"/>
                <w:szCs w:val="14"/>
                <w:b w:val="1"/>
                <w:bCs w:val="1"/>
                <w:color w:val="auto"/>
              </w:rPr>
              <w:t>Months Ended 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w w:val="96"/>
              </w:rPr>
              <w:t>2007</w:t>
            </w: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6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3"/>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6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49,219</w:t>
            </w:r>
          </w:p>
        </w:tc>
        <w:tc>
          <w:tcPr>
            <w:tcW w:w="50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48,386</w:t>
            </w:r>
          </w:p>
        </w:tc>
        <w:tc>
          <w:tcPr>
            <w:tcW w:w="180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$ 50,008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1,429</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48,579</w:t>
            </w:r>
          </w:p>
        </w:tc>
        <w:tc>
          <w:tcPr>
            <w:tcW w:w="0" w:type="dxa"/>
            <w:vAlign w:val="bottom"/>
          </w:tcPr>
          <w:p>
            <w:pPr>
              <w:spacing w:after="0"/>
              <w:rPr>
                <w:sz w:val="1"/>
                <w:szCs w:val="1"/>
                <w:color w:val="auto"/>
              </w:rPr>
            </w:pPr>
          </w:p>
        </w:tc>
      </w:tr>
      <w:tr>
        <w:trPr>
          <w:trHeight w:val="439"/>
        </w:trPr>
        <w:tc>
          <w:tcPr>
            <w:tcW w:w="26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26,395</w:t>
            </w:r>
          </w:p>
        </w:tc>
        <w:tc>
          <w:tcPr>
            <w:tcW w:w="5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25,915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4"/>
              </w:rPr>
              <w:t>26,906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843</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4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9,833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500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9,333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ind w:right="440"/>
              <w:spacing w:after="0"/>
              <w:rPr>
                <w:sz w:val="20"/>
                <w:szCs w:val="20"/>
                <w:color w:val="auto"/>
              </w:rPr>
            </w:pPr>
            <w:r>
              <w:rPr>
                <w:rFonts w:ascii="Arial" w:cs="Arial" w:eastAsia="Arial" w:hAnsi="Arial"/>
                <w:sz w:val="18"/>
                <w:szCs w:val="18"/>
                <w:color w:val="auto"/>
                <w:w w:val="94"/>
              </w:rPr>
              <w:t>10,423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939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5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7,270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673</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400"/>
              <w:spacing w:after="0"/>
              <w:rPr>
                <w:sz w:val="20"/>
                <w:szCs w:val="20"/>
                <w:color w:val="auto"/>
              </w:rPr>
            </w:pPr>
            <w:r>
              <w:rPr>
                <w:rFonts w:ascii="Arial" w:cs="Arial" w:eastAsia="Arial" w:hAnsi="Arial"/>
                <w:sz w:val="18"/>
                <w:szCs w:val="18"/>
                <w:color w:val="auto"/>
                <w:w w:val="92"/>
              </w:rPr>
              <w:t>Depreciation and amortization</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4,792</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4,705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ind w:right="440"/>
              <w:spacing w:after="0"/>
              <w:rPr>
                <w:sz w:val="20"/>
                <w:szCs w:val="20"/>
                <w:color w:val="auto"/>
              </w:rPr>
            </w:pPr>
            <w:r>
              <w:rPr>
                <w:rFonts w:ascii="Arial" w:cs="Arial" w:eastAsia="Arial" w:hAnsi="Arial"/>
                <w:sz w:val="18"/>
                <w:szCs w:val="18"/>
                <w:color w:val="auto"/>
              </w:rPr>
              <w:t>4,896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Total operating expenses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47,839</w:t>
            </w:r>
          </w:p>
        </w:tc>
        <w:tc>
          <w:tcPr>
            <w:tcW w:w="5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46,435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49,495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2,608</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640" w:type="dxa"/>
            <w:vAlign w:val="bottom"/>
            <w:gridSpan w:val="2"/>
          </w:tcPr>
          <w:p>
            <w:pPr>
              <w:ind w:left="80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1,380</w:t>
            </w:r>
          </w:p>
        </w:tc>
        <w:tc>
          <w:tcPr>
            <w:tcW w:w="5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(571)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40"/>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(1,179)</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Transactions processed (in millions)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w w:val="94"/>
              </w:rPr>
              <w:t>Pro Forma</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gridSpan w:val="7"/>
          </w:tcPr>
          <w:p>
            <w:pPr>
              <w:jc w:val="right"/>
              <w:ind w:right="760"/>
              <w:spacing w:after="0" w:line="119" w:lineRule="exact"/>
              <w:rPr>
                <w:sz w:val="20"/>
                <w:szCs w:val="20"/>
                <w:color w:val="auto"/>
              </w:rPr>
            </w:pPr>
            <w:r>
              <w:rPr>
                <w:rFonts w:ascii="Arial" w:cs="Arial" w:eastAsia="Arial" w:hAnsi="Arial"/>
                <w:sz w:val="13"/>
                <w:szCs w:val="13"/>
                <w:b w:val="1"/>
                <w:bCs w:val="1"/>
                <w:color w:val="auto"/>
              </w:rPr>
              <w:t>Results for the Three</w:t>
            </w:r>
          </w:p>
        </w:tc>
        <w:tc>
          <w:tcPr>
            <w:tcW w:w="200" w:type="dxa"/>
            <w:vAlign w:val="bottom"/>
          </w:tcPr>
          <w:p>
            <w:pPr>
              <w:spacing w:after="0"/>
              <w:rPr>
                <w:sz w:val="10"/>
                <w:szCs w:val="10"/>
                <w:color w:val="auto"/>
              </w:rPr>
            </w:pPr>
          </w:p>
        </w:tc>
        <w:tc>
          <w:tcPr>
            <w:tcW w:w="15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4"/>
              </w:rPr>
              <w:t>Year-over-Year Change</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gridSpan w:val="7"/>
          </w:tcPr>
          <w:p>
            <w:pPr>
              <w:ind w:left="80"/>
              <w:spacing w:after="0" w:line="119" w:lineRule="exact"/>
              <w:rPr>
                <w:sz w:val="20"/>
                <w:szCs w:val="20"/>
                <w:color w:val="auto"/>
              </w:rPr>
            </w:pPr>
            <w:r>
              <w:rPr>
                <w:rFonts w:ascii="Arial" w:cs="Arial" w:eastAsia="Arial" w:hAnsi="Arial"/>
                <w:sz w:val="13"/>
                <w:szCs w:val="13"/>
                <w:b w:val="1"/>
                <w:bCs w:val="1"/>
                <w:color w:val="auto"/>
              </w:rPr>
              <w:t>Results for the Six Months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w w:val="95"/>
              </w:rPr>
              <w:t>Months Ended June 30,</w:t>
            </w:r>
          </w:p>
        </w:tc>
        <w:tc>
          <w:tcPr>
            <w:tcW w:w="200" w:type="dxa"/>
            <w:vAlign w:val="bottom"/>
          </w:tcPr>
          <w:p>
            <w:pPr>
              <w:spacing w:after="0"/>
              <w:rPr>
                <w:sz w:val="14"/>
                <w:szCs w:val="14"/>
                <w:color w:val="auto"/>
              </w:rPr>
            </w:pPr>
          </w:p>
        </w:tc>
        <w:tc>
          <w:tcPr>
            <w:tcW w:w="150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7"/>
          </w:tcPr>
          <w:p>
            <w:pPr>
              <w:ind w:left="420"/>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0"/>
                <w:szCs w:val="10"/>
                <w:color w:val="auto"/>
              </w:rPr>
            </w:pPr>
          </w:p>
        </w:tc>
        <w:tc>
          <w:tcPr>
            <w:tcW w:w="1120" w:type="dxa"/>
            <w:vAlign w:val="bottom"/>
            <w:tcBorders>
              <w:top w:val="single" w:sz="8" w:color="auto"/>
            </w:tcBorders>
            <w:gridSpan w:val="5"/>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gridSpan w:val="3"/>
          </w:tcPr>
          <w:p>
            <w:pPr>
              <w:jc w:val="right"/>
              <w:ind w:right="54"/>
              <w:spacing w:after="0" w:line="119" w:lineRule="exact"/>
              <w:rPr>
                <w:sz w:val="20"/>
                <w:szCs w:val="20"/>
                <w:color w:val="auto"/>
              </w:rPr>
            </w:pPr>
            <w:r>
              <w:rPr>
                <w:rFonts w:ascii="Arial" w:cs="Arial" w:eastAsia="Arial" w:hAnsi="Arial"/>
                <w:sz w:val="13"/>
                <w:szCs w:val="13"/>
                <w:b w:val="1"/>
                <w:bCs w:val="1"/>
                <w:color w:val="auto"/>
              </w:rPr>
              <w:t>Increase</w:t>
            </w:r>
          </w:p>
        </w:tc>
        <w:tc>
          <w:tcPr>
            <w:tcW w:w="34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top w:val="single" w:sz="8" w:color="auto"/>
            </w:tcBorders>
            <w:gridSpan w:val="4"/>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66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Percent</w:t>
            </w: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51,692</w:t>
            </w:r>
          </w:p>
        </w:tc>
        <w:tc>
          <w:tcPr>
            <w:tcW w:w="4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47,173</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4,519</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8"/>
              </w:rPr>
              <w:t>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$ 96,197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87,728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6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8"/>
              </w:rPr>
              <w:t>27,633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25,349</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2,284</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2"/>
              </w:rPr>
              <w:t>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47,171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w w:val="98"/>
              </w:rPr>
              <w:t>10,498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9,040</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1,458</w:t>
            </w:r>
          </w:p>
        </w:tc>
        <w:tc>
          <w:tcPr>
            <w:tcW w:w="220" w:type="dxa"/>
            <w:vAlign w:val="bottom"/>
          </w:tcPr>
          <w:p>
            <w:pPr>
              <w:spacing w:after="0"/>
              <w:rPr>
                <w:sz w:val="18"/>
                <w:szCs w:val="18"/>
                <w:color w:val="auto"/>
              </w:rPr>
            </w:pPr>
          </w:p>
        </w:tc>
        <w:tc>
          <w:tcPr>
            <w:tcW w:w="580" w:type="dxa"/>
            <w:vAlign w:val="bottom"/>
            <w:gridSpan w:val="2"/>
          </w:tcPr>
          <w:p>
            <w:pPr>
              <w:jc w:val="center"/>
              <w:ind w:left="134"/>
              <w:spacing w:after="0"/>
              <w:rPr>
                <w:sz w:val="20"/>
                <w:szCs w:val="20"/>
                <w:color w:val="auto"/>
              </w:rPr>
            </w:pPr>
            <w:r>
              <w:rPr>
                <w:rFonts w:ascii="Arial" w:cs="Arial" w:eastAsia="Arial" w:hAnsi="Arial"/>
                <w:sz w:val="18"/>
                <w:szCs w:val="18"/>
                <w:color w:val="auto"/>
                <w:w w:val="88"/>
              </w:rPr>
              <w:t>16%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20,751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17,802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6,490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2"/>
              </w:rPr>
              <w:t>3%</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13,272</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12,968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tcPr>
          <w:p>
            <w:pPr>
              <w:ind w:left="40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4,620</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4,217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20"/>
                <w:szCs w:val="20"/>
                <w:color w:val="auto"/>
              </w:rPr>
            </w:pPr>
          </w:p>
        </w:tc>
        <w:tc>
          <w:tcPr>
            <w:tcW w:w="580" w:type="dxa"/>
            <w:vAlign w:val="bottom"/>
            <w:gridSpan w:val="2"/>
          </w:tcPr>
          <w:p>
            <w:pPr>
              <w:jc w:val="center"/>
              <w:ind w:left="134"/>
              <w:spacing w:after="0"/>
              <w:rPr>
                <w:sz w:val="20"/>
                <w:szCs w:val="20"/>
                <w:color w:val="auto"/>
              </w:rPr>
            </w:pPr>
            <w:r>
              <w:rPr>
                <w:rFonts w:ascii="Arial" w:cs="Arial" w:eastAsia="Arial" w:hAnsi="Arial"/>
                <w:sz w:val="18"/>
                <w:szCs w:val="18"/>
                <w:color w:val="auto"/>
                <w:w w:val="88"/>
              </w:rPr>
              <w:t>10%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8,926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8,366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49,432</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45,096</w:t>
            </w:r>
          </w:p>
        </w:tc>
        <w:tc>
          <w:tcPr>
            <w:tcW w:w="5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4,336</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8"/>
              </w:rPr>
              <w:t>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86,307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8,342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64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4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2,077</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4"/>
                <w:szCs w:val="24"/>
                <w:color w:val="auto"/>
              </w:rPr>
            </w:pPr>
          </w:p>
        </w:tc>
        <w:tc>
          <w:tcPr>
            <w:tcW w:w="580" w:type="dxa"/>
            <w:vAlign w:val="bottom"/>
            <w:gridSpan w:val="2"/>
          </w:tcPr>
          <w:p>
            <w:pPr>
              <w:jc w:val="center"/>
              <w:ind w:left="134"/>
              <w:spacing w:after="0"/>
              <w:rPr>
                <w:sz w:val="20"/>
                <w:szCs w:val="20"/>
                <w:color w:val="auto"/>
              </w:rPr>
            </w:pPr>
            <w:r>
              <w:rPr>
                <w:rFonts w:ascii="Arial" w:cs="Arial" w:eastAsia="Arial" w:hAnsi="Arial"/>
                <w:sz w:val="18"/>
                <w:szCs w:val="18"/>
                <w:color w:val="auto"/>
                <w:w w:val="92"/>
              </w:rPr>
              <w:t>9%</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  1,548</w:t>
            </w:r>
          </w:p>
        </w:tc>
        <w:tc>
          <w:tcPr>
            <w:tcW w:w="140" w:type="dxa"/>
            <w:vAlign w:val="bottom"/>
          </w:tcPr>
          <w:p>
            <w:pPr>
              <w:spacing w:after="0"/>
              <w:rPr>
                <w:sz w:val="24"/>
                <w:szCs w:val="24"/>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1,421</w:t>
            </w:r>
          </w:p>
        </w:tc>
        <w:tc>
          <w:tcPr>
            <w:tcW w:w="140" w:type="dxa"/>
            <w:vAlign w:val="bottom"/>
          </w:tcPr>
          <w:p>
            <w:pPr>
              <w:spacing w:after="0"/>
              <w:rPr>
                <w:sz w:val="24"/>
                <w:szCs w:val="24"/>
                <w:color w:val="auto"/>
              </w:rPr>
            </w:pPr>
          </w:p>
        </w:tc>
        <w:tc>
          <w:tcPr>
            <w:tcW w:w="2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6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pro forma operating results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second quarter 2007, we combined our previous money transfer business with RIA and incurred total exit costs of $0.9 million. These costs represent the accelerated depreciation and amortization of property and equipment, software and leasehold improvements that were disposed of during the second quarter 2007; the write-off of marketing materials and trademarks that have been discontinued; the write off of accounts receivable from agents that did not meet RIA’s credit requirements; and severance and retention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payments made to certain employees. These exit costs are not included in pro forma operating expenses in the above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Revenue from the Money Transfer Segment includes a transaction fee for each transaction as well as the difference between purchasing currency at wholesale exchange rates and selling the currency to customers at retail exchange rates. On a historical basis 70-75% of our Money Transfer Segment revenue is derived from transaction fees, 24-26% is derived from the foreign currency spread and 2% or less is derived from other sources, such as fees for cashing checks, issuing money orders and processing bill payments. For the six-months ended June 30, 2007, 75% of our money transfers were initiated in the U.S., 21% in Europe and 4% in other countries, such as Canada, Australia and the Dominican Republic. For the six-months ended June 30, 2006, 83% of our money transfers were initiated in the U.S., 15% in Europe and 2% in other countries. We expect that the U.S. will continue to represent our highest volume market; however, significant future growth is expected to be derived from non-U.S. sources.</w:t>
      </w:r>
    </w:p>
    <w:p>
      <w:pPr>
        <w:spacing w:after="0" w:line="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increase in pro forma revenues for the first half of 2007 compared to the first half of 2006 is due to a 13% increase in the number of transactions processed. Money transfers to Mexico, which represented approximately 40% of total money transfers, decreased by 1.5%, while transfers to all other countries increased 26% when compared to the prior year. The decline in transfers to Mexico was largely the result of immigration developments, downturns in certain labor markets and other economic factors impacting the U.S. market. These issues have also resulted in certain competitors lowering transaction fees and foreign currency exchange spreads in certain markets where we do business in an attempt to limit the impact on money transfer volumes. However, we have seen recent improvement in this trend and June 2007 total money transfers to Mexico exceeded total money transfers to Mexico in June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fees to collect money from originating agents. Direct operating costs generally increase or decrease by a similar percentage as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Pro forma gross margin, which represents revenue less direct costs, was $23.8 million for the second quarter and $44.5 million for the first half of 2007 compared to $21.8 million for the second quarter and $40.6 million for the first half of 2006. This improvement is primarily due to the growth in money transfer transactions discussed above. Pro forma gross margin as a percentage of revenue was 46% for the first half of both 2007 and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Salaries and benefits include salaries and commissions paid to employees, the cost of providing employee benefits, amounts paid to contract workers and accruals for incentive compensation. Pro forma salaries and benefits expense for the first half of 2007 increased as compared to the first half of 2006 primarily due to overall Company growth. Pro forma salaries and benefits for 2006 also include costs associated with our previous money transfer business that generally have been eliminated from our cost structure for the second quarter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Selling, general and administrative expenses include operations support costs, such as rent, utilities, professional fees, indirect telecommunications, advertising and other miscellaneous overhead costs. Pro forma selling, general and administrative expenses for the first half of 2007 were relatively flat compared to the first half of 2006. However, the prior year pro forma results include costs associated with our previous money transfer business, which generally have been eliminated from our cost structure beginning in the second quarter 2007. Excluding the impact of these costs, the increase in pro forma selling, general and administrative expenses for the first half of 2007 compared to the first half of 2006 is due primarily to overall Company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Depreciation and amortization primarily represents amortization of acquired intangibles, but also includes depreciation of money transfer terminals, computers and software, leasehold improvements and office equipment. The increase in pro forma depreciation and amortization for the first half of 2007 compared to the first half of 2006 is primarily due to additional computer equipment in our customer service centers and increased leasehold improvements, office equipment and computer equipment for expansion.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pro forma operating income for the first half of 2007 compared to the first half of 2006 is the result of increased pro forma revenues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six-month periods ended June 30, 2007 and 2006 for Corporate Services: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Results for the Three</w:t>
            </w:r>
          </w:p>
        </w:tc>
        <w:tc>
          <w:tcPr>
            <w:tcW w:w="160" w:type="dxa"/>
            <w:vAlign w:val="bottom"/>
          </w:tcPr>
          <w:p>
            <w:pPr>
              <w:spacing w:after="0"/>
              <w:rPr>
                <w:sz w:val="14"/>
                <w:szCs w:val="14"/>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Results for the Six</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restart"/>
          </w:tcPr>
          <w:p>
            <w:pPr>
              <w:jc w:val="right"/>
              <w:ind w:right="158"/>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60"/>
              <w:spacing w:after="0"/>
              <w:rPr>
                <w:sz w:val="20"/>
                <w:szCs w:val="20"/>
                <w:color w:val="auto"/>
              </w:rPr>
            </w:pPr>
            <w:r>
              <w:rPr>
                <w:rFonts w:ascii="Arial" w:cs="Arial" w:eastAsia="Arial" w:hAnsi="Arial"/>
                <w:sz w:val="14"/>
                <w:szCs w:val="14"/>
                <w:b w:val="1"/>
                <w:bCs w:val="1"/>
                <w:color w:val="auto"/>
              </w:rPr>
              <w:t>Months Ended June 30,</w:t>
            </w: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Months Ended June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(1,241)</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1,117</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202</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1,786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241</w:t>
            </w:r>
          </w:p>
        </w:tc>
        <w:tc>
          <w:tcPr>
            <w:tcW w:w="800" w:type="dxa"/>
            <w:vAlign w:val="bottom"/>
          </w:tcPr>
          <w:p>
            <w:pPr>
              <w:jc w:val="right"/>
              <w:ind w:right="15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and amortization</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4,557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4,768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(211)</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8,227</w:t>
            </w:r>
          </w:p>
        </w:tc>
        <w:tc>
          <w:tcPr>
            <w:tcW w:w="22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9,194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(967)</w:t>
            </w:r>
          </w:p>
        </w:tc>
        <w:tc>
          <w:tcPr>
            <w:tcW w:w="800" w:type="dxa"/>
            <w:vAlign w:val="bottom"/>
          </w:tcPr>
          <w:p>
            <w:pPr>
              <w:jc w:val="right"/>
              <w:ind w:right="9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 in salaries and benefits for the first half of 2007 compared to the first half of 2006 was due primarily to lower incentive accruals and the December 2006 resignation of our former President and Chief Operating Officer. The increase in selling, general and administrative expenses was mainly the result of higher professional fees and other expenses associated with acquisition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Results for the Three</w:t>
            </w:r>
          </w:p>
        </w:tc>
        <w:tc>
          <w:tcPr>
            <w:tcW w:w="160" w:type="dxa"/>
            <w:vAlign w:val="bottom"/>
          </w:tcPr>
          <w:p>
            <w:pPr>
              <w:spacing w:after="0"/>
              <w:rPr>
                <w:sz w:val="14"/>
                <w:szCs w:val="14"/>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Results for the Six</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5"/>
              </w:rPr>
              <w:t>Months Ended June 30,</w:t>
            </w: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Months Ended 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6,109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(7,782)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(3,656)</w:t>
            </w: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4,126</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(11,363)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(7,253)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4,110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from unconsolidated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Foreign currency exchange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gain, net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1,308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2,772</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(1,464)</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4,330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(2,589)</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Total other income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(expense)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(4,432)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(3,849)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Interest income was $8.4 million for the first half of 2007 compared to $6.1 million for the first half of 2006. The increase in interest income for the first half of 2007 was primarily due to cash generated from operations and the $154.3 million of net proceeds from the private equity placement that was completed during March 2007. We have also benefited from higher average interest rates during the first half of 2007 compared to the first half of 2006 due to a shift of investments from money market accounts to commercial paper and the general rise in short-term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Interest expense was $11.4 million for the first half of 2007 compared to $7.3 million for the first half of 2006. The increase in interest expense is primarily related to an additional $190 million in borrowings to finance the acquisition of RIA and borrowings under the revolving credit facility to finance the working capital requirements of RIA, which comprises our new Money Transfer Segment. The RIA acquisition was completed on April 4, 2007.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from unconsolidated affiliates increased for the first half of 2007 compared to the first half of 2006 because we recognized a gain of $0.4 million from the sale of our 8% interest in CashNet Telecommunications Egypt SAE during the second quarter 2007. The remainder of income from unconsolidated affiliates represents the equity in income of our 40% investment in e-pay Malaysia.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net</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re-measurement of assets and liabilities denominated in currencies other than the functional currency of each of our subsidiaries gives rise to foreign currency exchange gains and losses that are recorded in determining net income. We recorded net foreign currency exchange gains of $1.7 million and $4.3 million during the first half of 2007 and 2006,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Results for the Three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Results for the Six Months</w:t>
            </w:r>
          </w:p>
        </w:tc>
        <w:tc>
          <w:tcPr>
            <w:tcW w:w="0" w:type="dxa"/>
            <w:vAlign w:val="bottom"/>
          </w:tcPr>
          <w:p>
            <w:pPr>
              <w:spacing w:after="0"/>
              <w:rPr>
                <w:sz w:val="1"/>
                <w:szCs w:val="1"/>
                <w:color w:val="auto"/>
              </w:rPr>
            </w:pPr>
          </w:p>
        </w:tc>
      </w:t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Months Ended June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Ended June 30,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from continuing operations before income taxes and minority interest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14,207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14,938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27,716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Minority interest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(952)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13,608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14,726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26,764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27,647</w:t>
            </w: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3,599</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8,923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8,618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11,127</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17,841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20,478</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13,608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14,726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26,764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27,647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Adjust: Foreign exchange gain,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1,741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from continuing operations before income taxes and foreign exchange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net</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12,300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11,954</w:t>
            </w:r>
          </w:p>
        </w:tc>
        <w:tc>
          <w:tcPr>
            <w:tcW w:w="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25,023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23,317</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Effective income tax rate, excluding foreign exchange gain, net</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calculate our effective tax rate by dividing income tax expense by pre-tax book income including the effect of minority interests. Our effective tax rate was 33.3% for the first half of 2007 compared to 25.9% for the first half of 2006.</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in a net operating loss position for our U.S. operations and, accordingly have valuation allowances to reserve for deferred tax assets that are not considered more likely than not of realization. Therefore, we do not currently recognize the tax benefit or expense associated with foreign currency gains or losses incurred by our U.S. operations. Excluding foreign currency exchange translation results from pre-tax income, our effective tax rate was 35.7% for the first half of 2007 and 30.7% for the first half of 2006.</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the year-over-year effective tax rates, excluding foreign currency gains and losses, was primarily attributable to the expiration of operating loss benefits in Poland and India, the increase in profitability in higher than average tax rate jurisdictions and the dilutive net effects on pre-tax income resulting from the RIA acquisition. The acquisition of RIA increased the effective tax rate for two reasons: (i) RIA is expected to generate net operating losses for U.S. tax purposes that are expected to require a valuation allowance; and (ii) RIA significantly expands our U.S. presence and the combined U.S. federal and state tax rates are higher than most tax rates in other jurisdictions where we operate.</w:t>
      </w:r>
    </w:p>
    <w:p>
      <w:pPr>
        <w:spacing w:after="0" w:line="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second quarter 2007, we recognized $1.3 million of non-cash deferred income tax expense related to the deduction of goodwill amortization expense for U.S. income tax purposes, a substantial portion of which relates to the acquisition of RIA Envia. Goodwill arising from certain business combinations involving our U.S. operations is amortized as an expense for tax purposes over 15 years but not for financial reporting purposes. We recorded deferred income tax expense and a deferred tax liability related to the tax-deductible goodwill. The deferred tax liability will remain on the balance sheet indefinitely unless there is an impairment of goodwill for financial reporting purposes or the related business entity is disposed of through a sale. Moreover, during the second quarter 2007, we reversed $2.7 million in valuation allowances on deferred tax assets related to U.S. federal and state net operating losses. We concluded that it is more likely than not that the net deferred tax asset will be realized because we would utilize tax-planning strategies in the event its net operating losses were to expire.</w:t>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 aware of new facts or other evidence that could alter our conclusions, the resulting impact to our estimates could have a material adverse effect on our Consolidated Financial Statements.</w:t>
      </w:r>
    </w:p>
    <w:p>
      <w:pPr>
        <w:sectPr>
          <w:pgSz w:w="11900" w:h="16838" w:orient="portrait"/>
          <w:cols w:equalWidth="0" w:num="1">
            <w:col w:w="11420"/>
          </w:cols>
          <w:pgMar w:left="240" w:top="41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July 2002, we sold substantially all of the non-current assets and related capital lease obligations of our ATM processing business in France to Atos S.A. During the first quarter 2007, we received a binding French Supreme Court decision relating to a lawsuit in France that resulted in a cash recovery and gain of $0.3 million, net of legal costs. There were no assets or liabilities held for sale at June 30, 2007 or December 31,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recorded net income of $18.2 million for the first half of 2007 compared to $20.5 million for the first half of 2006. As more fully discussed above, the decrease of $2.3 million was primarily the result of a decrease in the net foreign currency exchange gain of $2.6 million, an increase in net interest expense of $1.8 million, an increase in income tax expense of $1.7 million, and an increase in income attributable to minority interest of $0.5 million. These decreases were partially offset by an increase in operating income of $3.5 million, an increase in income from unconsolidated affiliates of $0.5 million and a gain from discontinued operations of $0.3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June 30, 2007, we had working capital, which is calculated as the difference between total current assets and total current liabilities, of $264.9 million, compared to working capital of $284.4 million as of December 31, 2006. Our ratio of current assets to current liabilities was 1.53 at June 30, 2007, compared to 1.70 as of December 31, 2006. The decrease in working capital and the reduction in the ratio of current assets to current liabilities were due primarily to the reduction in cash of approximately $168.3 million for the acquisition of RIA, mostly offset by the proceeds from the private equity offering that we completed during March 2007. As of June 30, 2007, the net proceeds from the offering remained unused and included in unrestricted cash.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Cash flows provided by operating activities were $1.0 million for the first half of 2007 compared to $15.6 million for the first half of 2006. This decrease was primarily due to the acquisition of RIA. The purchase price was reduced by $21.7 million for liabilities assumed in excess of an agreed upon amount, which decreased the cash paid to the sellers and increased the amount of cash we paid out of operating cash flows to settle these assumed liabilities. The decrease was also due to fluctuations in working capital associated with the timing of the settlement process with mobile operators in the Prepaid Processing Segment and decreased net income when compared to the prior year. Partially offsetting these decreases was the increase in depreciation and amortization expense, which is a non-cash expense and added back to net income to reconcile to net cash provided by operating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Cash flows used in investing activities were $353.8 million for the first half of 2007, compared to $14.0 million for the first half of 2006. Our investing activities for the first half of 2007 consisted of $314.3 million in cash paid related to acquisitions, primarily RIA. We placed $26 million in escrow in connection with the agreement to acquire Envios de Valores La Nacional Corp. (“La Nacional”). See further discussion under “other trends and uncertainties</w:t>
      </w:r>
    </w:p>
    <w:p>
      <w:pPr>
        <w:ind w:right="420"/>
        <w:spacing w:after="0" w:line="255" w:lineRule="auto"/>
        <w:rPr>
          <w:sz w:val="20"/>
          <w:szCs w:val="20"/>
          <w:color w:val="auto"/>
        </w:rPr>
      </w:pPr>
      <w:r>
        <w:rPr>
          <w:rFonts w:ascii="Arial" w:cs="Arial" w:eastAsia="Arial" w:hAnsi="Arial"/>
          <w:sz w:val="18"/>
          <w:szCs w:val="18"/>
          <w:color w:val="auto"/>
        </w:rPr>
        <w:t>– Agreement to acquire La Nacional” below. We also incurred $14.4 million for purchases of property and equipment, software development and other investing activities. Our investing activities for the first half of 2006 include $2.3 million in cash paid for acquisitions and $11.7 million for purchases of property and equipment, software development and other investing activities totaling $2.8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Cash flows from financing activities were $313.0 million during the first half of 2007 compared to $8.9 million during the first half of 2006. Our financing activities for the first half of 2007 consisted primarily of $190.0 million in proceeds from borrowings under our term loan agreement that were used to finance a portion of the acquisition of RIA and proceeds from the equity private placement and stock option exercises totaling $163.5 million. Partially offsetting these increases were net repayments on debt obligations of $35.4 million, dividends paid to minority interest stockholders of $1.6 million and debt issuance costs associated with our new syndicated credit facility of $3.8 million. To support the short-term cash needs of our Money Transfer Segment, we generally borrow amounts under the revolving credit agreements several times each month to fund the correspondent network in advance of collecting remittance amounts from the agency network. These borrowings are repaid over a very short period of time, generally within a few days. Primarily as a result of this, during the second quarter, we had a total of $408.7 million in borrowings and $438.3 million in repayments under our revolving credit agreements. Our financing activities for the first half of 2006 consist primarily of proceeds from the exercise of stock options and employee share purchase of $11.7 million, partially offset by net repayments of short-term borrowings, payments on capital lease obligations and other financing activities totaling $2.8 million.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In connection with completing the acquisition of RIA discussed under “Opportunities and Challenges” above, we entered into a $290 million secured credit facility consisting of a $190 million seven-year term loan, which was fully drawn at closing, and a $100 million five-year revolving credit facility (together, the “Credit Facility”). The $190 million seven-year term loan bears interest at LIBOR</w:t>
      </w:r>
    </w:p>
    <w:p>
      <w:pPr>
        <w:sectPr>
          <w:pgSz w:w="11900" w:h="16838" w:orient="portrait"/>
          <w:cols w:equalWidth="0" w:num="1">
            <w:col w:w="11420"/>
          </w:cols>
          <w:pgMar w:left="240" w:top="419"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plus 200 basis points or prime plus 100 basis points and requires that we repay 1% of the outstanding balance each year, with the remaining balance payable after seven years. We estimate that we will be able to repay the $190 million term loan prior to its maturity date through cash flows available from operations, provided our operating cash flows are not required for future business developments. Financing costs of $4.3 million have been deferred and are being amortized over the terms of the respective loans.</w:t>
      </w:r>
    </w:p>
    <w:p>
      <w:pPr>
        <w:spacing w:after="0" w:line="79"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$100 million five-year revolving credit facility replaced the previous existing revolving credit facility and bears interest at LIBOR or prime plus a margin that adjusts each quarter based upon our consolidated total debt to earnings before interest, taxes, depreciation and amortization (“EBITDA”) ratio. We intend to use the revolving credit facility primarily to fund working capital requirements, which are expected to increase as a result of our recent acquisitions. Based on our current projected working capital requirements, we anticipate that our revolving credit facility will be sufficient to fund our working capital needs.</w:t>
      </w:r>
    </w:p>
    <w:p>
      <w:pPr>
        <w:spacing w:after="0" w:line="4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may be required to repay our obligations under the Credit Facility six months before any potential repurchase date under our $140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The Credit Facility contains three financial covenants that become more restrictive through September 30, 2008: (1) total debt to EBITDA ratio, (2) senior secured debt to EBITDA ratio and (3) EBITDA to fixed charge coverage ratio. Because of the change to these covenants over time, in order to remain in compliance with our debt covenants we will be required to increase our EBITDA, repay debt, or both. These and other material terms and conditions applicable to the Credit Facility are described in the agreement governing the Credit Facility.</w:t>
      </w:r>
    </w:p>
    <w:p>
      <w:pPr>
        <w:spacing w:after="0" w:line="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pro-forma debt covenant compliance.</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June 30, 2007, we had borrowings of $189.5 million outstanding against the term loan and we had borrowings of $40.3 million and stand-by letters of credit of $4.4 million outstanding against the revolving credit facility. The remaining $55.3 million under the revolving credit facility ($80.3 million if the facility were increased to $125 million) was available for borrowing. Borrowings under the revolving credit facility are being used to fund short-term working capital requirements in the U.S. and India. Our weighted average interest rate under the revolving credit facility as of June 30, 2007 was 8.2%.</w:t>
      </w:r>
    </w:p>
    <w:p>
      <w:pPr>
        <w:spacing w:after="0" w:line="4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consist primarily of the current portion of the term loan, credit lines, overdraft facilities and short-term loans to support ATM cash needs and supplement short-term working capital requirements. As of June 30, 2007, we had $7.0 million in short-term debt obligations, comprised of $5.1 million being used to fund short-term working capital requirements in the Czech Republic and Spain and $1.9 million for the 1% annual repayment under the term loan.</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Prepaid Processing Segment subsidiaries in Spain enter into agreements with financial institutions to receive cash in advance of collections on customers’ accounts. These arrangements can be with or without recourse and the financial institutions charge the Spanish subsidiaries transaction fees and/or interest in connection with these advances. Cash received can be up to 40 days prior to the customer invoice due dates. Accordingly, the Spanish subsidiaries remain obligated to the banks on the cash advances until the underlying account receivable is ultimately collected. Where the risk of collection remains with Euronet, the receipt of cash continues to be carried on the consolidated balance sheet in each of trade accounts receivable and accrued expenses and other current liabilities. Amounts outstanding under these arrangements are generally $2 million or less.</w:t>
      </w:r>
    </w:p>
    <w:p>
      <w:pPr>
        <w:spacing w:after="0" w:line="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believe that the short-term debt obligations can be refinanced at terms acceptable to us. However, if acceptable refinancing options are not available, we believe that amounts due under these obligations can be funded through cash generated from operations, together with cash on hand or borrowings under our revolving credit facility.</w:t>
      </w:r>
    </w:p>
    <w:p>
      <w:pPr>
        <w:spacing w:after="0" w:line="7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u w:val="single" w:color="auto"/>
          <w:color w:val="auto"/>
        </w:rPr>
        <w:t>Convertible debt</w:t>
      </w:r>
      <w:r>
        <w:rPr>
          <w:rFonts w:ascii="Arial" w:cs="Arial" w:eastAsia="Arial" w:hAnsi="Arial"/>
          <w:sz w:val="17"/>
          <w:szCs w:val="17"/>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We will pay contingent interest for the six-month period from October 15, 2012 through April 14, 2013 and for each six-month period thereafter from April 15 to October 14 or October 15 to April 14 if the average trading price of the debentures for the applicable five trading-day period preceding such applicable six-month interest period equals or exceeds 120% of the principal amount of the debentures. Contingent interest will equal 0.35% per annum of the average trading price of a debenture for such five trading-day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When due, these debentures can be settled in cash or Euronet Common Stock, at our option, at predetermined conversion rates.</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$140 million in principal amount of 1.625% Convertible Senior Debentures Due 2024 that are convertible into 4.2 million shares of Euronet Common Stock at a conversion price of $33.63 per share upon the occurrence of certain events (relating to the closing prices of Euronet Common Stock exceeding certain thresholds for specified periods). We will pay contingent interest for the six-month period from December 20, 2009 through June 14, 2010 and for each six-month period thereafter from</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June 15 to December 14 or December 15 to June 14 if the average trading price of the debentures for the applicable five trading-day period preceding such applicable six-month interest period equals or exceeds 120% of the principal amount of the debentures. Contingent interest will equal 0.30% per annum of the average trading price of a debenture for such five trading-day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When due, these debentures can be settled in cash or Euronet Common Stock, at our option, at predetermined conversion rates.</w:t>
      </w:r>
    </w:p>
    <w:p>
      <w:pPr>
        <w:spacing w:after="0" w:line="8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These terms and other material terms and conditions applicable to the convertible debentures are set forth in the indenture agreements governing these debentures.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Proceeds from issuance of shares and other capital contributions</w:t>
      </w:r>
      <w:r>
        <w:rPr>
          <w:rFonts w:ascii="Arial" w:cs="Arial" w:eastAsia="Arial" w:hAnsi="Arial"/>
          <w:sz w:val="18"/>
          <w:szCs w:val="18"/>
          <w:color w:val="auto"/>
        </w:rPr>
        <w:t xml:space="preserve"> – We have established, and shareholders have approved, share compensation plans that allow the Company to make grants of restricted stock, or options to purchase shares of Common Stock, to certain current and prospective key employees, directors and consultants. During the first half of 2007, 213,790 stock options were exercised at an average exercise price of $15.82, resulting in proceeds to us of approximately $3.4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u w:val="single" w:color="auto"/>
          <w:color w:val="auto"/>
        </w:rPr>
        <w:t>Payment obligations related to acquisitions</w:t>
      </w:r>
      <w:r>
        <w:rPr>
          <w:rFonts w:ascii="Arial" w:cs="Arial" w:eastAsia="Arial" w:hAnsi="Arial"/>
          <w:sz w:val="16"/>
          <w:szCs w:val="16"/>
          <w:color w:val="auto"/>
        </w:rPr>
        <w:t xml:space="preserve"> – As partial consideration for the acquisition of RIA, we granted the sellers of RIA 3,685,098 contingent value rights (“CVRs”) and 3,685,098 stock appreciation rights (“SARs”). The 3,685,098 CVRs mature on October 1, 2008 and will result in the issuance of up to $20 million of additional shares of Euronet Common Stock or payment of additional cash, at our option, if the price of Euronet Common Stock is less than $32.56 on the maturity date. The 3,685,098 SARs entitle the sellers to acquire additional shares of Euronet Common Stock at an exercise price of $27.14 at any time through October 1, 2008. Between the CVRs and SARs, the sellers are entitled to additional consideration of at least $20 million in Euronet Common Stock or cash. The SARS also provide potential additional value to the sellers for situations in which Euronet Common Stock appreciates beyond $32.56 per share prior to October 1, 2008, which is to be settled through the issuance of additional shares of Euronet Common Stock. These and other terms and conditions applicable to the CVRs and SARs are set forth in the agreements governing these instruments.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potential contingent obligations to the former owner of the net assets of Movilcarga. Based upon presently available information we do not believe any additional payments will be required. The seller has disputed this conclusion and may seek arbitration as provided for in the purchase agreement. Any additional payments, if ultimately determined to be owed the seller, will be recorded as additional goodwill and could be made in either cash of a combination of cash and Euronet Common Stock at our option.</w:t>
      </w:r>
    </w:p>
    <w:p>
      <w:pPr>
        <w:spacing w:after="0" w:line="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during 2009 and 2010, we would have to pay a total of $2.5 million in cash or 75,489 shares of Euronet Common Stock, at the option of the seller.</w:t>
      </w:r>
    </w:p>
    <w:p>
      <w:pPr>
        <w:spacing w:after="0" w:line="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 xml:space="preserve"> – We lease ATMs and other property and equipment under capital lease arrangements and as of June 30, 2007 we owed $18.8 million under these 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 event the bank or we were to terminate the related outsourcing agreement. We expect that, if terms were acceptable, we would acquire more ATMs from banks under such outsourcing and lease agreements.</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half of 2007 were $15.3 million, of which $1.7 million were funded through capital leases. These capital expenditures were primarily for the purchase of ATMs to meet contractual requirements in Poland and India, the purchase and installation ATMs in key under-penetrated markets, the purchase of POS terminals for the Prepaid Processing Segment and office and data center computer equipment and software. Included in capital expenditures for office and data center equipment and software for the first half of 2007 is approximately</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$2.4 million in capital expenditures for the purchase and development of the necessary processing systems and capabilities to enter the cross-border merchant processing and acquiring business. Total capital expenditures for 2007 are estimated to be approximately $30 million to $35 million, primarily for the purchase of ATMs to meet contractual requirements in Poland and India, to purchase and install ATMs in future key under-penetrated markets, the purchase of terminals for the prepaid processing and money transfer businesses and office and data center computer equipment and software. We expect up to approximately $10 million of the capital expenditures will be covered through capital leases in conjunction with ATM outsourcing agreements where we already have signed agreements with banks. The balance of these capital expenditures will be funded through cash generated from operations, together with cash on hand.</w:t>
      </w:r>
    </w:p>
    <w:p>
      <w:pPr>
        <w:spacing w:after="0" w:line="8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the Prepaid Processing Segment, approximately 92,000 of the approximately 358,000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 During 2005, a former cash supply contractor in Central Europe (the “Contractor”) claimed that we owed approximately $2.0 million for the provision of cash during the fourth quarter 1999 and first quarter 2000 that had not been returned. This claim was made after the Company terminated its business with the Contractor and established a cash supply agreement with another supplier. In the first quarter 2006, the Contractor initiated legal action in Budapest, Hungary regarding the claim. In April 2007, an arbitration tribunal awarded the Contractor $1.0 million, plus $0.2 million in interest, under the claim, which was recorded as selling, general and administrative expenses of the Company’s EFT Processing Segment during the first quarter 2007 and paid in the second quarter 2007.</w:t>
      </w:r>
    </w:p>
    <w:p>
      <w:pPr>
        <w:spacing w:after="0" w:line="8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recently amended revolving credit agreements and other existing and potential future financing will be sufficient to meet our debt, leasing, contingent acquisition and capital expenditure obligations. If our capital resources are insufficient to meet these obligations, we will seek to refinance our debt under terms acceptable to us. However, we can offer no assurances that we will be able to obtain favorable terms for the refinancing of any of our debt or other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From time to time, we are a party to litigation arising in the ordinary course of business. Currently, there are no contingencies that we believe, either individually or in the aggregate, would have a material adverse effect upon our consolidated results of operations or financial condition.</w:t>
      </w:r>
    </w:p>
    <w:p>
      <w:pPr>
        <w:spacing w:after="0" w:line="38"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During 2006, the Internal Revenue Service announced that Internal Revenue Code Section 4251 (relating to telecommunications excise tax) will no longer apply to, among other services, prepaid mobile airtime such as the services offered by our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We plan to claim refunds for amounts paid during this period. Because of the complexity of the matter, the refund claim has not yet been quantified. No amounts have been recorded for any potential recovery in our Consolidated Financial Statements and no amounts will be recorded until such time as the refund is considered “realizable” as stipulated under Statement of Financial Accounting Standards (“SFAS”) No. 5, “Accounting for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Agreement to acquire La Nacional</w:t>
      </w:r>
      <w:r>
        <w:rPr>
          <w:rFonts w:ascii="Arial" w:cs="Arial" w:eastAsia="Arial" w:hAnsi="Arial"/>
          <w:sz w:val="18"/>
          <w:szCs w:val="18"/>
          <w:color w:val="auto"/>
        </w:rPr>
        <w:t xml:space="preserve"> – During January 2007, we signed a stock purchase agreement to acquire Envios de Valores La Nacional Corp. and its U.S. based affiliates (“La Nacional”), subject to regulatory approvals and other customary closing conditions. In connection with this agreement, in January 2007, we deposited $26 million in an escrow account created for the proposed acquisition. The escrowed funds can only be released by mutual agreement of the Company and La Nacional or through legal remedies available in the agreement.</w:t>
      </w:r>
    </w:p>
    <w:p>
      <w:pPr>
        <w:spacing w:after="0" w:line="79" w:lineRule="exact"/>
        <w:rPr>
          <w:sz w:val="20"/>
          <w:szCs w:val="20"/>
          <w:color w:val="auto"/>
        </w:rPr>
      </w:pPr>
    </w:p>
    <w:p>
      <w:pPr>
        <w:jc w:val="both"/>
        <w:ind w:right="160"/>
        <w:spacing w:after="0" w:line="297" w:lineRule="auto"/>
        <w:rPr>
          <w:sz w:val="20"/>
          <w:szCs w:val="20"/>
          <w:color w:val="auto"/>
        </w:rPr>
      </w:pPr>
      <w:r>
        <w:rPr>
          <w:rFonts w:ascii="Arial" w:cs="Arial" w:eastAsia="Arial" w:hAnsi="Arial"/>
          <w:sz w:val="16"/>
          <w:szCs w:val="16"/>
          <w:color w:val="auto"/>
        </w:rPr>
        <w:t>On February 6, 2007, two employees of La Nacional working in different La Nacional stores were arrested for allegedly violating federal money laundering laws and certain state statutes. On April 5, 2007, we gave notice to the stockholders of La Nacional of the termination of the stock purchase agreement and requested the release of the $26 million held in escrow under the terms of the stock purchase agreement. La Nacional is contesting our request for release of the escrowed funds. While pursuing all legal remedies available to us, we are also engaged in negotiations to determine whether the dispute can be resolved through revised terms for the acquisition. We cannot predict when this dispute will be resolved or what the resolution may be.</w:t>
      </w:r>
    </w:p>
    <w:p>
      <w:pPr>
        <w:spacing w:after="0" w:line="50"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Cross border merchant processing and acquiring</w:t>
      </w:r>
      <w:r>
        <w:rPr>
          <w:rFonts w:ascii="Arial" w:cs="Arial" w:eastAsia="Arial" w:hAnsi="Arial"/>
          <w:sz w:val="16"/>
          <w:szCs w:val="16"/>
          <w:color w:val="auto"/>
        </w:rPr>
        <w:t xml:space="preserve"> – We have entered the cross-border merchant processing and acquiring business, through the execution of an agreement with a large petrol retailer in Central Europe. Since the beginning of 2007, we have devoted significant resources, including capital expenditures of approximately $2.4 million, to the ongoing investment in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will involve the assumption of credit risk, as the principal amount of transactions will be settled to merchants before settlements are received from card associations. We expect to incur operating expenses of approximately $1.5 million to $2.0 million in our EFT Processing Segment for 2007 related to the ongoing investment in developing these capabilities.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regularly grant guarantees of the obligations of our wholly-owned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2007, there were no material changes from the disclosure in our Annual Report on Form 10-K for the year ended December 31, 2006. To date, we are not aware of any significant claims made by the indemnified parties or parties to whom we have provided guarantees on behalf of our subsidiaries and, accordingly, no liabilities have been recorded as of June 30,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June 30,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40" w:type="dxa"/>
            <w:vAlign w:val="bottom"/>
          </w:tcPr>
          <w:p>
            <w:pPr>
              <w:spacing w:after="0"/>
              <w:rPr>
                <w:sz w:val="10"/>
                <w:szCs w:val="10"/>
                <w:color w:val="auto"/>
              </w:rPr>
            </w:pPr>
          </w:p>
        </w:tc>
        <w:tc>
          <w:tcPr>
            <w:tcW w:w="13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1-3 years</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32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Long-term debt obligations, less current maturities, including</w:t>
            </w:r>
          </w:p>
        </w:tc>
        <w:tc>
          <w:tcPr>
            <w:tcW w:w="5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$ 688,255</w:t>
            </w:r>
          </w:p>
        </w:tc>
        <w:tc>
          <w:tcPr>
            <w:tcW w:w="3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26,854</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$ 192,063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47,556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$ 421,782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Short-term debt obligations and current maturities of long-term</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debt obligations, including interest</w:t>
            </w:r>
          </w:p>
        </w:tc>
        <w:tc>
          <w:tcPr>
            <w:tcW w:w="700" w:type="dxa"/>
            <w:vAlign w:val="bottom"/>
          </w:tcPr>
          <w:p>
            <w:pPr>
              <w:jc w:val="right"/>
              <w:spacing w:after="0"/>
              <w:rPr>
                <w:sz w:val="20"/>
                <w:szCs w:val="20"/>
                <w:color w:val="auto"/>
              </w:rPr>
            </w:pPr>
            <w:r>
              <w:rPr>
                <w:rFonts w:ascii="Arial" w:cs="Arial" w:eastAsia="Arial" w:hAnsi="Arial"/>
                <w:sz w:val="18"/>
                <w:szCs w:val="18"/>
                <w:color w:val="auto"/>
              </w:rPr>
              <w:t>7,554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7,554</w:t>
            </w:r>
          </w:p>
        </w:tc>
        <w:tc>
          <w:tcPr>
            <w:tcW w:w="540" w:type="dxa"/>
            <w:vAlign w:val="bottom"/>
          </w:tcPr>
          <w:p>
            <w:pPr>
              <w:spacing w:after="0"/>
              <w:rPr>
                <w:sz w:val="20"/>
                <w:szCs w:val="20"/>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contingent acquisition obligations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21,250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Obligations under capital leases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21,111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7,480</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9,501</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3,790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operating leases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60,272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14,701</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25,963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13,549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Vendor purchase obligations</w:t>
            </w:r>
          </w:p>
        </w:tc>
        <w:tc>
          <w:tcPr>
            <w:tcW w:w="700" w:type="dxa"/>
            <w:vAlign w:val="bottom"/>
          </w:tcPr>
          <w:p>
            <w:pPr>
              <w:jc w:val="right"/>
              <w:spacing w:after="0"/>
              <w:rPr>
                <w:sz w:val="20"/>
                <w:szCs w:val="20"/>
                <w:color w:val="auto"/>
              </w:rPr>
            </w:pPr>
            <w:r>
              <w:rPr>
                <w:rFonts w:ascii="Arial" w:cs="Arial" w:eastAsia="Arial" w:hAnsi="Arial"/>
                <w:sz w:val="18"/>
                <w:szCs w:val="18"/>
                <w:color w:val="auto"/>
              </w:rPr>
              <w:t>9,479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6,211</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2,807</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461</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$ 809,171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62,800</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$ 251,584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66,606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$ 428,181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purposes of the above table, our $140 million convertible debentures issued in December 2004 are considered due during 2009, and our $175 million convertible debentures issued in October 2005 are considered due during 2012, representing the first years in which holders have the right to exercise their put option. Additionally, the above table only includes interest on these convertible debentures up to these dates.</w:t>
      </w:r>
    </w:p>
    <w:p>
      <w:pPr>
        <w:spacing w:after="0" w:line="57"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Estimated contingent acquisition obligations as of June 30, 2007 include: 1) $20 million in cash and/or Euronet Common Stock to be provided to the sellers of RIA upon the assumed settlement of the CVRs and SARs during October 2008; and 2) additional consideration to be settled in cash or Euronet Common Stock that we may have to pay during 2009 and 2010 in connection with the acquisition of Brodos, totaling up to $2.5 million. See Note 4 – Acquisitions to the unaudited consolidated financial statements included elsewhere in this report for a more complete description of these acquisitions.</w:t>
      </w:r>
    </w:p>
    <w:p>
      <w:pPr>
        <w:spacing w:after="0" w:line="4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Purchase obligations include contractual amounts for ATM maintenance, cleaning, telecommunication and cash replenishment operating expenses. While contractual payments may be greater or less based on the number of ATMs and transaction levels, the purchase obligations listed above are estimated based on the current levels of such business activity.</w:t>
      </w:r>
    </w:p>
    <w:p>
      <w:pPr>
        <w:spacing w:after="0" w:line="18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total liability for uncertain tax positions under FIN 48 was $3.3 million as of June 30, 2007. We are not able to reasonably estimate the amount by which the liability will increase or decrease over time; however, at this time, the Company does not expect a significant payment related to these obligations within the next year. See Note 13 – Income Taxes to the unaudited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2005, the Financial Accounting Standards Board (“FASB”) issued an exposure draft that would amend SFAS No. 141, “Business Combinations.” During redeliberations, the FASB has reaffirmed certain decisions including, among other things: 1) measuring and recognizing contingent consideration at fair value as of the acquisition date and recording adjustments to liabilities as adjustments in earnings; 2) identifiable intangible assets acquired in a business combination should be measured at a current exchange value rather than at an entity-specific value; 3) the acquiring company should measure and recognize the acquiree’s identifiable assets and liabilities and goodwill in a step or partial acquisition at 100 percent of their acquisition date fair values; and 4) accounting for transaction related costs as expenses in the period incurred, rather than capitalizing these costs as a component of the respective purchase price. The FASB has not yet reaffirmed decisions on other items. The FASB expects to issue the final statement during the third quarter 2007, which will be effective for us beginning in 2009. If adopted, the changes described above, as well as other possible changes, would likely have a significant impact on the accounting treatment for acquisitions occurring on or after January 1, 2009.</w:t>
      </w:r>
    </w:p>
    <w:p>
      <w:pPr>
        <w:spacing w:after="0" w:line="7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which require assets or liabilities to be carried at fair value. Under SFAS 159, a company may elect to use fair value to measure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deferred financing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will be effective beginning in our first quarter 2008. We are currently determining whether fair value accounting is appropriate for any of our eligible items and cannot estimate the impact, if any, which SFAS 159 will have on our consolidated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anticipated, intend, estimate and similar expressions.</w:t>
      </w:r>
    </w:p>
    <w:p>
      <w:pPr>
        <w:spacing w:after="0" w:line="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 Item 1A – Risk Factors of our Annual Report on Form 10-K for the year ended December 31, 2006 and Part II, Item 1A – Risk Factors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the six-months ended June 30, 2007, 77% of our revenues were generated in non-U.S. dollar countries compared to 84% for the six-months ended</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June 30, 2006. The decrease in revenues from non-U.S. dollar countries, compared to the prior year is due primarily to the second quarter 2007 acquisition of RIA, as well as increased revenues of our U.S.-based Prepaid Processing Segment operations. We expect to continue generating a significant portion of our revenues in countries with currencies other than the U.S. dollar.</w:t>
      </w:r>
    </w:p>
    <w:p>
      <w:pPr>
        <w:spacing w:after="0" w:line="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We estimate that, depending on the net foreign currency working capital position at a selected point in time, a 10% fluctuation in these foreign currency exchange rates would have the combined annualized effect on reported net income and working capital of up to approximately $10.0 million. This effect is estimated by segregating revenues, expenses and working capital by currency and applying a 10% currency depreciation and appreciation to the non-U.S. dollar amounts. We believe this quantitative measure has inherent limitations and does not take into account any governmental actions or changes in either customer purchasing patterns or our financing or operating strategies.</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transactions collected in currencies other than the U.S. dollar. As of June 30, 2007, we had foreign currency forward contracts outstanding with a notional value of $35.5 million, primarily in euros that were not designated as hedges and mature in a weighted average of 17 days. The fair value of these forward contracts as of June 30, 2007 was an unrealized loss of approximately $0.1 million, which was partially offset by the unrealized gain on the related foreign currency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completing the acquisition of RIA during the second quarter, we entered into a $290 million secured syndicated credit facility consisting of a $190 million seven-year term loan, which was fully drawn at closing, and a $100 million five-year revolving credit facility, which accrue interest at variable rates. This revolving credit facility replaces our $50 million revolving credit facility. The credit facility may be expanded by up to an additional $150 million in term loan and up to an additional $25 million for the revolving line of credit, subject to satisfaction of certain conditions including pro forma debt covenant compliance. This facility substantially increases our interest rate risk.</w:t>
      </w:r>
    </w:p>
    <w:p>
      <w:pPr>
        <w:spacing w:after="0" w:line="80"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As of June 30, 2007, our total outstanding debt was $568.8 million. Of this amount, approximately $315 million, or 55% of our total debt obligations, relates to contingent convertible debentures having fixed coupon rates. Our $175 million contingent convertible debentures, issued in October 2005, accrue interest at a rate of 3.50% per annum. The $140 million contingent convertible debentures, issued in December 2004 accrue interest at a rate of 1.625% per annum.</w:t>
      </w:r>
    </w:p>
    <w:p>
      <w:pPr>
        <w:ind w:right="20"/>
        <w:spacing w:after="0" w:line="261" w:lineRule="auto"/>
        <w:rPr>
          <w:sz w:val="20"/>
          <w:szCs w:val="20"/>
          <w:color w:val="auto"/>
        </w:rPr>
      </w:pPr>
      <w:r>
        <w:rPr>
          <w:rFonts w:ascii="Arial" w:cs="Arial" w:eastAsia="Arial" w:hAnsi="Arial"/>
          <w:sz w:val="18"/>
          <w:szCs w:val="18"/>
          <w:color w:val="auto"/>
        </w:rPr>
        <w:t>Based on quoted market prices, as of June 30, 2007 the fair value of our fixed rate convertible debentures was $330.0 million, compared to a carrying value of $315 million.</w:t>
      </w:r>
    </w:p>
    <w:p>
      <w:pPr>
        <w:spacing w:after="0" w:line="7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Through the use of interest rate swap agreements covering the period from June 1, 2007 to May 29, 2009, $50.0 million of our variable rate term debt has been effectively converted to a fixed rate of 7.3%. As of June 30, 2007, the unrealized loss on the interest rate swap agreements was less than $0.1 million. Interest expense, including amortization of deferred debt issuance costs, for our total $365.0 million in fixed rate debt totals approximately $13.7 million per year, or a weighted average interest rate of 3.8% annually. Additionally, approximately $18.8 million, or 3% of our total debt obligations, relate to capitalized leases with fixed payment and interest terms that expire between 2007 and 2011.</w:t>
      </w:r>
    </w:p>
    <w:p>
      <w:pPr>
        <w:spacing w:after="0" w:line="6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remaining $185.0 million, or 33%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interest expense to the Company of approximately $2.7 million. This computation excludes the $50.0 million relating to the interest rate swap discussed above and the potential $150.0 million in potential expanded term loan because of the limited circumstances under which the additional amounts would be available to us for borrowing.</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2007.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six-month period ended June 30, 2007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discussion in Part I, Item 1. Financial Statements, Note 11 – Commitments, Litigation and Contingencies, regarding litigation is incorporated herein by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2006 as updated in our subsequent filings with the SEC, including this Quarterly Report on Form 10-Q,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w:t>
      </w:r>
    </w:p>
    <w:p>
      <w:pPr>
        <w:spacing w:after="0" w:line="46"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i w:val="1"/>
          <w:iCs w:val="1"/>
          <w:color w:val="auto"/>
        </w:rPr>
        <w:t>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w:t>
      </w:r>
    </w:p>
    <w:p>
      <w:pPr>
        <w:spacing w:after="0" w:line="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2006, as filed with the SEC.</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prepay our obligations under the $290 million secured syndicated credit facility.</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Prepayment in full of the obligations under the $290 million secured syndicated credit facility (the “Credit Facility”) may be required six months prior to any required repurchase date under our $140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Holders of the $140 million 1.625% debentures have the option to require us to purchase their debentures at par on December 15, 2009, 2014 and 2019, and upon a change in control of the Company. Holders of the $175 million 3.50% debentures have the option to require us to purchase their debentures at par on October 15, 2012, 2015 and 2020, or upon a change in control of the Company.</w:t>
      </w:r>
    </w:p>
    <w:p>
      <w:pPr>
        <w:spacing w:after="0" w:line="5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Credit Facility contains three financial covenants that become more restrictive between now and September 30, 2008. The financial covenants that become more restrictive are: (1) total debt to earnings before interest, taxes, depreciation and amortization (“EBITDA”) ratio, (2) senior secured debt to EBITDA ratio and (3) EBITDA to fixed charge coverage ratio. Because these covenant thresholds will become more restrictive through September 30, 2008, to remain in compliance with our debt covenants we will be required to increase EBITDA, repay debt, or both. We cannot assure you that we will have sufficient assets, liquidity or EBITDA to meet or avoid these obligations, which could have an adverse impact on our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from operations.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entered into interest rate swap agreements covering the period from June 1, 2007 through May 29, 2009 for a notional amount of $50 million that effectively converts a portion of our $190 million variable rate term loan to a fixed interest rate of 7.3% per annum. For the remaining outstanding balance of the term loan, as well as borrowings incurred under our revolving credit facility and other variable rate borrowing arrangements, increases in variable interest rates will increase the amount of interest expense that we pay for our borrowings and have a negative impact on our results from operations.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network, our business may be adversely affected.</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money transfer based revenue is primarily generated through our agent network. Transaction volumes at existing agent locations may increase over time and new agents provide us with additional revenue. If agents decide to leave our network or if we are unable to sign new agents, our revenue and profit growth rates may be adversely affected. Our agents are also subject to a wide variety of laws and regulations that vary significantly, depending on the legal jurisdiction. Changes in these laws and regulations could adversely affect our ability to maintain our agent network or the cost of providing money transfer services. In addition, agents may generate fewer transactions or less revenue due to various factors, including increased competition. Because our agents are third parties that may sell products and provide services in addition to our money transfer services, our agents may encounter business difficulties unrelated to the provision of our services, which may cause the agents to reduce their number of locations or hours of operation, or cease doing business altogether.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money transfer business relies on consumer confidence in our brands and our ability to provide efficient and reliable money transfer services. A decline in consumer confidence in our business or brands, or in traditional money transfer providers as a means to transfer money, may adversely impact transaction volumes which would in turn be expected to adversely impact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6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subject to the risks of liability for fraudulent bankcard and other card transactions involving a breach in our security systems, breaches of our information security policies or safeguards, as well as for ATM theft and vandalism.</w:t>
      </w:r>
    </w:p>
    <w:p>
      <w:pPr>
        <w:spacing w:after="0" w:line="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 sophisticated technology to attempt to obtain unauthorized access to the information handled by ATM and electronic financial transaction networks.</w:t>
      </w:r>
    </w:p>
    <w:p>
      <w:pPr>
        <w:spacing w:after="0" w:line="8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 found liable. We are insured against various risks, including theft and negligence, but such insurance coverage is subject to deductibles, exclusions and limitations that may leave us bearing some or all of any losses arising from security breaches.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collect, transfer and retain consumer data as part of our money transfer business. These activities are subject to certain consumer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consumer information. Breaches of our security policies or applicable legal requirements resulting in a compromise of consumer data could expose us to regulatory enforcement action, subject us to litigation, limit our ability to provide money transfer services and/or cause harm to our reputation.</w:t>
      </w:r>
    </w:p>
    <w:p>
      <w:pPr>
        <w:spacing w:after="0" w:line="8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electronic fraud issues and breaches of our information security policies and safeguards,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money transfer and prepaid mobile airtime top-up businesses may be susceptible to fraud and/or credit risks occurring at the retailer and/or consumer level.</w:t>
      </w:r>
    </w:p>
    <w:p>
      <w:pPr>
        <w:spacing w:after="0" w:line="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our Prepaid Processing Segment, we contract with retailers that accept payment on our behalf, which we then transfer to a trust or other operating account for payment to mobile phone operators. In the event a retailer does not transfer to us payments that it receives for mobile airtime, we are responsible to the mobile phone operator for the cost of the airtime credited to the customer’s mobile phone. We can provide no assurance that retailer fraud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With respect to our money transfer business, our business is primarily conducted through our agent network, which provides money transfer services directly to consumers at retail locations. Our agents collect funds directly from the consumers and in turn we collect from the agents the proceeds due us resulting from the money transfer transactions. Therefore, we have credit exposure to our agents. The failure of agents owing us significant amounts to remit funds to us or to repay such amounts could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recessionary economic environment or other outside factors could have a negative impact on mobile phone operators, retailers and our customers and could reduce the level of transactions, which could, in turn, negatively impact our financial results. If mobile phone operators, financial institutions and other money transfer customers experience decreased demand for their products and services or if the locations where we provide services decrease in number, we will process fewer transactions, resulting in lower revenue. In addition, a recessionary economic environment could reduce the level of transactions taking place on our networks, which will have a negative impact on our business.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experience is that the level of transactions on our networks is also subject to substantial seasonal variation. Transaction levels have consistently been much higher in the fourth quarter of the fiscal year due to increased use of ATMs, prepaid mobile airtime top-ups and money transfer services during the holiday season. Generally, the level of transactions drops in the first quarter, during which transaction levels are generally the lowest we experience during the year, which reduces the level of revenues that we record. Additionally, in the Money Transfer Segment, we experience increased transaction levels during the April through September timeframe coinciding with the increase in worker migration patterns. As a result of these seasonal variations, our quarterly operating results may fluctuate materially and could lead to volatility in the price of our shares.</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166"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6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Our ability to continue complying with the requirements of OFAC, BSA, FINCEN, the PATRIOT Act and other regulations (both U.S. and foreign) is important to our success in achieving growth and an inability to do this could have an adverse impact on our revenue and earnings. Changes in U.S. and foreign government policies or enforcement toward immigration may have a negative affect on immigration in the U.S. and other countries, which could also have an adverse impact on our money transfer revenues.</w:t>
      </w:r>
    </w:p>
    <w:p>
      <w:pPr>
        <w:spacing w:after="0" w:line="64"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Future growth and profitability depend upon expansion within the markets in which we currently operate and the development of new markets for our money transfer services through the acquisition of RIA. Our expansion into new markets is dependent upon our ability to successfully integrate RIA into our existing operations, to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8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methods or services, may affect the demand for other services in a dramatic way. The development of any new technology that reduces the need or demand for prepaid mobile phone time could materially and adversely affect our business.</w:t>
      </w:r>
    </w:p>
    <w:p>
      <w:pPr>
        <w:spacing w:after="0" w:line="177"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business involves the operation and maintenance of a sophisticated computer network and telecommunications connections with financial institutions, mobile operators, retailers and agents. This, in turn, requires the maintenance of computer equipment and infrastructure, including telecommunications and electrical systems, and the integration and enhancement of complex software applications. Our ATM segment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Excluding Germany, transactions in the EFT Processing Segment are processed through our Budapest, Belgrade, Athens, Beijing and Mumbai operations centers. Our e-top-up transactions are processed through our Basildon, Martinsried, Madrid and Leawood, Kansas operations centers. Transactions in our Money Transfer Segment are processed through our Cerritos, California operations center. Any operational problem in these centers may have a significant adverse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17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Our competition in the EFT Processing Segment, Prepaid Processing Segment and Money Transfer Segment include large, well financed companies and financial institutions larger than us with earlier entry into the market. As a result, we may lack the financial resources and access needed to capture increased market share.</w:t>
      </w:r>
    </w:p>
    <w:p>
      <w:pPr>
        <w:spacing w:after="0" w:line="68"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EFT Processing Segment</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our ITM product line, we are a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 For Essentis, we are a strong supplier of electronic payment processing software for card issuers and merchant acquirers on a mainframe platform. Our competition includes products owned and marketed by other software companies as well as large, well financed companies that offer outsourcing and credit card services to financial institutions. We believe our Essentis offering is one of the few software solutions in this product area that has been developed as a completely new system, as opposed to a re-engineered legacy system, taking full advantage of the latest technology and business strategies available.</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software solutions business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 Competitive factors in the software solutions business include price, technology development and the ability of software systems to interact with other leading products.</w:t>
      </w:r>
    </w:p>
    <w:p>
      <w:pPr>
        <w:spacing w:after="0" w:line="75"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Prepaid Processing Segment</w:t>
      </w:r>
      <w:r>
        <w:rPr>
          <w:rFonts w:ascii="Arial" w:cs="Arial" w:eastAsia="Arial" w:hAnsi="Arial"/>
          <w:sz w:val="17"/>
          <w:szCs w:val="17"/>
          <w:color w:val="auto"/>
        </w:rPr>
        <w:t>— We face competition in the prepaid business in all of our markets. A few multinational companies operate in several of our</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and we therefore compete with them in a number of countries. In other markets, our competition is from smaller, local companies. Major retailers with high volumes are in a position to demand a larger share of the commission, which may compress our margins.</w:t>
      </w:r>
    </w:p>
    <w:p>
      <w:pPr>
        <w:spacing w:after="0" w:line="5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Money Transfer Segment</w:t>
      </w:r>
      <w:r>
        <w:rPr>
          <w:rFonts w:ascii="Arial" w:cs="Arial" w:eastAsia="Arial" w:hAnsi="Arial"/>
          <w:sz w:val="17"/>
          <w:szCs w:val="17"/>
          <w:color w:val="auto"/>
        </w:rPr>
        <w:t>— Our primary competitors in the money transfer and bill payment business include other independent processors and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money transmitters, as well as certain major national and regional banks, financial institutions and independent sales organizations. Our competitors include Western Union, MoneyGram, Global Payments and others, some of which are larger than we are and have greater resources than we have.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and web-based services. Our continued growth depends upon our ability to compete effectively with these alternative technologies.</w:t>
      </w:r>
    </w:p>
    <w:p>
      <w:pPr>
        <w:spacing w:after="0" w:line="178"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we derive our revenue from a multitude of countries with different currencies, our business is affected by local inflation and foreign currency exchange rates and policies.</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attempt to match any assets denominated in a currency with liabilities denominated in the same currency. Nonetheless, substantially all of our indebtedness is denominated in U.S. dollars, Euros and British pounds. While a significant amount of our cash outflows, including the acquisition of ATMs, executive salaries, certain long-term contracts and a significant portion of our debt obligations, are made in U.S. dollars,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Moreover, exchange rate policies have not always allowed for the free conversion of currencies at the market rate. Future fluctuations in the value of the dollar could have an adverse effect on our results.</w:t>
      </w:r>
    </w:p>
    <w:p>
      <w:pPr>
        <w:spacing w:after="0" w:line="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and we typically deliver funds denominated in a different, destination country currency. Although we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use foreign currency forward contracts to mitigate a portion of this risk, we cannot eliminate all of the exposure to the impact of changes in foreign currency exchange rates for the period between collection and disbursement of the money transfers.</w:t>
      </w:r>
    </w:p>
    <w:p>
      <w:pPr>
        <w:spacing w:after="0" w:line="16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An additional 12.6 million shares of Common Stock, representing 26% of the shares outstanding as of June 30, 2007,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June 30, 2007, we had an aggregate of 3.1 million options and restricted stock awards outstanding held by our directors, officers and employees, which entitles these holders to acquire an equal number of shares of our Common Stock upon exercise. Of this amount, 1.4 million options are vested and exercisable as of June 30, 2007. Approximately 0.3 million additional shares of our Common Stock may be issued in connection with our employee stock purchase plan. Another 8.5 million shares of Common Stock could be issued upon conversion of the Company’s Convertible Debentures issued in December 2004 and October 2005. Additionally, based on current trading prices for our Common Stock, we expect to issue approximately 0.7 million shares of our Common Stock to the sellers of RIA in settlement of the contingent value and stock appreciation rights.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Accordingly, based on current trading prices of our Common Stock, approximately 12.6 million shares could potentially be added to our total current Common Stock outstanding through the exercise of options or the issuance of additional shares, which could adversely impact the trading price for our stock. The actual number of shares issuable could be higher depending upon our stock price at the time of payment (i.e. more shares could be issuable if our share price declines).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3.1 million total options and restricted stock awards outstanding, an aggregate of 1.6 million options and restricted shares are held by persons who may be deemed to be our affiliates and who would be subject to Rule 144. Thus, upon exercise of their options or sale shares for which restrictions have lapsed, these affiliates’ shares would be subject to the trading restrictions imposed by Rule 144. The remainder of the common shares issuable under option and restricted stock arrangements would be freely tradable in the public market. Over the course of time, all of the issued shares have the potential to be publicly traded, perhaps in large blocks.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information with respect to shares of Company Common Stock purchased by us during the three months ended June 30, 2007 (all purchases occurred during May 2007).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640" w:type="dxa"/>
            <w:vAlign w:val="bottom"/>
          </w:tcPr>
          <w:p>
            <w:pPr>
              <w:spacing w:after="0"/>
              <w:rPr>
                <w:sz w:val="12"/>
                <w:szCs w:val="1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 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Purchasedas</w:t>
            </w:r>
          </w:p>
        </w:tc>
        <w:tc>
          <w:tcPr>
            <w:tcW w:w="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620" w:type="dxa"/>
            <w:vAlign w:val="bottom"/>
          </w:tcPr>
          <w:p>
            <w:pPr>
              <w:spacing w:after="0"/>
              <w:rPr>
                <w:sz w:val="12"/>
                <w:szCs w:val="12"/>
                <w:color w:val="auto"/>
              </w:rPr>
            </w:pP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Per Share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120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(2)</w:t>
            </w: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64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May 1 - May 31</w:t>
            </w:r>
          </w:p>
        </w:tc>
        <w:tc>
          <w:tcPr>
            <w:tcW w:w="5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27.31</w:t>
            </w:r>
          </w:p>
        </w:tc>
        <w:tc>
          <w:tcPr>
            <w:tcW w:w="62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380" w:type="dxa"/>
            <w:vAlign w:val="bottom"/>
          </w:tcPr>
          <w:p>
            <w:pPr>
              <w:ind w:left="220"/>
              <w:spacing w:after="0"/>
              <w:rPr>
                <w:sz w:val="20"/>
                <w:szCs w:val="20"/>
                <w:color w:val="auto"/>
              </w:rPr>
            </w:pPr>
            <w:r>
              <w:rPr>
                <w:rFonts w:ascii="Arial" w:cs="Arial" w:eastAsia="Arial" w:hAnsi="Arial"/>
                <w:sz w:val="18"/>
                <w:szCs w:val="18"/>
                <w:color w:val="auto"/>
              </w:rPr>
              <w:t>Total</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1,343</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27.31</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24"/>
                <w:szCs w:val="24"/>
                <w:color w:val="auto"/>
              </w:rPr>
            </w:pPr>
          </w:p>
        </w:tc>
        <w:tc>
          <w:tcPr>
            <w:tcW w:w="120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three months ended June 30, 2007, the Company purchased, in accordance with the 2006 Stock Incentive Plan (Amended and Restated) 1,343 shares of its common stock for participant income tax withholding in conjunction with the lapse of restrictions on stock awards, as requested by the participants.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paid per share is the closing price of the shares on the vesting date.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held its Annual Meeting of Stockholders on May 17, 2007. A total of 35,869,611, or 81%, of the Company’s shares of Common Stock were present or represented by proxy at the meeting. The two proposals presented below were approved as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 Election of Directors.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three director nominees, information with respect to whom was set forth in the Proxy Statement, were elected. The vote with respect to the election of these directors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5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4"/>
              </w:rPr>
              <w:t>Voted in Favor</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 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Michael J. Brown</w:t>
            </w: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34,914,745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Andrew B. Schmitt</w:t>
            </w:r>
          </w:p>
        </w:tc>
        <w:tc>
          <w:tcPr>
            <w:tcW w:w="2160" w:type="dxa"/>
            <w:vAlign w:val="bottom"/>
            <w:gridSpan w:val="3"/>
          </w:tcPr>
          <w:p>
            <w:pPr>
              <w:jc w:val="right"/>
              <w:ind w:right="660"/>
              <w:spacing w:after="0"/>
              <w:rPr>
                <w:sz w:val="20"/>
                <w:szCs w:val="20"/>
                <w:color w:val="auto"/>
              </w:rPr>
            </w:pPr>
            <w:r>
              <w:rPr>
                <w:rFonts w:ascii="Arial" w:cs="Arial" w:eastAsia="Arial" w:hAnsi="Arial"/>
                <w:sz w:val="18"/>
                <w:szCs w:val="18"/>
                <w:color w:val="auto"/>
              </w:rPr>
              <w:t>34,948,584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 . Jeannine Strandjord</w:t>
            </w:r>
          </w:p>
        </w:tc>
        <w:tc>
          <w:tcPr>
            <w:tcW w:w="21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35,700,452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169,159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 Ratification of the appointment of KPMG as Euronet’s auditors for the year ending December 31,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KPMG as Euronet’s auditors for the year ending December 31, 2006 was ratified in accordance with the following vote: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172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Against</w:t>
            </w:r>
          </w:p>
        </w:tc>
        <w:tc>
          <w:tcPr>
            <w:tcW w:w="164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Abstain</w:t>
            </w:r>
          </w:p>
        </w:tc>
        <w:tc>
          <w:tcPr>
            <w:tcW w:w="1320" w:type="dxa"/>
            <w:vAlign w:val="bottom"/>
            <w:gridSpan w:val="2"/>
          </w:tcPr>
          <w:p>
            <w:pPr>
              <w:ind w:left="520"/>
              <w:spacing w:after="0"/>
              <w:rPr>
                <w:sz w:val="20"/>
                <w:szCs w:val="20"/>
                <w:color w:val="auto"/>
              </w:rPr>
            </w:pPr>
            <w:r>
              <w:rPr>
                <w:rFonts w:ascii="Arial" w:cs="Arial" w:eastAsia="Arial" w:hAnsi="Arial"/>
                <w:sz w:val="14"/>
                <w:szCs w:val="14"/>
                <w:b w:val="1"/>
                <w:bCs w:val="1"/>
                <w:color w:val="auto"/>
              </w:rPr>
              <w:t>Non-Vote</w:t>
            </w: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35,743,575</w:t>
            </w:r>
          </w:p>
        </w:tc>
        <w:tc>
          <w:tcPr>
            <w:tcW w:w="500" w:type="dxa"/>
            <w:vAlign w:val="bottom"/>
          </w:tcPr>
          <w:p>
            <w:pPr>
              <w:spacing w:after="0"/>
              <w:rPr>
                <w:sz w:val="19"/>
                <w:szCs w:val="19"/>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107,721</w:t>
            </w:r>
          </w:p>
        </w:tc>
        <w:tc>
          <w:tcPr>
            <w:tcW w:w="520" w:type="dxa"/>
            <w:vAlign w:val="bottom"/>
          </w:tcPr>
          <w:p>
            <w:pPr>
              <w:spacing w:after="0"/>
              <w:rPr>
                <w:sz w:val="19"/>
                <w:szCs w:val="19"/>
                <w:color w:val="auto"/>
              </w:rPr>
            </w:pP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18,315</w:t>
            </w:r>
          </w:p>
        </w:tc>
        <w:tc>
          <w:tcPr>
            <w:tcW w:w="52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August 6, 2007</w:t>
            </w:r>
          </w:p>
        </w:tc>
        <w:tc>
          <w:tcPr>
            <w:tcW w:w="3960" w:type="dxa"/>
            <w:vAlign w:val="bottom"/>
          </w:tcPr>
          <w:p>
            <w:pPr>
              <w:spacing w:after="0"/>
              <w:rPr>
                <w:sz w:val="20"/>
                <w:szCs w:val="20"/>
                <w:color w:val="auto"/>
              </w:rPr>
            </w:pPr>
          </w:p>
        </w:tc>
      </w:tr>
      <w:tr>
        <w:trPr>
          <w:trHeight w:val="432"/>
        </w:trPr>
        <w:tc>
          <w:tcPr>
            <w:tcW w:w="1540" w:type="dxa"/>
            <w:vAlign w:val="bottom"/>
            <w:gridSpan w:val="2"/>
          </w:tcPr>
          <w:p>
            <w:pPr>
              <w:spacing w:after="0"/>
              <w:rPr>
                <w:sz w:val="20"/>
                <w:szCs w:val="20"/>
                <w:color w:val="auto"/>
              </w:rPr>
            </w:pPr>
            <w:r>
              <w:rPr>
                <w:rFonts w:ascii="Arial" w:cs="Arial" w:eastAsia="Arial" w:hAnsi="Arial"/>
                <w:sz w:val="18"/>
                <w:szCs w:val="18"/>
                <w:color w:val="auto"/>
              </w:rPr>
              <w:t>By:</w:t>
            </w:r>
          </w:p>
        </w:tc>
        <w:tc>
          <w:tcPr>
            <w:tcW w:w="3960" w:type="dxa"/>
            <w:vAlign w:val="bottom"/>
          </w:tcPr>
          <w:p>
            <w:pPr>
              <w:jc w:val="center"/>
              <w:ind w:right="1070"/>
              <w:spacing w:after="0"/>
              <w:rPr>
                <w:sz w:val="20"/>
                <w:szCs w:val="20"/>
                <w:color w:val="auto"/>
              </w:rPr>
            </w:pPr>
            <w:r>
              <w:rPr>
                <w:rFonts w:ascii="Arial" w:cs="Arial" w:eastAsia="Arial" w:hAnsi="Arial"/>
                <w:sz w:val="18"/>
                <w:szCs w:val="18"/>
                <w:color w:val="auto"/>
                <w:w w:val="97"/>
              </w:rPr>
              <w:t>/s/ MICHAEL J. BROWN</w:t>
            </w:r>
          </w:p>
        </w:tc>
      </w:tr>
      <w:tr>
        <w:trPr>
          <w:trHeight w:val="209"/>
        </w:trPr>
        <w:tc>
          <w:tcPr>
            <w:tcW w:w="3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tcPr>
          <w:p>
            <w:pPr>
              <w:jc w:val="center"/>
              <w:ind w:right="1070"/>
              <w:spacing w:after="0"/>
              <w:rPr>
                <w:sz w:val="20"/>
                <w:szCs w:val="20"/>
                <w:color w:val="auto"/>
              </w:rPr>
            </w:pPr>
            <w:r>
              <w:rPr>
                <w:rFonts w:ascii="Arial" w:cs="Arial" w:eastAsia="Arial" w:hAnsi="Arial"/>
                <w:sz w:val="18"/>
                <w:szCs w:val="18"/>
                <w:color w:val="auto"/>
                <w:w w:val="93"/>
              </w:rPr>
              <w:t>Michael J. Brown</w:t>
            </w:r>
          </w:p>
        </w:tc>
      </w:tr>
      <w:tr>
        <w:trPr>
          <w:trHeight w:val="230"/>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60" w:type="dxa"/>
            <w:vAlign w:val="bottom"/>
          </w:tcPr>
          <w:p>
            <w:pPr>
              <w:jc w:val="center"/>
              <w:ind w:right="1070"/>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1540" w:type="dxa"/>
            <w:vAlign w:val="bottom"/>
            <w:gridSpan w:val="2"/>
          </w:tcPr>
          <w:p>
            <w:pPr>
              <w:spacing w:after="0"/>
              <w:rPr>
                <w:sz w:val="20"/>
                <w:szCs w:val="20"/>
                <w:color w:val="auto"/>
              </w:rPr>
            </w:pPr>
            <w:r>
              <w:rPr>
                <w:rFonts w:ascii="Arial" w:cs="Arial" w:eastAsia="Arial" w:hAnsi="Arial"/>
                <w:sz w:val="18"/>
                <w:szCs w:val="18"/>
                <w:color w:val="auto"/>
              </w:rPr>
              <w:t>By:</w:t>
            </w:r>
          </w:p>
        </w:tc>
        <w:tc>
          <w:tcPr>
            <w:tcW w:w="3960" w:type="dxa"/>
            <w:vAlign w:val="bottom"/>
          </w:tcPr>
          <w:p>
            <w:pPr>
              <w:jc w:val="center"/>
              <w:ind w:right="1090"/>
              <w:spacing w:after="0"/>
              <w:rPr>
                <w:sz w:val="20"/>
                <w:szCs w:val="20"/>
                <w:color w:val="auto"/>
              </w:rPr>
            </w:pPr>
            <w:r>
              <w:rPr>
                <w:rFonts w:ascii="Arial" w:cs="Arial" w:eastAsia="Arial" w:hAnsi="Arial"/>
                <w:sz w:val="18"/>
                <w:szCs w:val="18"/>
                <w:color w:val="auto"/>
                <w:w w:val="97"/>
              </w:rPr>
              <w:t>/s/ RICK L. WELLER</w:t>
            </w:r>
          </w:p>
        </w:tc>
      </w:tr>
      <w:tr>
        <w:trPr>
          <w:trHeight w:val="209"/>
        </w:trPr>
        <w:tc>
          <w:tcPr>
            <w:tcW w:w="3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tcPr>
          <w:p>
            <w:pPr>
              <w:jc w:val="center"/>
              <w:ind w:right="1090"/>
              <w:spacing w:after="0"/>
              <w:rPr>
                <w:sz w:val="20"/>
                <w:szCs w:val="20"/>
                <w:color w:val="auto"/>
              </w:rPr>
            </w:pPr>
            <w:r>
              <w:rPr>
                <w:rFonts w:ascii="Arial" w:cs="Arial" w:eastAsia="Arial" w:hAnsi="Arial"/>
                <w:sz w:val="18"/>
                <w:szCs w:val="18"/>
                <w:color w:val="auto"/>
                <w:w w:val="95"/>
              </w:rPr>
              <w:t>Rick L. Weller</w:t>
            </w:r>
          </w:p>
        </w:tc>
      </w:tr>
      <w:tr>
        <w:trPr>
          <w:trHeight w:val="230"/>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60" w:type="dxa"/>
            <w:vAlign w:val="bottom"/>
          </w:tcPr>
          <w:p>
            <w:pPr>
              <w:jc w:val="center"/>
              <w:ind w:right="1070"/>
              <w:spacing w:after="0"/>
              <w:rPr>
                <w:sz w:val="20"/>
                <w:szCs w:val="20"/>
                <w:color w:val="auto"/>
              </w:rPr>
            </w:pPr>
            <w:r>
              <w:rPr>
                <w:rFonts w:ascii="Arial" w:cs="Arial" w:eastAsia="Arial" w:hAnsi="Arial"/>
                <w:sz w:val="18"/>
                <w:szCs w:val="18"/>
                <w:color w:val="auto"/>
                <w:w w:val="94"/>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Index</w:t>
            </w:r>
          </w:p>
        </w:tc>
        <w:tc>
          <w:tcPr>
            <w:tcW w:w="100" w:type="dxa"/>
            <w:vAlign w:val="bottom"/>
          </w:tcPr>
          <w:p>
            <w:pPr>
              <w:spacing w:after="0"/>
              <w:rPr>
                <w:sz w:val="14"/>
                <w:szCs w:val="14"/>
                <w:color w:val="auto"/>
              </w:rPr>
            </w:pPr>
          </w:p>
        </w:tc>
        <w:tc>
          <w:tcPr>
            <w:tcW w:w="1046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2"/>
        </w:trPr>
        <w:tc>
          <w:tcPr>
            <w:tcW w:w="8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10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10460" w:type="dxa"/>
            <w:vAlign w:val="bottom"/>
          </w:tcPr>
          <w:p>
            <w:pPr>
              <w:spacing w:after="0" w:line="195" w:lineRule="exact"/>
              <w:rPr>
                <w:sz w:val="20"/>
                <w:szCs w:val="20"/>
                <w:color w:val="auto"/>
              </w:rPr>
            </w:pPr>
            <w:r>
              <w:rPr>
                <w:rFonts w:ascii="Arial" w:cs="Arial" w:eastAsia="Arial" w:hAnsi="Arial"/>
                <w:sz w:val="18"/>
                <w:szCs w:val="18"/>
                <w:color w:val="auto"/>
                <w:w w:val="91"/>
              </w:rPr>
              <w:t>First Amendment to Stock Purchase Agreement, dated April 2, 2007, by and among Euronet Payments &amp; Remittance, Inc., Euronet W orldwide,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w w:val="94"/>
              </w:rPr>
              <w:t>Inc., the Fred Kunik Family Trust and the Irving Barr Living Trust (filed as Exhibit 2.1 to the Company’s Form 8-K filed on April 9, 2007, and</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herein)</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2.2</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w w:val="95"/>
              </w:rPr>
              <w:t>Second Amendment to Stock Purchase Agreement, dated April 4, 2007, by and am ong Euronet Payments &amp; Remittance, Inc., Euronet W</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w w:val="95"/>
              </w:rPr>
              <w:t>orldwide, Inc., the Fred Kunik Family Trust and the Irving Barr Living Trust (filed as Exhibit 2.2 to the Company’s Form 8-K filed on April 9,</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2007, and incorporated by reference herein)</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April 4, 2007 between Euronet W orldwide, Inc. and Juan C. Bianchi</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w w:val="95"/>
              </w:rPr>
              <w:t>Credit Agreement dated as of April 4, 2007 among Euronet W orldwide, Inc., and certain Subsidiaries and Affiliates, as borrowers, certain</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w w:val="95"/>
              </w:rPr>
              <w:t>Subsidiaries and Afiliates, as Guarantors, the Lenders Party Hereto, Bank of America, N.A., as Administrative Agent and Collateral Agent,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w w:val="93"/>
              </w:rPr>
              <w:t>California Bank &amp; Trust, as Synidication Agent and Citibank, N.A., as Documentation Agent (filed as Exhibit 10.1 to the Company’s Quarterly</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Report on Form 10-Q filed on May 4, 2007, and incorporated by reference herein)</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w w:val="96"/>
              </w:rPr>
              <w:t>Euronet W orldwide Inc. 2006 Stock Incentive Plan (Amended and Restated) (filed as Exhibit 10.2 to the Company’s Quarterly Report on</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Form 10-Q filed on May 4, 2007, and incorporated by reference herein)</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w w:val="98"/>
              </w:rPr>
              <w:t>Employment Agreement dated June 19, 2007 between Euronet W orldwide, Inc. and Kevin J. Caponecchi (filed as exhibit 10.1 to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Company’s Current Report on Form 8-K filed on June 25, 2007 and incorporated by reference herein)</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12.1(1)</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31.1(1)</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Section 302 – Certification of Chief Executive Officer</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31.2(1)</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Section 302 – Certification of Chief Financial Officer</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32.1(1)</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Section 906 – Certifications of Chief Executive Officer and Chief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1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21"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This Employment Agreement (the “Agreement”) is made effective as of April 4, 2007 (the “Effective Date”) by and between Euronet Worldwide, Inc., a Delaware corporation (“Employer”), and Mr. Juan C. Bianchi, a permanent resident of the U.S. (“Employee”).</w:t>
      </w:r>
    </w:p>
    <w:p>
      <w:pPr>
        <w:spacing w:after="0" w:line="275"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and Employer wish to confirm the terms of an employment relationship between them.</w:t>
      </w:r>
    </w:p>
    <w:p>
      <w:pPr>
        <w:spacing w:after="0" w:line="117" w:lineRule="exact"/>
        <w:rPr>
          <w:sz w:val="20"/>
          <w:szCs w:val="20"/>
          <w:color w:val="auto"/>
        </w:rPr>
      </w:pPr>
    </w:p>
    <w:p>
      <w:pPr>
        <w:ind w:right="480" w:firstLine="225"/>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and agreements contained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adequacy of which is hereby acknowledged, Employer and Employee, each intending to be legally bound, agree as follows:</w:t>
      </w:r>
    </w:p>
    <w:p>
      <w:pPr>
        <w:spacing w:after="0" w:line="8" w:lineRule="exact"/>
        <w:rPr>
          <w:sz w:val="20"/>
          <w:szCs w:val="20"/>
          <w:color w:val="auto"/>
        </w:rPr>
      </w:pPr>
    </w:p>
    <w:p>
      <w:pPr>
        <w:ind w:right="820" w:firstLine="225"/>
        <w:spacing w:after="0" w:line="282" w:lineRule="auto"/>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(the “Term”) shall commence on the Effective Date and shall continue indefinitely until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by Employer terminates pursuant to Section 7 or 8 of this Agreement.</w:t>
      </w:r>
    </w:p>
    <w:p>
      <w:pPr>
        <w:spacing w:after="0" w:line="54" w:lineRule="exact"/>
        <w:rPr>
          <w:sz w:val="20"/>
          <w:szCs w:val="20"/>
          <w:color w:val="auto"/>
        </w:rPr>
      </w:pPr>
    </w:p>
    <w:p>
      <w:pPr>
        <w:ind w:right="40" w:firstLine="233"/>
        <w:spacing w:after="0" w:line="266" w:lineRule="auto"/>
        <w:tabs>
          <w:tab w:leader="none" w:pos="40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serve as Executive Vice President of the Employer, responsible for the overall management and operation of the Employer’s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Ria Envia, Inc., and shall perform services and serve in such other positions as requested by Employer’s Board of Directors (the “Board”) or Chief Executive Officer. Employee shall perform such services as normally are associated with such positions.</w:t>
      </w:r>
    </w:p>
    <w:p>
      <w:pPr>
        <w:spacing w:after="0" w:line="68" w:lineRule="exact"/>
        <w:rPr>
          <w:rFonts w:ascii="Arial" w:cs="Arial" w:eastAsia="Arial" w:hAnsi="Arial"/>
          <w:sz w:val="18"/>
          <w:szCs w:val="18"/>
          <w:b w:val="1"/>
          <w:bCs w:val="1"/>
          <w:color w:val="auto"/>
        </w:rPr>
      </w:pPr>
    </w:p>
    <w:p>
      <w:pPr>
        <w:ind w:left="420" w:hanging="187"/>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20" w:firstLine="458"/>
        <w:spacing w:after="0" w:line="342" w:lineRule="auto"/>
        <w:tabs>
          <w:tab w:leader="none" w:pos="695"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as compensation for services rendered by Employee under this Agreement, Employer shall pay Employee an annual base salary of $300,000 in installments in accordance with Employer’s general payroll practices (as amended from time to time, “Base Salary”).</w:t>
      </w:r>
    </w:p>
    <w:p>
      <w:pPr>
        <w:spacing w:after="0" w:line="15" w:lineRule="exact"/>
        <w:rPr>
          <w:rFonts w:ascii="Arial" w:cs="Arial" w:eastAsia="Arial" w:hAnsi="Arial"/>
          <w:sz w:val="16"/>
          <w:szCs w:val="16"/>
          <w:color w:val="auto"/>
        </w:rPr>
      </w:pPr>
    </w:p>
    <w:p>
      <w:pPr>
        <w:ind w:left="720" w:hanging="262"/>
        <w:spacing w:after="0"/>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Other Compensation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60" w:right="180" w:hanging="455"/>
        <w:spacing w:after="0" w:line="259" w:lineRule="auto"/>
        <w:tabs>
          <w:tab w:leader="none" w:pos="12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Employee will be awarded restricted stock of Employer with an aggregate value of $6,500,000 at the first meeting of the Compensation Committee following the Effective Date. The number of shares of restricted stock awarded shall be equal to $6,500,000 divided by the closing stock price on the date of the award (the “Award Date.” The overall restricted stock shall vest in accordance with the conditions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5" w:name="page46"/>
    <w:bookmarkEnd w:id="45"/>
    <w:p>
      <w:pPr>
        <w:ind w:left="1200" w:hanging="455"/>
        <w:spacing w:after="0" w:line="277" w:lineRule="auto"/>
        <w:tabs>
          <w:tab w:leader="none" w:pos="12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During the Term, Employee shall be entitled to such comparable fringe benefits and perquisites as may be provided to Employer’s executive level employees pursuant to policies established from time to time by Employer.</w:t>
      </w:r>
    </w:p>
    <w:p>
      <w:pPr>
        <w:spacing w:after="0" w:line="75" w:lineRule="exact"/>
        <w:rPr>
          <w:rFonts w:ascii="Arial" w:cs="Arial" w:eastAsia="Arial" w:hAnsi="Arial"/>
          <w:sz w:val="18"/>
          <w:szCs w:val="18"/>
          <w:color w:val="auto"/>
        </w:rPr>
      </w:pPr>
    </w:p>
    <w:p>
      <w:pPr>
        <w:ind w:left="1200" w:right="360" w:hanging="455"/>
        <w:spacing w:after="0" w:line="264" w:lineRule="auto"/>
        <w:tabs>
          <w:tab w:leader="none" w:pos="12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Employee and Employee’s immediate family shall be provided by Employer with medical, dental and life insurance through and in accordance with the terms of Employer’s group health insurance plan, subject to payment by Employee of a portion of the premiums in accordance with policies established by Employer from time to time.</w:t>
      </w:r>
    </w:p>
    <w:p>
      <w:pPr>
        <w:spacing w:after="0" w:line="69" w:lineRule="exact"/>
        <w:rPr>
          <w:rFonts w:ascii="Arial" w:cs="Arial" w:eastAsia="Arial" w:hAnsi="Arial"/>
          <w:sz w:val="18"/>
          <w:szCs w:val="18"/>
          <w:color w:val="auto"/>
        </w:rPr>
      </w:pPr>
    </w:p>
    <w:p>
      <w:pPr>
        <w:jc w:val="both"/>
        <w:ind w:left="-60" w:right="300" w:firstLine="233"/>
        <w:spacing w:after="0" w:line="347" w:lineRule="auto"/>
        <w:tabs>
          <w:tab w:leader="none" w:pos="345"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Employee shall be entitled to annual vacation of twenty (20) days, provided however that Employee may not use</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ten (10) consecutive vacation days at one time and that Employee may accrue no more than five (5) days of unused vacation from year to year.</w:t>
      </w:r>
    </w:p>
    <w:p>
      <w:pPr>
        <w:spacing w:after="0" w:line="8" w:lineRule="exact"/>
        <w:rPr>
          <w:rFonts w:ascii="Arial" w:cs="Arial" w:eastAsia="Arial" w:hAnsi="Arial"/>
          <w:sz w:val="16"/>
          <w:szCs w:val="16"/>
          <w:b w:val="1"/>
          <w:bCs w:val="1"/>
          <w:color w:val="auto"/>
        </w:rPr>
      </w:pPr>
    </w:p>
    <w:p>
      <w:pPr>
        <w:ind w:left="-60" w:right="40" w:firstLine="233"/>
        <w:spacing w:after="0" w:line="266" w:lineRule="auto"/>
        <w:tabs>
          <w:tab w:leader="none" w:pos="34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reimburse Employee for all reasonable and proper business expenses incurred by Employee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Employee’s duties hereunder during the Term, in accordance with Employer’s customary practices for executive level employees, and provided such business expenses are reasonably documented.</w:t>
      </w:r>
    </w:p>
    <w:p>
      <w:pPr>
        <w:spacing w:after="0" w:line="68" w:lineRule="exact"/>
        <w:rPr>
          <w:rFonts w:ascii="Arial" w:cs="Arial" w:eastAsia="Arial" w:hAnsi="Arial"/>
          <w:sz w:val="18"/>
          <w:szCs w:val="18"/>
          <w:b w:val="1"/>
          <w:bCs w:val="1"/>
          <w:color w:val="auto"/>
        </w:rPr>
      </w:pPr>
    </w:p>
    <w:p>
      <w:pPr>
        <w:ind w:left="360" w:hanging="187"/>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Employee’s Conduct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60" w:right="20" w:firstLine="458"/>
        <w:spacing w:after="0" w:line="255" w:lineRule="auto"/>
        <w:tabs>
          <w:tab w:leader="none" w:pos="63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Exclusive Services</w:t>
      </w:r>
      <w:r>
        <w:rPr>
          <w:rFonts w:ascii="Arial" w:cs="Arial" w:eastAsia="Arial" w:hAnsi="Arial"/>
          <w:sz w:val="18"/>
          <w:szCs w:val="18"/>
          <w:color w:val="auto"/>
        </w:rPr>
        <w:t>. During the Term, Employee shall at all times devote Employee’s full-time attention, energies, efforts and skills to the business of Employer (which term shall hereinafter include each of Employer’s subsidiaries) and shall not, directly or indirectly, engage in any other business activity, whether or not for profit, gain or other pecuniary advantages, without Employer’s written consent, provided that such prior consent shall not be required with respect to: (i) business interests that neither compete with Employer nor interfere with the performance of Employee’s duties and obligations under this Agreement; or (ii) Employee’s charitable, philanthropic or professional association activities which do not interfere with the performance of Employee’s duties and obligations under this Agreement.</w:t>
      </w:r>
    </w:p>
    <w:p>
      <w:pPr>
        <w:spacing w:after="0" w:line="85" w:lineRule="exact"/>
        <w:rPr>
          <w:rFonts w:ascii="Arial" w:cs="Arial" w:eastAsia="Arial" w:hAnsi="Arial"/>
          <w:sz w:val="18"/>
          <w:szCs w:val="18"/>
          <w:color w:val="auto"/>
        </w:rPr>
      </w:pPr>
    </w:p>
    <w:p>
      <w:pPr>
        <w:ind w:left="-60" w:firstLine="458"/>
        <w:spacing w:after="0" w:line="255" w:lineRule="auto"/>
        <w:tabs>
          <w:tab w:leader="none" w:pos="64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and for the first twelve (12) consecutive months after the termination of the Term, Employee shall not disclose or use, directly or indirectly, any Confidential Information. For the purposes of this Agreement, “Confidential Information” shall mean all information disclosed to Employee, or known by him as a consequence of or through Employee’s employment with Employer (under this Agreement or prior to this Agreement) where such information is not generally known in the trade or industry and where such information refers or relates in any manner whatsoever to the business activities, processes, services or products of Employer. Confidential Information shall include business and development plans (whether contemplated, initiated or completed), information with respect to the development of technical and management services, methods of operation, results of analysis, business forecasts,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044" w:right="299" w:bottom="1440" w:gutter="0" w:footer="0" w:header="0"/>
        </w:sectPr>
      </w:pPr>
    </w:p>
    <w:bookmarkStart w:id="46" w:name="page47"/>
    <w:bookmarkEnd w:id="46"/>
    <w:p>
      <w:pPr>
        <w:ind w:right="560"/>
        <w:spacing w:after="0" w:line="277" w:lineRule="auto"/>
        <w:rPr>
          <w:sz w:val="20"/>
          <w:szCs w:val="20"/>
          <w:color w:val="auto"/>
        </w:rPr>
      </w:pPr>
      <w:r>
        <w:rPr>
          <w:rFonts w:ascii="Arial" w:cs="Arial" w:eastAsia="Arial" w:hAnsi="Arial"/>
          <w:sz w:val="18"/>
          <w:szCs w:val="18"/>
          <w:color w:val="auto"/>
        </w:rPr>
        <w:t>financial data, costs, revenues, and similar information. Upon termination of the Term, Employee shall immediately return to Employer all property of Employer and all Confidential Information, which is in tangible form, and all copies thereof.</w:t>
      </w:r>
    </w:p>
    <w:p>
      <w:pPr>
        <w:spacing w:after="0" w:line="62" w:lineRule="exact"/>
        <w:rPr>
          <w:sz w:val="20"/>
          <w:szCs w:val="20"/>
          <w:color w:val="auto"/>
        </w:rPr>
      </w:pPr>
    </w:p>
    <w:p>
      <w:pPr>
        <w:ind w:left="700" w:hanging="24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Conflicts of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60" w:right="260" w:hanging="455"/>
        <w:spacing w:after="0" w:line="259" w:lineRule="auto"/>
        <w:tabs>
          <w:tab w:leader="none" w:pos="1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During the Term, Employee shall promptly disclose to Employer each business opportunity of a type which, based upon its prospects and relationship to the existing businesses of Employer, Employer might reasonably consider pursuing. After termination of this Agreement, regardless of the circumstances thereof, Employer shall have the exclusive right to participate in or undertake any such opportunity on its own behalf without any involvement of Employee.</w:t>
      </w:r>
    </w:p>
    <w:p>
      <w:pPr>
        <w:spacing w:after="0" w:line="92" w:lineRule="exact"/>
        <w:rPr>
          <w:rFonts w:ascii="Arial" w:cs="Arial" w:eastAsia="Arial" w:hAnsi="Arial"/>
          <w:sz w:val="18"/>
          <w:szCs w:val="18"/>
          <w:color w:val="auto"/>
        </w:rPr>
      </w:pPr>
    </w:p>
    <w:p>
      <w:pPr>
        <w:ind w:left="1260" w:right="200" w:hanging="455"/>
        <w:spacing w:after="0" w:line="308" w:lineRule="auto"/>
        <w:tabs>
          <w:tab w:leader="none" w:pos="12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During the Term, Employee shall refrain from engaging in any activity, practice or act which conflicts with, or has the potential to conflict with, the interests of Employer, and he shall avoid any acts or omissions which are disloyal to, or competitive with Employer.</w:t>
      </w:r>
    </w:p>
    <w:p>
      <w:pPr>
        <w:spacing w:after="0" w:line="38" w:lineRule="exact"/>
        <w:rPr>
          <w:rFonts w:ascii="Arial" w:cs="Arial" w:eastAsia="Arial" w:hAnsi="Arial"/>
          <w:sz w:val="17"/>
          <w:szCs w:val="17"/>
          <w:color w:val="auto"/>
        </w:rPr>
      </w:pPr>
    </w:p>
    <w:p>
      <w:pPr>
        <w:ind w:right="120" w:firstLine="458"/>
        <w:spacing w:after="0" w:line="259"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period of time with respect to which the Employee is to receive severance payments under this Agreement (the “Severance Period”), Employee shall not, except in the course of Employee’s duties under this Agreement, directly or indirectly, induce or attempt to induce or otherwise counsel, advise, ask or solicit any person to leave the employ of Employer, if such person was employed by Employer at any time during the twelve (12) month period preceding the relevant communication.</w:t>
      </w:r>
    </w:p>
    <w:p>
      <w:pPr>
        <w:spacing w:after="0" w:line="78" w:lineRule="exact"/>
        <w:rPr>
          <w:rFonts w:ascii="Arial" w:cs="Arial" w:eastAsia="Arial" w:hAnsi="Arial"/>
          <w:sz w:val="18"/>
          <w:szCs w:val="18"/>
          <w:color w:val="auto"/>
        </w:rPr>
      </w:pPr>
    </w:p>
    <w:p>
      <w:pPr>
        <w:ind w:left="700" w:hanging="24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60" w:hanging="455"/>
        <w:spacing w:after="0" w:line="272" w:lineRule="auto"/>
        <w:tabs>
          <w:tab w:leader="none" w:pos="12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During the Term and for any Severance Period under this Agreement, Employee shall not, without Employer’s prior written consent, directly or indirectly, either as an officer, director, employee, agent, advisor, consultant, principal, stockholder, partner, owner or in any other capacity, on Employee’s own behalf or otherwise, in any way engage in, represent, be connected with or have a financial interest in, any business which is, or to Employee’s knowledge, is about to become, engaged in any business with which Employer is currently or has previously done business or any subsequent line of business developed by Employer or any business planned during the Term to be established by Employer. Notwithstanding the foregoing, Employee shall be permitted to own passive investments in publicly held companies provided that such investments do not exceed five percent (5%) of any such company’s outstanding equity.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ind w:left="1180" w:right="460" w:hanging="455"/>
        <w:spacing w:after="0" w:line="312" w:lineRule="auto"/>
        <w:tabs>
          <w:tab w:leader="none" w:pos="11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Employer or Employee terminates this Agreement, Employee shall not, during the Severance Period, engage in competition with Employer, or solicit, from any person or entity who purchased any product or service from Employer during Employee’s employment hereunder, the purchase of any product or service in competition with then existing products or services of Employer.</w:t>
      </w:r>
    </w:p>
    <w:p>
      <w:pPr>
        <w:spacing w:after="0" w:line="52" w:lineRule="exact"/>
        <w:rPr>
          <w:rFonts w:ascii="Arial" w:cs="Arial" w:eastAsia="Arial" w:hAnsi="Arial"/>
          <w:sz w:val="16"/>
          <w:szCs w:val="16"/>
          <w:color w:val="auto"/>
        </w:rPr>
      </w:pPr>
    </w:p>
    <w:p>
      <w:pPr>
        <w:ind w:left="1180" w:hanging="455"/>
        <w:spacing w:after="0" w:line="297" w:lineRule="auto"/>
        <w:tabs>
          <w:tab w:leader="none" w:pos="11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For purposes of this Agreement, without limiting the provisions of Section 6(e)(i), Employee shall be deemed to engage in competition with Employer if he shall directly or indirectly, either individually or as a stockholder, director, officer, partner, consultant, owner, employee, agent, or in any other capacity, consult with or otherwise assist any person or entity engaged in providing consumer to consumer money transfer services, prepaid card services or electronic financial transactions services. The provisions of this Section 6(e) shall apply in any location in which Employer has established, or to the Employee’s knowledge, is in the process of establishing, a subsidiary.</w:t>
      </w:r>
    </w:p>
    <w:p>
      <w:pPr>
        <w:spacing w:after="0" w:line="50" w:lineRule="exact"/>
        <w:rPr>
          <w:rFonts w:ascii="Arial" w:cs="Arial" w:eastAsia="Arial" w:hAnsi="Arial"/>
          <w:sz w:val="16"/>
          <w:szCs w:val="16"/>
          <w:color w:val="auto"/>
        </w:rPr>
      </w:pPr>
    </w:p>
    <w:p>
      <w:pPr>
        <w:ind w:left="-80" w:right="60" w:firstLine="458"/>
        <w:spacing w:after="0" w:line="277" w:lineRule="auto"/>
        <w:tabs>
          <w:tab w:leader="none" w:pos="5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Employee Acknowledgment</w:t>
      </w:r>
      <w:r>
        <w:rPr>
          <w:rFonts w:ascii="Arial" w:cs="Arial" w:eastAsia="Arial" w:hAnsi="Arial"/>
          <w:sz w:val="18"/>
          <w:szCs w:val="18"/>
          <w:color w:val="auto"/>
        </w:rPr>
        <w:t>. Employee hereby agrees and acknowledges that the restrictions imposed upon him by the provisions of this Section 6 are fair and reasonable considering the nature of Employer’s business, and are reasonably required for Employer’s protection.</w:t>
      </w:r>
    </w:p>
    <w:p>
      <w:pPr>
        <w:spacing w:after="0" w:line="62" w:lineRule="exact"/>
        <w:rPr>
          <w:rFonts w:ascii="Arial" w:cs="Arial" w:eastAsia="Arial" w:hAnsi="Arial"/>
          <w:sz w:val="18"/>
          <w:szCs w:val="18"/>
          <w:color w:val="auto"/>
        </w:rPr>
      </w:pPr>
    </w:p>
    <w:p>
      <w:pPr>
        <w:ind w:left="-80" w:right="40" w:firstLine="458"/>
        <w:spacing w:after="0" w:line="264" w:lineRule="auto"/>
        <w:tabs>
          <w:tab w:leader="none" w:pos="62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Invalidity</w:t>
      </w:r>
      <w:r>
        <w:rPr>
          <w:rFonts w:ascii="Arial" w:cs="Arial" w:eastAsia="Arial" w:hAnsi="Arial"/>
          <w:sz w:val="18"/>
          <w:szCs w:val="18"/>
          <w:color w:val="auto"/>
        </w:rPr>
        <w:t>. If a court of competent jurisdiction or an arbitrator shall declare any provision or restriction contained in this Section 6 as unenforceable or void, the provisions of this Section 6 shall remain in full force and effect to the extent not so declared to be unenforceable or void, and the court may modify the invalid provision to make it enforceable to the maximum extent permitted by law.</w:t>
      </w:r>
    </w:p>
    <w:p>
      <w:pPr>
        <w:spacing w:after="0" w:line="73" w:lineRule="exact"/>
        <w:rPr>
          <w:rFonts w:ascii="Arial" w:cs="Arial" w:eastAsia="Arial" w:hAnsi="Arial"/>
          <w:sz w:val="18"/>
          <w:szCs w:val="18"/>
          <w:color w:val="auto"/>
        </w:rPr>
      </w:pPr>
    </w:p>
    <w:p>
      <w:pPr>
        <w:ind w:left="-80" w:firstLine="458"/>
        <w:spacing w:after="0" w:line="279" w:lineRule="auto"/>
        <w:tabs>
          <w:tab w:leader="none" w:pos="62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Employee agrees that if he breaches any of the provisions of this Section 6, the remedies available at law to Employer would be inadequate and in lieu thereof, or in addition thereto, Employer shall be entitled to appropriate equitable remedies, including specific performance and injunctive relief. Employee agrees not to enter into any agreement, either written or oral, which may conflict with this Agreement, and Employee authorizes Employer to make known the terms of this Section 6 to any person, including future employers of Employee.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1044" w:right="319" w:bottom="1440" w:gutter="0" w:footer="0" w:header="0"/>
        </w:sectPr>
      </w:pPr>
    </w:p>
    <w:bookmarkStart w:id="48" w:name="page49"/>
    <w:bookmarkEnd w:id="48"/>
    <w:p>
      <w:pPr>
        <w:ind w:left="420" w:hanging="187"/>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20" w:firstLine="458"/>
        <w:spacing w:after="0" w:line="264" w:lineRule="auto"/>
        <w:tabs>
          <w:tab w:leader="none" w:pos="695"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 by Employer for Cause</w:t>
      </w:r>
      <w:r>
        <w:rPr>
          <w:rFonts w:ascii="Arial" w:cs="Arial" w:eastAsia="Arial" w:hAnsi="Arial"/>
          <w:sz w:val="18"/>
          <w:szCs w:val="18"/>
          <w:color w:val="auto"/>
        </w:rPr>
        <w:t>. Subject to the last sentence of this Section 7(a), at any time during the Term of this Agreement, Employer may terminate Employee’s employment for Cause, as defined below, upon at least fourteen (14) days written notice setting forth a description of the conduct constituting Cause. If Employee’s employment is terminated for Cause, he shall be entitled to:</w:t>
      </w:r>
    </w:p>
    <w:p>
      <w:pPr>
        <w:spacing w:after="0" w:line="73" w:lineRule="exact"/>
        <w:rPr>
          <w:rFonts w:ascii="Arial" w:cs="Arial" w:eastAsia="Arial" w:hAnsi="Arial"/>
          <w:sz w:val="18"/>
          <w:szCs w:val="18"/>
          <w:color w:val="auto"/>
        </w:rPr>
      </w:pPr>
    </w:p>
    <w:p>
      <w:pPr>
        <w:ind w:left="1020" w:hanging="445"/>
        <w:spacing w:after="0"/>
        <w:tabs>
          <w:tab w:leader="none" w:pos="10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payment of any unpaid portion of Employee’s Base Salary through the effective date of such termination;</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reimbursement for any outstanding reasonable business expense he has incurred in performing Employee’s duties hereunder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020" w:right="60" w:hanging="445"/>
        <w:spacing w:after="0" w:line="264" w:lineRule="auto"/>
        <w:tabs>
          <w:tab w:leader="none" w:pos="10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the termination (including without limitation, any tax equalization payments, bonus due up to the date of termination), and any other rights, as required by the terms of any employee benefit plan or program of Employer;</w:t>
      </w:r>
    </w:p>
    <w:p>
      <w:pPr>
        <w:spacing w:after="0" w:line="73"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For purposes of this Agreement, “Cause” shall mean: (1) conviction of Employee of, or the entry of a plea of guilty or nolo contendere by Employee to, any felony, or any misdemeanor involving moral turpitude; (2) fraud, misappropriation or embezzlement by Employee; (3) Employee’s wilful failure, gross negligence or gross misconduct in the performance of Employee’s assigned duties for Employer; (4) wilful failure by Employee to follow reasonable instructions of any officer to whom Employee reports or the Euronet board; and (5) Employee’s gross negligence or gross misconduct in the performance of Employee’s assigned duties for Employer provided, however, that should the Employer seek to terminate Employee’s employment for Cause pursuant to numbers (3), (4), or (5), herein, then the Employer shall first provide Employee with thirty (30) calendar days notice of such deficiency and allow Employee to attempt to cure the alleged deficiency during that thirty (30) day time period. Only upon expiration of the thirty (30) day time period, if the Employer believes that Employee has not sufficiently cured the alleged deficiency, may the Employer issue the notice of termination for Cause (upon the fourteen</w:t>
      </w:r>
    </w:p>
    <w:p>
      <w:pPr>
        <w:spacing w:after="0" w:line="1" w:lineRule="exact"/>
        <w:rPr>
          <w:sz w:val="20"/>
          <w:szCs w:val="20"/>
          <w:color w:val="auto"/>
        </w:rPr>
      </w:pPr>
    </w:p>
    <w:p>
      <w:pPr>
        <w:ind w:firstLine="8"/>
        <w:spacing w:after="0" w:line="255" w:lineRule="auto"/>
        <w:tabs>
          <w:tab w:leader="none" w:pos="3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day written notice described above). Notwithstanding the provisions of this Section 7(a) defining “Cause,” in the event of a Change of Control, as defined hereafter, a Termination for Cause shall mean only a termination for an act of dishonesty by Employee constituting a felony which was intended to or resulted in gain or personal enrichment of Employee at Employer’s expense.</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49" w:name="page50"/>
    <w:bookmarkEnd w:id="49"/>
    <w:p>
      <w:pPr>
        <w:jc w:val="both"/>
        <w:ind w:right="360" w:firstLine="458"/>
        <w:spacing w:after="0" w:line="286"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Termination by Employer Without Cause or Termination by Employee for any Reason</w:t>
      </w:r>
      <w:r>
        <w:rPr>
          <w:rFonts w:ascii="Arial" w:cs="Arial" w:eastAsia="Arial" w:hAnsi="Arial"/>
          <w:sz w:val="17"/>
          <w:szCs w:val="17"/>
          <w:color w:val="auto"/>
        </w:rPr>
        <w:t>. At any time before a Change of Control, Employer may terminate Employee’s employment without Cause, by giving written notice of termination and Employee may terminate Employee’s employment for any reason. Employee’s employment will also be terminated upon the death or disability of Employee, as set forth below.</w:t>
      </w:r>
    </w:p>
    <w:p>
      <w:pPr>
        <w:spacing w:after="0" w:line="57" w:lineRule="exact"/>
        <w:rPr>
          <w:sz w:val="20"/>
          <w:szCs w:val="20"/>
          <w:color w:val="auto"/>
        </w:rPr>
      </w:pPr>
    </w:p>
    <w:p>
      <w:pPr>
        <w:ind w:left="680" w:hanging="219"/>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Employee’s employment is terminated by Employer without Cause, Employee shall be entitled to receive from Employer the following:</w:t>
      </w:r>
    </w:p>
    <w:p>
      <w:pPr>
        <w:spacing w:after="0" w:line="128" w:lineRule="exact"/>
        <w:rPr>
          <w:rFonts w:ascii="Arial" w:cs="Arial" w:eastAsia="Arial" w:hAnsi="Arial"/>
          <w:sz w:val="17"/>
          <w:szCs w:val="17"/>
          <w:color w:val="auto"/>
        </w:rPr>
      </w:pPr>
    </w:p>
    <w:p>
      <w:pPr>
        <w:ind w:left="1220" w:hanging="302"/>
        <w:spacing w:after="0"/>
        <w:tabs>
          <w:tab w:leader="none" w:pos="12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severance benefits including:</w:t>
      </w:r>
    </w:p>
    <w:p>
      <w:pPr>
        <w:spacing w:after="0" w:line="117" w:lineRule="exact"/>
        <w:rPr>
          <w:rFonts w:ascii="Arial" w:cs="Arial" w:eastAsia="Arial" w:hAnsi="Arial"/>
          <w:sz w:val="18"/>
          <w:szCs w:val="18"/>
          <w:color w:val="auto"/>
        </w:rPr>
      </w:pPr>
    </w:p>
    <w:p>
      <w:pPr>
        <w:ind w:left="1380" w:right="320" w:hanging="3"/>
        <w:spacing w:after="0" w:line="277" w:lineRule="auto"/>
        <w:tabs>
          <w:tab w:leader="none" w:pos="1635" w:val="left"/>
        </w:tabs>
        <w:numPr>
          <w:ilvl w:val="3"/>
          <w:numId w:val="25"/>
        </w:numPr>
        <w:rPr>
          <w:rFonts w:ascii="Arial" w:cs="Arial" w:eastAsia="Arial" w:hAnsi="Arial"/>
          <w:sz w:val="18"/>
          <w:szCs w:val="18"/>
          <w:color w:val="auto"/>
        </w:rPr>
      </w:pPr>
      <w:r>
        <w:rPr>
          <w:rFonts w:ascii="Arial" w:cs="Arial" w:eastAsia="Arial" w:hAnsi="Arial"/>
          <w:sz w:val="18"/>
          <w:szCs w:val="18"/>
          <w:color w:val="auto"/>
        </w:rPr>
        <w:t>payment of the then current Base Salary for a Severance Period of twenty-four (24) months, in accordance with Employer’s regular salary payment practices, and</w:t>
      </w:r>
    </w:p>
    <w:p>
      <w:pPr>
        <w:spacing w:after="0" w:line="62" w:lineRule="exact"/>
        <w:rPr>
          <w:rFonts w:ascii="Arial" w:cs="Arial" w:eastAsia="Arial" w:hAnsi="Arial"/>
          <w:sz w:val="18"/>
          <w:szCs w:val="18"/>
          <w:color w:val="auto"/>
        </w:rPr>
      </w:pPr>
    </w:p>
    <w:p>
      <w:pPr>
        <w:ind w:left="1380" w:right="200" w:hanging="3"/>
        <w:spacing w:after="0" w:line="259" w:lineRule="auto"/>
        <w:tabs>
          <w:tab w:leader="none" w:pos="1635" w:val="left"/>
        </w:tabs>
        <w:numPr>
          <w:ilvl w:val="3"/>
          <w:numId w:val="25"/>
        </w:numPr>
        <w:rPr>
          <w:rFonts w:ascii="Arial" w:cs="Arial" w:eastAsia="Arial" w:hAnsi="Arial"/>
          <w:sz w:val="18"/>
          <w:szCs w:val="18"/>
          <w:color w:val="auto"/>
        </w:rPr>
      </w:pPr>
      <w:r>
        <w:rPr>
          <w:rFonts w:ascii="Arial" w:cs="Arial" w:eastAsia="Arial" w:hAnsi="Arial"/>
          <w:sz w:val="18"/>
          <w:szCs w:val="18"/>
          <w:color w:val="auto"/>
        </w:rPr>
        <w:t>continuation of the vesting of any of the restricted stock identified as “Time Vest Restricted Stock” and “Performance Vest Restricted Stock – Tranche A” on Schedule A, through the full twenty-four (24) month Severance Period. Employee shall be considered to be an Employee of the Employer during the entire Severance Period, and shall abide by the Covenant Not to Compete of Section 6(e) of this Agreement.</w:t>
      </w:r>
    </w:p>
    <w:p>
      <w:pPr>
        <w:spacing w:after="0" w:line="78" w:lineRule="exact"/>
        <w:rPr>
          <w:rFonts w:ascii="Arial" w:cs="Arial" w:eastAsia="Arial" w:hAnsi="Arial"/>
          <w:sz w:val="18"/>
          <w:szCs w:val="18"/>
          <w:color w:val="auto"/>
        </w:rPr>
      </w:pPr>
    </w:p>
    <w:p>
      <w:pPr>
        <w:ind w:left="980" w:hanging="291"/>
        <w:spacing w:after="0"/>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reimbursement for any outstanding reasonable business expense Employee has incurred in performing his duties hereunder during the Term;</w:t>
      </w:r>
    </w:p>
    <w:p>
      <w:pPr>
        <w:spacing w:after="0" w:line="140" w:lineRule="exact"/>
        <w:rPr>
          <w:rFonts w:ascii="Arial" w:cs="Arial" w:eastAsia="Arial" w:hAnsi="Arial"/>
          <w:sz w:val="16"/>
          <w:szCs w:val="16"/>
          <w:color w:val="auto"/>
        </w:rPr>
      </w:pPr>
    </w:p>
    <w:p>
      <w:pPr>
        <w:ind w:left="460" w:firstLine="229"/>
        <w:spacing w:after="0" w:line="264" w:lineRule="auto"/>
        <w:tabs>
          <w:tab w:leader="none" w:pos="97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the termination of employment (including without limitation, any tax equalization payments, bonus due up to the date on which the Severance Period commences), and any other rights, as required by the terms of any employee benefit plan or program of Employer;</w:t>
      </w:r>
    </w:p>
    <w:p>
      <w:pPr>
        <w:spacing w:after="0" w:line="73" w:lineRule="exact"/>
        <w:rPr>
          <w:rFonts w:ascii="Arial" w:cs="Arial" w:eastAsia="Arial" w:hAnsi="Arial"/>
          <w:sz w:val="18"/>
          <w:szCs w:val="18"/>
          <w:color w:val="auto"/>
        </w:rPr>
      </w:pPr>
    </w:p>
    <w:p>
      <w:pPr>
        <w:ind w:left="980" w:hanging="291"/>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17" w:lineRule="exact"/>
        <w:rPr>
          <w:rFonts w:ascii="Arial" w:cs="Arial" w:eastAsia="Arial" w:hAnsi="Arial"/>
          <w:sz w:val="18"/>
          <w:szCs w:val="18"/>
          <w:color w:val="auto"/>
        </w:rPr>
      </w:pPr>
    </w:p>
    <w:p>
      <w:pPr>
        <w:ind w:left="460" w:right="80" w:firstLine="229"/>
        <w:spacing w:after="0" w:line="277" w:lineRule="auto"/>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payment of COBRA premiums for medical benefits for a period of the 24-month Severance Period and for six (6) months following termination of the Severance Period, if Employee timely elects to continue those benefits under COBRA.</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this Agreement, termination “without Cause” shall mean involuntary termination of employment, at the direction of Employer, in the absence of “Cause” as defined above.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left="-60" w:firstLine="45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the provisions of Section 8, Employee may terminate this Agreement at any time for any reason by giving thirty (30) days’ written notice to Employer. If Employee terminates his employment, he shall be entitled to:</w:t>
      </w:r>
    </w:p>
    <w:p>
      <w:pPr>
        <w:spacing w:after="0" w:line="62" w:lineRule="exact"/>
        <w:rPr>
          <w:rFonts w:ascii="Arial" w:cs="Arial" w:eastAsia="Arial" w:hAnsi="Arial"/>
          <w:sz w:val="18"/>
          <w:szCs w:val="18"/>
          <w:color w:val="auto"/>
        </w:rPr>
      </w:pPr>
    </w:p>
    <w:p>
      <w:pPr>
        <w:ind w:left="1160" w:hanging="299"/>
        <w:spacing w:after="0"/>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severance benefits including:</w:t>
      </w:r>
    </w:p>
    <w:p>
      <w:pPr>
        <w:spacing w:after="0" w:line="117" w:lineRule="exact"/>
        <w:rPr>
          <w:rFonts w:ascii="Arial" w:cs="Arial" w:eastAsia="Arial" w:hAnsi="Arial"/>
          <w:sz w:val="18"/>
          <w:szCs w:val="18"/>
          <w:color w:val="auto"/>
        </w:rPr>
      </w:pPr>
    </w:p>
    <w:p>
      <w:pPr>
        <w:ind w:left="1320" w:right="280" w:hanging="3"/>
        <w:spacing w:after="0" w:line="277" w:lineRule="auto"/>
        <w:tabs>
          <w:tab w:leader="none" w:pos="1575" w:val="left"/>
        </w:tabs>
        <w:numPr>
          <w:ilvl w:val="2"/>
          <w:numId w:val="26"/>
        </w:numPr>
        <w:rPr>
          <w:rFonts w:ascii="Arial" w:cs="Arial" w:eastAsia="Arial" w:hAnsi="Arial"/>
          <w:sz w:val="18"/>
          <w:szCs w:val="18"/>
          <w:color w:val="auto"/>
        </w:rPr>
      </w:pPr>
      <w:r>
        <w:rPr>
          <w:rFonts w:ascii="Arial" w:cs="Arial" w:eastAsia="Arial" w:hAnsi="Arial"/>
          <w:sz w:val="18"/>
          <w:szCs w:val="18"/>
          <w:color w:val="auto"/>
        </w:rPr>
        <w:t>payment of the then current Base Salary for a Severance Period of twenty-four (24) months, in accordance with Employer’s regular salary payment practices, and</w:t>
      </w:r>
    </w:p>
    <w:p>
      <w:pPr>
        <w:spacing w:after="0" w:line="62" w:lineRule="exact"/>
        <w:rPr>
          <w:rFonts w:ascii="Arial" w:cs="Arial" w:eastAsia="Arial" w:hAnsi="Arial"/>
          <w:sz w:val="18"/>
          <w:szCs w:val="18"/>
          <w:color w:val="auto"/>
        </w:rPr>
      </w:pPr>
    </w:p>
    <w:p>
      <w:pPr>
        <w:ind w:left="1320" w:right="40" w:hanging="3"/>
        <w:spacing w:after="0" w:line="264" w:lineRule="auto"/>
        <w:tabs>
          <w:tab w:leader="none" w:pos="1575" w:val="left"/>
        </w:tabs>
        <w:numPr>
          <w:ilvl w:val="2"/>
          <w:numId w:val="26"/>
        </w:numPr>
        <w:rPr>
          <w:rFonts w:ascii="Arial" w:cs="Arial" w:eastAsia="Arial" w:hAnsi="Arial"/>
          <w:sz w:val="18"/>
          <w:szCs w:val="18"/>
          <w:color w:val="auto"/>
        </w:rPr>
      </w:pPr>
      <w:r>
        <w:rPr>
          <w:rFonts w:ascii="Arial" w:cs="Arial" w:eastAsia="Arial" w:hAnsi="Arial"/>
          <w:sz w:val="18"/>
          <w:szCs w:val="18"/>
          <w:color w:val="auto"/>
        </w:rPr>
        <w:t>continuation of the vesting of the restricted stock identified as “Time Vest Restricted Stock on the attached Schedule A through the full twenty-four (24) month Severance Period. Employee shall be considered to be an Employee of the Employer during the entire Severance Period, and shall abide by the Covenant Not to Compete of Section 6(e) of this Agreement.</w:t>
      </w:r>
    </w:p>
    <w:p>
      <w:pPr>
        <w:spacing w:after="0" w:line="73" w:lineRule="exact"/>
        <w:rPr>
          <w:rFonts w:ascii="Arial" w:cs="Arial" w:eastAsia="Arial" w:hAnsi="Arial"/>
          <w:sz w:val="18"/>
          <w:szCs w:val="18"/>
          <w:color w:val="auto"/>
        </w:rPr>
      </w:pPr>
    </w:p>
    <w:p>
      <w:pPr>
        <w:ind w:left="1140" w:hanging="279"/>
        <w:spacing w:after="0"/>
        <w:tabs>
          <w:tab w:leader="none" w:pos="11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reimbursement for any outstanding reasonable business expense Employee has incurred in performing his duties hereunder during the Term.</w:t>
      </w:r>
    </w:p>
    <w:p>
      <w:pPr>
        <w:spacing w:after="0" w:line="140" w:lineRule="exact"/>
        <w:rPr>
          <w:rFonts w:ascii="Arial" w:cs="Arial" w:eastAsia="Arial" w:hAnsi="Arial"/>
          <w:sz w:val="16"/>
          <w:szCs w:val="16"/>
          <w:color w:val="auto"/>
        </w:rPr>
      </w:pPr>
    </w:p>
    <w:p>
      <w:pPr>
        <w:ind w:left="1140" w:hanging="279"/>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17" w:lineRule="exact"/>
        <w:rPr>
          <w:rFonts w:ascii="Arial" w:cs="Arial" w:eastAsia="Arial" w:hAnsi="Arial"/>
          <w:sz w:val="18"/>
          <w:szCs w:val="18"/>
          <w:color w:val="auto"/>
        </w:rPr>
      </w:pPr>
    </w:p>
    <w:p>
      <w:pPr>
        <w:ind w:left="860" w:right="60" w:firstLine="1"/>
        <w:spacing w:after="0" w:line="264" w:lineRule="auto"/>
        <w:tabs>
          <w:tab w:leader="none" w:pos="11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termination of employment (including without limitation, any tax equalization payments, bonus due up to the date on which the Severance Period commences, and any other rights, as required by the terms of any employee benefit plan or program of Employer.</w:t>
      </w:r>
    </w:p>
    <w:p>
      <w:pPr>
        <w:spacing w:after="0" w:line="73" w:lineRule="exact"/>
        <w:rPr>
          <w:sz w:val="20"/>
          <w:szCs w:val="20"/>
          <w:color w:val="auto"/>
        </w:rPr>
      </w:pPr>
    </w:p>
    <w:p>
      <w:pPr>
        <w:ind w:left="-60" w:right="560" w:firstLine="458"/>
        <w:spacing w:after="0" w:line="342" w:lineRule="auto"/>
        <w:tabs>
          <w:tab w:leader="none" w:pos="63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Employee’s employment and this Agreement shall terminate immediately upon Employee’s death. If Employee’s employment is terminated because of Employee’s death, Employee’s estate or Employee’s beneficiaries, as the case may be, shall be entitled to:</w:t>
      </w:r>
    </w:p>
    <w:p>
      <w:pPr>
        <w:spacing w:after="0" w:line="15" w:lineRule="exact"/>
        <w:rPr>
          <w:rFonts w:ascii="Arial" w:cs="Arial" w:eastAsia="Arial" w:hAnsi="Arial"/>
          <w:sz w:val="16"/>
          <w:szCs w:val="16"/>
          <w:color w:val="auto"/>
        </w:rPr>
      </w:pPr>
    </w:p>
    <w:p>
      <w:pPr>
        <w:ind w:left="960" w:hanging="445"/>
        <w:spacing w:after="0"/>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payment of any unpaid portion of Employee’s then current Base Salary through the effective date of such termination;</w:t>
      </w:r>
    </w:p>
    <w:p>
      <w:pPr>
        <w:spacing w:after="0" w:line="130" w:lineRule="exact"/>
        <w:rPr>
          <w:rFonts w:ascii="Arial" w:cs="Arial" w:eastAsia="Arial" w:hAnsi="Arial"/>
          <w:sz w:val="18"/>
          <w:szCs w:val="18"/>
          <w:color w:val="auto"/>
        </w:rPr>
      </w:pPr>
    </w:p>
    <w:p>
      <w:pPr>
        <w:ind w:left="960" w:hanging="445"/>
        <w:spacing w:after="0"/>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reimbursement for any outstanding reasonable business expense Employee incurred in performing Employee’s duties hereunder;</w:t>
      </w:r>
    </w:p>
    <w:p>
      <w:pPr>
        <w:spacing w:after="0" w:line="130" w:lineRule="exact"/>
        <w:rPr>
          <w:rFonts w:ascii="Arial" w:cs="Arial" w:eastAsia="Arial" w:hAnsi="Arial"/>
          <w:sz w:val="18"/>
          <w:szCs w:val="18"/>
          <w:color w:val="auto"/>
        </w:rPr>
      </w:pPr>
    </w:p>
    <w:p>
      <w:pPr>
        <w:ind w:left="960" w:hanging="445"/>
        <w:spacing w:after="0"/>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6" w:right="279" w:bottom="1440" w:gutter="0" w:footer="0" w:header="0"/>
        </w:sectPr>
      </w:pPr>
    </w:p>
    <w:bookmarkStart w:id="51" w:name="page52"/>
    <w:bookmarkEnd w:id="51"/>
    <w:p>
      <w:pPr>
        <w:ind w:left="1020" w:hanging="445"/>
        <w:spacing w:after="0"/>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pension survivor benefits that may become due pursuant to any employee benefit plan or program of Employer, and</w:t>
      </w:r>
    </w:p>
    <w:p>
      <w:pPr>
        <w:spacing w:after="0" w:line="130" w:lineRule="exact"/>
        <w:rPr>
          <w:rFonts w:ascii="Arial" w:cs="Arial" w:eastAsia="Arial" w:hAnsi="Arial"/>
          <w:sz w:val="18"/>
          <w:szCs w:val="18"/>
          <w:color w:val="auto"/>
        </w:rPr>
      </w:pPr>
    </w:p>
    <w:p>
      <w:pPr>
        <w:ind w:left="1020" w:right="140" w:hanging="445"/>
        <w:spacing w:after="0" w:line="277"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stock options as provided by the terms of any employee benefit plan or program of Employer.</w:t>
      </w:r>
    </w:p>
    <w:p>
      <w:pPr>
        <w:spacing w:after="0" w:line="62" w:lineRule="exact"/>
        <w:rPr>
          <w:rFonts w:ascii="Arial" w:cs="Arial" w:eastAsia="Arial" w:hAnsi="Arial"/>
          <w:sz w:val="18"/>
          <w:szCs w:val="18"/>
          <w:color w:val="auto"/>
        </w:rPr>
      </w:pPr>
    </w:p>
    <w:p>
      <w:pPr>
        <w:ind w:firstLine="458"/>
        <w:spacing w:after="0" w:line="277"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Employer may terminate Employee’s employment at any time if Employee becomes disabled, upon written notice by Employer to Employee. If Employee’s employment is terminated because of Employee’s disability, he shall be entitled to:</w:t>
      </w:r>
    </w:p>
    <w:p>
      <w:pPr>
        <w:spacing w:after="0" w:line="62" w:lineRule="exact"/>
        <w:rPr>
          <w:rFonts w:ascii="Arial" w:cs="Arial" w:eastAsia="Arial" w:hAnsi="Arial"/>
          <w:sz w:val="18"/>
          <w:szCs w:val="18"/>
          <w:color w:val="auto"/>
        </w:rPr>
      </w:pPr>
    </w:p>
    <w:p>
      <w:pPr>
        <w:ind w:left="1020" w:hanging="445"/>
        <w:spacing w:after="0"/>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payment of a lump-sum disability benefit equal to twelve (12) months’ then current Base Salary;</w:t>
      </w:r>
    </w:p>
    <w:p>
      <w:pPr>
        <w:spacing w:after="0" w:line="130" w:lineRule="exact"/>
        <w:rPr>
          <w:rFonts w:ascii="Arial" w:cs="Arial" w:eastAsia="Arial" w:hAnsi="Arial"/>
          <w:sz w:val="18"/>
          <w:szCs w:val="18"/>
          <w:color w:val="auto"/>
        </w:rPr>
      </w:pPr>
    </w:p>
    <w:p>
      <w:pPr>
        <w:ind w:left="1020" w:right="220" w:hanging="445"/>
        <w:spacing w:after="0" w:line="277"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continuation of the vesting of any outstanding stock options and continuation of Employee’s rights to exercise any outstanding stock options, through the effective date of such termination and for a period of twelve (12) months following such termination.</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reimbursement for any outstanding reasonable business expense he has incurred in performing Employee’s duties hereunder;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1" w:lineRule="exact"/>
        <w:rPr>
          <w:sz w:val="20"/>
          <w:szCs w:val="20"/>
          <w:color w:val="auto"/>
        </w:rPr>
      </w:pPr>
    </w:p>
    <w:p>
      <w:pPr>
        <w:ind w:left="1020" w:right="100" w:hanging="445"/>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stock options, as provided by the terms of any employee benefit plan or program of Employer.</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“Disability,” as used in this paragraph, means a physical or mental illness, injury, or condition that (a) prevents, as certified by a physician, Employee from performing one or more of the essential functions of Employee’s position, for at least 120 consecutive calendar days or for at least 150 calendar days, whether or not consecutive, in any 365 calendar day period, and (b) which cannot be accommodated with a reasonable accommodation, without undue hardship on Employer, as specified in the Americans with Disabilities Act.</w:t>
      </w:r>
    </w:p>
    <w:p>
      <w:pPr>
        <w:spacing w:after="0" w:line="79" w:lineRule="exact"/>
        <w:rPr>
          <w:sz w:val="20"/>
          <w:szCs w:val="20"/>
          <w:color w:val="auto"/>
        </w:rPr>
      </w:pPr>
    </w:p>
    <w:p>
      <w:pPr>
        <w:ind w:right="180" w:firstLine="458"/>
        <w:spacing w:after="0" w:line="297"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Payments Terminated</w:t>
      </w:r>
      <w:r>
        <w:rPr>
          <w:rFonts w:ascii="Arial" w:cs="Arial" w:eastAsia="Arial" w:hAnsi="Arial"/>
          <w:sz w:val="16"/>
          <w:szCs w:val="16"/>
          <w:color w:val="auto"/>
        </w:rPr>
        <w:t>. If the Board of Employer has determined in good faith that the Employee has failed to comply with the requirements of the Confidentiality, Non-Solicitation and Non-Competition provisions referenced in Section 6 hereof at any time following any termination, other than a termination without Cause under Section 7 or 8, or a termination following or in anticipation of a Change of Control, then Employer may cease payment of and/or cease the provision of any benefits under this Agreement, provided however that should Employee seek to adjudicate the Board’s determination of Employee’s failure to comply, then upon a final adjudication in Employee’s favor, Employer shall immediately pay, in lump sum, all such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52" w:name="page53"/>
    <w:bookmarkEnd w:id="52"/>
    <w:p>
      <w:pPr>
        <w:ind w:right="100"/>
        <w:spacing w:after="0" w:line="277" w:lineRule="auto"/>
        <w:rPr>
          <w:sz w:val="20"/>
          <w:szCs w:val="20"/>
          <w:color w:val="auto"/>
        </w:rPr>
      </w:pPr>
      <w:r>
        <w:rPr>
          <w:rFonts w:ascii="Arial" w:cs="Arial" w:eastAsia="Arial" w:hAnsi="Arial"/>
          <w:sz w:val="18"/>
          <w:szCs w:val="18"/>
          <w:color w:val="auto"/>
        </w:rPr>
        <w:t>obligations and provide all such benefits to Employee, along with any other damages to which Employee is entitled by law or in accordance with Section 10, below.</w:t>
      </w:r>
    </w:p>
    <w:p>
      <w:pPr>
        <w:spacing w:after="0" w:line="62" w:lineRule="exact"/>
        <w:rPr>
          <w:sz w:val="20"/>
          <w:szCs w:val="20"/>
          <w:color w:val="auto"/>
        </w:rPr>
      </w:pPr>
    </w:p>
    <w:p>
      <w:pPr>
        <w:ind w:firstLine="458"/>
        <w:spacing w:after="0" w:line="264" w:lineRule="auto"/>
        <w:tabs>
          <w:tab w:leader="none" w:pos="705" w:val="left"/>
        </w:tabs>
        <w:numPr>
          <w:ilvl w:val="3"/>
          <w:numId w:val="32"/>
        </w:numPr>
        <w:rPr>
          <w:rFonts w:ascii="Arial" w:cs="Arial" w:eastAsia="Arial" w:hAnsi="Arial"/>
          <w:sz w:val="18"/>
          <w:szCs w:val="18"/>
          <w:color w:val="auto"/>
        </w:rPr>
      </w:pPr>
      <w:r>
        <w:rPr>
          <w:rFonts w:ascii="Arial" w:cs="Arial" w:eastAsia="Arial" w:hAnsi="Arial"/>
          <w:sz w:val="18"/>
          <w:szCs w:val="18"/>
          <w:u w:val="single" w:color="auto"/>
          <w:color w:val="auto"/>
        </w:rPr>
        <w:t>Cash in Lieu of Benefits</w:t>
      </w:r>
      <w:r>
        <w:rPr>
          <w:rFonts w:ascii="Arial" w:cs="Arial" w:eastAsia="Arial" w:hAnsi="Arial"/>
          <w:sz w:val="18"/>
          <w:szCs w:val="18"/>
          <w:color w:val="auto"/>
        </w:rPr>
        <w:t>. If any benefit plan pursuant to which Employee is entitled to receive benefits pursuant to this Section 7 shall by its terms not permit participation by Employee following a Termination, then Employer shall pay to Employee at the time such benefits would have been paid the value thereof in cash.</w:t>
      </w:r>
    </w:p>
    <w:p>
      <w:pPr>
        <w:spacing w:after="0" w:line="69" w:lineRule="exact"/>
        <w:rPr>
          <w:rFonts w:ascii="Arial" w:cs="Arial" w:eastAsia="Arial" w:hAnsi="Arial"/>
          <w:sz w:val="18"/>
          <w:szCs w:val="18"/>
          <w:color w:val="auto"/>
        </w:rPr>
      </w:pPr>
    </w:p>
    <w:p>
      <w:pPr>
        <w:ind w:left="420" w:hanging="187"/>
        <w:spacing w:after="0"/>
        <w:tabs>
          <w:tab w:leader="none" w:pos="42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Continuation of Employment Upon Change of Control</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60" w:firstLine="458"/>
        <w:spacing w:after="0" w:line="291" w:lineRule="auto"/>
        <w:tabs>
          <w:tab w:leader="none" w:pos="695" w:val="left"/>
        </w:tabs>
        <w:numPr>
          <w:ilvl w:val="3"/>
          <w:numId w:val="33"/>
        </w:numPr>
        <w:rPr>
          <w:rFonts w:ascii="Arial" w:cs="Arial" w:eastAsia="Arial" w:hAnsi="Arial"/>
          <w:sz w:val="16"/>
          <w:szCs w:val="16"/>
          <w:color w:val="auto"/>
        </w:rPr>
      </w:pPr>
      <w:r>
        <w:rPr>
          <w:rFonts w:ascii="Arial" w:cs="Arial" w:eastAsia="Arial" w:hAnsi="Arial"/>
          <w:sz w:val="16"/>
          <w:szCs w:val="16"/>
          <w:u w:val="single" w:color="auto"/>
          <w:color w:val="auto"/>
        </w:rPr>
        <w:t>Continuation of Employment.</w:t>
      </w:r>
      <w:r>
        <w:rPr>
          <w:rFonts w:ascii="Arial" w:cs="Arial" w:eastAsia="Arial" w:hAnsi="Arial"/>
          <w:sz w:val="16"/>
          <w:szCs w:val="16"/>
          <w:color w:val="auto"/>
        </w:rPr>
        <w:t xml:space="preserve"> Subject to the terms and conditions of this Section 8, in the event of a Change of Control of Employer (as defined in Section 8(d)) at any time during Employee’s employment hereunder, Employee will remain in the employ of Employer for a period of an additional three</w:t>
      </w:r>
    </w:p>
    <w:p>
      <w:pPr>
        <w:ind w:right="60" w:firstLine="8"/>
        <w:spacing w:after="0" w:line="253"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years from the date of such Change of Control (the “Control Change Date”). Employer shall, for the three (3) year period (the “Three-Year Period”) immediately following the Control Change Date, continue to employ Employee at not less than the capacity Employee held immediately prior to the Change of Control. During the Three-Year Period, Employer shall continue to pay Employee salary on the same basis, at the same intervals and at a rate not less than, that paid to Employee at the Control Change Date. Any termination of employment by the Employer following a Control Change Date shall be governed by this Section 8 rather than the provisions of Section 7(a) or 7(b).</w:t>
      </w:r>
    </w:p>
    <w:p>
      <w:pPr>
        <w:spacing w:after="0" w:line="83" w:lineRule="exact"/>
        <w:rPr>
          <w:rFonts w:ascii="Arial" w:cs="Arial" w:eastAsia="Arial" w:hAnsi="Arial"/>
          <w:sz w:val="18"/>
          <w:szCs w:val="18"/>
          <w:color w:val="auto"/>
        </w:rPr>
      </w:pPr>
    </w:p>
    <w:p>
      <w:pPr>
        <w:ind w:right="300" w:firstLine="458"/>
        <w:spacing w:after="0" w:line="277" w:lineRule="auto"/>
        <w:tabs>
          <w:tab w:leader="none" w:pos="705" w:val="left"/>
        </w:tabs>
        <w:numPr>
          <w:ilvl w:val="3"/>
          <w:numId w:val="3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During the Three Year Period, Employee shall be entitled to participate, on the basis of his Employee position, in each of the following plans (together, the “Specified Benefits”) in existence, and in accordance with the terms thereof, at the Control Change Date: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3"/>
          <w:numId w:val="35"/>
        </w:numPr>
        <w:rPr>
          <w:rFonts w:ascii="Arial" w:cs="Arial" w:eastAsia="Arial" w:hAnsi="Arial"/>
          <w:sz w:val="18"/>
          <w:szCs w:val="18"/>
          <w:color w:val="auto"/>
        </w:rPr>
      </w:pPr>
      <w:r>
        <w:rPr>
          <w:rFonts w:ascii="Arial" w:cs="Arial" w:eastAsia="Arial" w:hAnsi="Arial"/>
          <w:sz w:val="18"/>
          <w:szCs w:val="18"/>
          <w:color w:val="auto"/>
        </w:rPr>
        <w:t>any incentive compensation plans;</w:t>
      </w:r>
    </w:p>
    <w:p>
      <w:pPr>
        <w:spacing w:after="0" w:line="130" w:lineRule="exact"/>
        <w:rPr>
          <w:rFonts w:ascii="Arial" w:cs="Arial" w:eastAsia="Arial" w:hAnsi="Arial"/>
          <w:sz w:val="18"/>
          <w:szCs w:val="18"/>
          <w:color w:val="auto"/>
        </w:rPr>
      </w:pPr>
    </w:p>
    <w:p>
      <w:pPr>
        <w:ind w:left="900" w:right="700" w:hanging="446"/>
        <w:spacing w:after="0" w:line="342" w:lineRule="auto"/>
        <w:tabs>
          <w:tab w:leader="none" w:pos="900" w:val="left"/>
        </w:tabs>
        <w:numPr>
          <w:ilvl w:val="3"/>
          <w:numId w:val="36"/>
        </w:numPr>
        <w:rPr>
          <w:rFonts w:ascii="Arial" w:cs="Arial" w:eastAsia="Arial" w:hAnsi="Arial"/>
          <w:sz w:val="16"/>
          <w:szCs w:val="16"/>
          <w:color w:val="auto"/>
        </w:rPr>
      </w:pPr>
      <w:r>
        <w:rPr>
          <w:rFonts w:ascii="Arial" w:cs="Arial" w:eastAsia="Arial" w:hAnsi="Arial"/>
          <w:sz w:val="16"/>
          <w:szCs w:val="16"/>
          <w:color w:val="auto"/>
        </w:rPr>
        <w:t>any benefit plan and trust fund associated therewith, related to (A) life, health, dental, disability, or accidental death and dismemberment insurance, (B) employee stock ownership (such as under the Employer’s ESPP and other stock option plans);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3"/>
          <w:numId w:val="37"/>
        </w:numPr>
        <w:rPr>
          <w:rFonts w:ascii="Arial" w:cs="Arial" w:eastAsia="Arial" w:hAnsi="Arial"/>
          <w:sz w:val="17"/>
          <w:szCs w:val="17"/>
          <w:color w:val="auto"/>
        </w:rPr>
      </w:pPr>
      <w:r>
        <w:rPr>
          <w:rFonts w:ascii="Arial" w:cs="Arial" w:eastAsia="Arial" w:hAnsi="Arial"/>
          <w:sz w:val="17"/>
          <w:szCs w:val="17"/>
          <w:color w:val="auto"/>
        </w:rPr>
        <w:t>any other benefit plans hereafter made generally available to Employees at Employee’s level or to the employees of Employer generally.</w:t>
      </w:r>
    </w:p>
    <w:p>
      <w:pPr>
        <w:spacing w:after="0" w:line="1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addition, all outstanding options held by Employee under any stock option plan of Employer or its affiliates shall become immediately vested on the Control Change Date.</w:t>
      </w:r>
    </w:p>
    <w:p>
      <w:pPr>
        <w:spacing w:after="0" w:line="62" w:lineRule="exact"/>
        <w:rPr>
          <w:sz w:val="20"/>
          <w:szCs w:val="20"/>
          <w:color w:val="auto"/>
        </w:rPr>
      </w:pPr>
    </w:p>
    <w:p>
      <w:pPr>
        <w:ind w:left="700" w:hanging="242"/>
        <w:spacing w:after="0"/>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Employee shall receive payment of any amounts to which he is entitled within five business days of the Control Change Date.</w:t>
      </w:r>
    </w:p>
    <w:p>
      <w:pPr>
        <w:spacing w:after="0" w:line="209"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ind w:left="-120" w:firstLine="458"/>
        <w:spacing w:after="0" w:line="271" w:lineRule="auto"/>
        <w:tabs>
          <w:tab w:leader="none" w:pos="58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Definition of Change of Control.</w:t>
      </w:r>
      <w:r>
        <w:rPr>
          <w:rFonts w:ascii="Arial" w:cs="Arial" w:eastAsia="Arial" w:hAnsi="Arial"/>
          <w:sz w:val="17"/>
          <w:szCs w:val="17"/>
          <w:color w:val="auto"/>
        </w:rPr>
        <w:t xml:space="preserve"> For purposes of this Section, a “Change of Control” shall be considered to have occurred if (i) the stockholders of Employer have approved a merger, consolidation or dissolution of Employer or a sale, lease, exchange or disposition of all or substantially all of Employer’s assets and such transaction has been closed; (ii) less than 75% of the members of the Board shall be individuals who were members of the Board on the Effective Date or whose election or nomination was approved by a vote of at least 75% of the members of the Board then still in office who were either members of the Board on the Effective Date or whose election or nomination was so approved; or (iii) any “person” (as such term is used in Sections 13(d) and 14(d) of the U.S. Securities Exchange Act of 1934 (the “Exchange Act”) shall have become “beneficial owner” (as defined in Rule 13d-3 under the Exchange Act) directly or indirectly of securities of Employer representing 40% or more (calculated in accordance with Rule 13d-3) of the aggregate voting power of Employer’s then outstanding voting securities.</w:t>
      </w:r>
    </w:p>
    <w:p>
      <w:pPr>
        <w:spacing w:after="0" w:line="70" w:lineRule="exact"/>
        <w:rPr>
          <w:rFonts w:ascii="Arial" w:cs="Arial" w:eastAsia="Arial" w:hAnsi="Arial"/>
          <w:sz w:val="17"/>
          <w:szCs w:val="17"/>
          <w:color w:val="auto"/>
        </w:rPr>
      </w:pPr>
    </w:p>
    <w:p>
      <w:pPr>
        <w:ind w:left="-120" w:firstLine="458"/>
        <w:spacing w:after="0" w:line="268" w:lineRule="auto"/>
        <w:tabs>
          <w:tab w:leader="none" w:pos="5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8, at any time after the Control Change Date, Employer may terminate the employment of Employee without Cause (the “Termination”), but within five days of the Termination, it shall pay to Employee his full Base Salary through the Termination, to the extent not theretofore paid, plus a lump sum amount (the “Special Severance Payment”) equal to the product (discounted to the then present value on the basis of a rate of 7.5% per annum) of his annual Base Salary specified in Section 3 hereof multiplied by the number of years and any portion thereof remaining in the Three-Year Period (or if the remaining term in the Three-Year Period after the Termination is less than two years, for two years — the “Extended Period”). Specified Benefits to which Employee was entitled immediately prior to Termination shall continue until the end of the Three Year Period (or the Extended Period, if applicable); provided that: (i) if any plan pursuant to which Specified Benefits are provided immediately prior to Termination would not permit continued participation by Employee after Termination, then Employer shall pay to Employee within five days after Termination a lump sum payment equal to the amount of Specified Benefits Employee would have received if Employee had been fully vested an a continuing participant in such plan to the end of the Three-Year Period or the Extended Period, if applicable; and (ii) if Employee obtains new employment following Termination, then following any waiting period applicable to participation in any plan of the new employer, Employee shall continue to be entitled to receive benefits pursuant to this sentence only to the extent such benefits would exceed those available to Employee under comparable plans of the Employee’s new employer (but Employee shall not be required to repay any amounts then already received by him).</w:t>
      </w:r>
    </w:p>
    <w:p>
      <w:pPr>
        <w:spacing w:after="0" w:line="79" w:lineRule="exact"/>
        <w:rPr>
          <w:rFonts w:ascii="Arial" w:cs="Arial" w:eastAsia="Arial" w:hAnsi="Arial"/>
          <w:sz w:val="17"/>
          <w:szCs w:val="17"/>
          <w:color w:val="auto"/>
        </w:rPr>
      </w:pPr>
    </w:p>
    <w:p>
      <w:pPr>
        <w:ind w:left="-120" w:right="100" w:firstLine="458"/>
        <w:spacing w:after="0" w:line="255" w:lineRule="auto"/>
        <w:tabs>
          <w:tab w:leader="none" w:pos="55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Resignation following a Change of Control.</w:t>
      </w:r>
      <w:r>
        <w:rPr>
          <w:rFonts w:ascii="Arial" w:cs="Arial" w:eastAsia="Arial" w:hAnsi="Arial"/>
          <w:sz w:val="18"/>
          <w:szCs w:val="18"/>
          <w:color w:val="auto"/>
        </w:rPr>
        <w:t xml:space="preserve"> In the event of a Change of Control of Employer, thereafter, for “good reason” (as defined below), Employee may, at any time during the Three Year Period, in his sole discretion, on not less than thirty (30) days’ written notice and effective at the end of such notice period, resign his employment with Employer (the “Resignation”). Within five days of such a Resignation, Employer shall pay to Employee his full Base Salary through the effective date of such Resignation, to the extent not theretofore paid, plus a lump sum amount equal to the Special Severance Payment (computed as provided in the first sentence of Section 8(e), except that for purposes of such computation all references to “Termination” shall be deemed to be references to “Resignation”). Upon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360" w:top="936" w:right="339" w:bottom="1440" w:gutter="0" w:footer="0" w:header="0"/>
        </w:sectPr>
      </w:pPr>
    </w:p>
    <w:bookmarkStart w:id="54" w:name="page55"/>
    <w:bookmarkEnd w:id="54"/>
    <w:p>
      <w:pPr>
        <w:spacing w:after="0" w:line="287" w:lineRule="auto"/>
        <w:rPr>
          <w:sz w:val="20"/>
          <w:szCs w:val="20"/>
          <w:color w:val="auto"/>
        </w:rPr>
      </w:pPr>
      <w:r>
        <w:rPr>
          <w:rFonts w:ascii="Arial" w:cs="Arial" w:eastAsia="Arial" w:hAnsi="Arial"/>
          <w:sz w:val="16"/>
          <w:szCs w:val="16"/>
          <w:color w:val="auto"/>
        </w:rPr>
        <w:t>Resignation of Employee, Specified Benefits to which Employee was entitled immediately prior to Resignation shall continue on the same terms and conditions as provided in Section 8(e) in the case of Termination (including equivalent payments provided for therein). For purposes of this Agreement, “good reason” shall mean the occurrence of one of the following occurrences: (i) a significant diminution in the nature or scope of Employee’s authority, title, responsibilities or duties, unless Employee is given new authority or duties that are substantially comparable to Employee’s previous authority or duties; (ii) a reduction in Employee’s then-current Base Salary, or a significant reduction in Employee’s opportunities for earnings, or the termination or significant reduction of any Employee benefit or perquisite enjoyed by him; (iii) a change in Employee’s place of employment such that Employee is required to work more than fifty (50) miles from Employee’s then current place of employment; (iv) the failure of Employer to obtain an assumption in writing of its obligation to perform this Agreement by any successor to all or substantially all of the assets of Employer within forty-five (45) days after a merger, consolidation, sale or similar transaction; or (v) any material breach of this Agreement by Employer, provided however that to the extent Employee believes that Employer has engaged in a material breach of this Agreement, Employee shall provide Employer with ten (10) calendar days notice of such material breach and allow Employer to attempt to cure the alleged breach during that ten (10) day time period. Only upon expiration of the ten (10) day time period, if Employee believes that Employer has not sufficiently cured the alleged breach may Employee issue the notice of Resignation for “good reason” described above).</w:t>
      </w:r>
    </w:p>
    <w:p>
      <w:pPr>
        <w:spacing w:after="0" w:line="61" w:lineRule="exact"/>
        <w:rPr>
          <w:sz w:val="20"/>
          <w:szCs w:val="20"/>
          <w:color w:val="auto"/>
        </w:rPr>
      </w:pPr>
    </w:p>
    <w:p>
      <w:pPr>
        <w:ind w:left="720" w:hanging="26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Mitigation and Expenses.</w:t>
      </w:r>
    </w:p>
    <w:p>
      <w:pPr>
        <w:spacing w:after="0" w:line="117" w:lineRule="exact"/>
        <w:rPr>
          <w:rFonts w:ascii="Arial" w:cs="Arial" w:eastAsia="Arial" w:hAnsi="Arial"/>
          <w:sz w:val="18"/>
          <w:szCs w:val="18"/>
          <w:color w:val="auto"/>
        </w:rPr>
      </w:pPr>
    </w:p>
    <w:p>
      <w:pPr>
        <w:ind w:right="220" w:firstLine="683"/>
        <w:spacing w:after="0" w:line="286" w:lineRule="auto"/>
        <w:tabs>
          <w:tab w:leader="none" w:pos="890"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Other Employment.</w:t>
      </w:r>
      <w:r>
        <w:rPr>
          <w:rFonts w:ascii="Arial" w:cs="Arial" w:eastAsia="Arial" w:hAnsi="Arial"/>
          <w:sz w:val="17"/>
          <w:szCs w:val="17"/>
          <w:color w:val="auto"/>
        </w:rPr>
        <w:t xml:space="preserve"> After the Control Change Date, Employee shall not be required to mitigate the amount of any payment provided for in this Agreement by seeking other employment or otherwise and except as expressly set forth herein no such other employment, if obtained, or compensation or benefits payable in connection therewith shall reduce any amounts or benefits to which Employee is entitled hereunder.</w:t>
      </w:r>
    </w:p>
    <w:p>
      <w:pPr>
        <w:spacing w:after="0" w:line="57" w:lineRule="exact"/>
        <w:rPr>
          <w:rFonts w:ascii="Arial" w:cs="Arial" w:eastAsia="Arial" w:hAnsi="Arial"/>
          <w:sz w:val="17"/>
          <w:szCs w:val="17"/>
          <w:color w:val="auto"/>
        </w:rPr>
      </w:pPr>
    </w:p>
    <w:p>
      <w:pPr>
        <w:ind w:right="40" w:firstLine="683"/>
        <w:spacing w:after="0" w:line="276" w:lineRule="auto"/>
        <w:tabs>
          <w:tab w:leader="none" w:pos="940"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If any dispute should arise under this Agreement after the Control Change Date involving an effort by Employee to protect, enforce or secure rights or benefits claimed by Employee hereunder, Employer shall pay (promptly upon demand by Employee accompanied by reasonable evidence of incurrence) all reasonable expenses (including attorney’s fees) incurred by Employee in connection with such dispute, without regard to whether Employee prevails in such dispute except that Employee shall repay Employer any amounts so received if a court having jurisdiction shall make a final, non-appealable determination that Employee acted frivolously or in bad faith by such dispute</w:t>
      </w:r>
    </w:p>
    <w:p>
      <w:pPr>
        <w:spacing w:after="0" w:line="64" w:lineRule="exact"/>
        <w:rPr>
          <w:rFonts w:ascii="Arial" w:cs="Arial" w:eastAsia="Arial" w:hAnsi="Arial"/>
          <w:sz w:val="17"/>
          <w:szCs w:val="17"/>
          <w:color w:val="auto"/>
        </w:rPr>
      </w:pPr>
    </w:p>
    <w:p>
      <w:pPr>
        <w:ind w:right="40" w:firstLine="458"/>
        <w:spacing w:after="0" w:line="259"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xml:space="preserve"> The rights and obligations of Employer and Employee under this Section 8 shall inure to the benefit of and be binding in each and every respect upon the direct and indirect successors and assigns of Employer and Employee, regardless of the manner in which such successors or assigns shall succeed to the interest of Employer or Employee hereunder and this Section 8 shall not be terminated by the voluntary or involuntary dissolution of Employer or any merger or consolidation or acquisition involving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ind w:right="120"/>
        <w:spacing w:after="0" w:line="264" w:lineRule="auto"/>
        <w:rPr>
          <w:sz w:val="20"/>
          <w:szCs w:val="20"/>
          <w:color w:val="auto"/>
        </w:rPr>
      </w:pPr>
      <w:r>
        <w:rPr>
          <w:rFonts w:ascii="Arial" w:cs="Arial" w:eastAsia="Arial" w:hAnsi="Arial"/>
          <w:sz w:val="18"/>
          <w:szCs w:val="18"/>
          <w:color w:val="auto"/>
        </w:rPr>
        <w:t>Employer, or upon any transfer of all or substantially all of Employer’s assets, or terminated otherwise than in accordance with its terms. In the event of any such merger or consolidation or transfer of assets, the provision of this Section 8 shall be binding upon and shall inure to the benefit of the surviving corporation or the corporation or other person to which such assets shall be transferred.</w:t>
      </w:r>
    </w:p>
    <w:p>
      <w:pPr>
        <w:spacing w:after="0" w:line="69" w:lineRule="exact"/>
        <w:rPr>
          <w:sz w:val="20"/>
          <w:szCs w:val="20"/>
          <w:color w:val="auto"/>
        </w:rPr>
      </w:pPr>
    </w:p>
    <w:p>
      <w:pPr>
        <w:ind w:right="240" w:firstLine="233"/>
        <w:spacing w:after="0" w:line="266" w:lineRule="auto"/>
        <w:tabs>
          <w:tab w:leader="none" w:pos="40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Deductions and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Employer may withhold from any and all payments required to be made by Employer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 this Agreement all taxes or other amounts that Employer is required by law to withhold in accordance with applicable laws or regulations from time to time in effect.</w:t>
      </w:r>
    </w:p>
    <w:p>
      <w:pPr>
        <w:spacing w:after="0" w:line="68" w:lineRule="exact"/>
        <w:rPr>
          <w:rFonts w:ascii="Arial" w:cs="Arial" w:eastAsia="Arial" w:hAnsi="Arial"/>
          <w:sz w:val="18"/>
          <w:szCs w:val="18"/>
          <w:b w:val="1"/>
          <w:bCs w:val="1"/>
          <w:color w:val="auto"/>
        </w:rPr>
      </w:pPr>
    </w:p>
    <w:p>
      <w:pPr>
        <w:ind w:firstLine="233"/>
        <w:spacing w:after="0" w:line="291" w:lineRule="auto"/>
        <w:tabs>
          <w:tab w:leader="none" w:pos="495"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Arbitration</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dispute arises between the Parties concerning this Agreement or any of the obligations hereunder, or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generally, Employer and Employee shall use their best efforts to resolve the dispute by mutual agreement. If any dispute cannot be resolved by Employer and Employee, it shall be submitted to arbitration in Kansas City, Missouri, to the exclusion of all other avenues of relief and adjudicated pursuant to the American Arbitration Association’s Rules for Employment Dispute Resolution then in effect. The decision of the arbitrator must be in writing and shall be final and binding on the Parties, and judgment may be entered on the arbitrator’s award in any court having jurisdiction thereof. The expenses of the arbitration shall be borne by the losing Party to the arbitration and the prevailing Party shall be entitled to recover from the losing Party all of its or Employee’s own costs and attorney’s fees with respect to the arbitration (except as set forth in Section 8(g)(ii), above. Nothing in this Section 10 shall be construed to derogate Employer’s rights to seek legal and equitable relief in a court of competent jurisdiction as contemplated by Section 6(h).</w:t>
      </w:r>
    </w:p>
    <w:p>
      <w:pPr>
        <w:spacing w:after="0" w:line="52" w:lineRule="exact"/>
        <w:rPr>
          <w:rFonts w:ascii="Arial" w:cs="Arial" w:eastAsia="Arial" w:hAnsi="Arial"/>
          <w:sz w:val="16"/>
          <w:szCs w:val="16"/>
          <w:b w:val="1"/>
          <w:bCs w:val="1"/>
          <w:color w:val="auto"/>
        </w:rPr>
      </w:pPr>
    </w:p>
    <w:p>
      <w:pPr>
        <w:ind w:right="180" w:firstLine="233"/>
        <w:spacing w:after="0" w:line="289" w:lineRule="auto"/>
        <w:tabs>
          <w:tab w:leader="none" w:pos="485"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b w:val="1"/>
          <w:bCs w:val="1"/>
          <w:color w:val="auto"/>
        </w:rPr>
        <w:t xml:space="preserve">. </w:t>
      </w:r>
      <w:r>
        <w:rPr>
          <w:rFonts w:ascii="Arial" w:cs="Arial" w:eastAsia="Arial" w:hAnsi="Arial"/>
          <w:sz w:val="17"/>
          <w:szCs w:val="17"/>
          <w:color w:val="auto"/>
        </w:rPr>
        <w:t>It is understood and agreed that one Party’s failure at any time to require the performance by the other Party of any of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covenants or conditions hereof shall in no way affect the first Party’s right thereafter to enforce the same, nor shall the waiver by either Party of the breach of any term, provision, covenant or condition hereof be taken or held to be a waiver of any succeeding breach.</w:t>
      </w:r>
    </w:p>
    <w:p>
      <w:pPr>
        <w:spacing w:after="0" w:line="50" w:lineRule="exact"/>
        <w:rPr>
          <w:rFonts w:ascii="Arial" w:cs="Arial" w:eastAsia="Arial" w:hAnsi="Arial"/>
          <w:sz w:val="17"/>
          <w:szCs w:val="17"/>
          <w:b w:val="1"/>
          <w:bCs w:val="1"/>
          <w:color w:val="auto"/>
        </w:rPr>
      </w:pPr>
    </w:p>
    <w:p>
      <w:pPr>
        <w:ind w:right="40" w:firstLine="233"/>
        <w:spacing w:after="0" w:line="266" w:lineRule="auto"/>
        <w:tabs>
          <w:tab w:leader="none" w:pos="49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conflicts with the law under which this Agreement is to be construed, or if any such provision is held</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by a court of competent jurisdiction or any arbitrator, such provision shall be deleted from this Agreement and the Agreement shall be construed to give full effect to the remaining provisions thereof.</w:t>
      </w:r>
    </w:p>
    <w:p>
      <w:pPr>
        <w:spacing w:after="0" w:line="68" w:lineRule="exact"/>
        <w:rPr>
          <w:rFonts w:ascii="Arial" w:cs="Arial" w:eastAsia="Arial" w:hAnsi="Arial"/>
          <w:sz w:val="18"/>
          <w:szCs w:val="18"/>
          <w:b w:val="1"/>
          <w:bCs w:val="1"/>
          <w:color w:val="auto"/>
        </w:rPr>
      </w:pPr>
    </w:p>
    <w:p>
      <w:pPr>
        <w:ind w:right="40" w:firstLine="233"/>
        <w:spacing w:after="0" w:line="289" w:lineRule="auto"/>
        <w:tabs>
          <w:tab w:leader="none" w:pos="495"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Survivability</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provided herein, upon termination or expiration of the Term, the provisions of Sections 6 through 18 hereof shall</w:t>
      </w:r>
      <w:r>
        <w:rPr>
          <w:rFonts w:ascii="Arial" w:cs="Arial" w:eastAsia="Arial" w:hAnsi="Arial"/>
          <w:sz w:val="17"/>
          <w:szCs w:val="17"/>
          <w:b w:val="1"/>
          <w:bCs w:val="1"/>
          <w:color w:val="auto"/>
        </w:rPr>
        <w:t xml:space="preserve"> </w:t>
      </w:r>
      <w:r>
        <w:rPr>
          <w:rFonts w:ascii="Arial" w:cs="Arial" w:eastAsia="Arial" w:hAnsi="Arial"/>
          <w:sz w:val="17"/>
          <w:szCs w:val="17"/>
          <w:color w:val="auto"/>
        </w:rPr>
        <w:t>nevertheless remain in full force and effect but shall under no circumstances extend the Term of this Agreement (or the Employee’s right to accrue additional benefits beyond the expiration of the Term as determined in accordance with Section 1 but without regard to this Section)..</w:t>
      </w:r>
    </w:p>
    <w:p>
      <w:pPr>
        <w:spacing w:after="0" w:line="50" w:lineRule="exact"/>
        <w:rPr>
          <w:rFonts w:ascii="Arial" w:cs="Arial" w:eastAsia="Arial" w:hAnsi="Arial"/>
          <w:sz w:val="17"/>
          <w:szCs w:val="17"/>
          <w:b w:val="1"/>
          <w:bCs w:val="1"/>
          <w:color w:val="auto"/>
        </w:rPr>
      </w:pPr>
    </w:p>
    <w:p>
      <w:pPr>
        <w:ind w:left="500" w:hanging="267"/>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construed and governed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according to the laws of the State of Delaware without regard to the conflict of law provisions thereof.</w:t>
      </w:r>
    </w:p>
    <w:p>
      <w:pPr>
        <w:spacing w:after="0" w:line="113" w:lineRule="exact"/>
        <w:rPr>
          <w:sz w:val="20"/>
          <w:szCs w:val="20"/>
          <w:color w:val="auto"/>
        </w:rPr>
      </w:pPr>
    </w:p>
    <w:p>
      <w:pPr>
        <w:ind w:right="160" w:firstLine="233"/>
        <w:spacing w:after="0" w:line="347" w:lineRule="auto"/>
        <w:tabs>
          <w:tab w:leader="none" w:pos="495"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Section headings and captions contained in this Agreement are for convenience only and shall not be construed to define, limit or</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scope or meaning of the provisions hereof. All references herein to Sections shall be deemed to refer to numbered sections of this Agreement.</w:t>
      </w:r>
    </w:p>
    <w:p>
      <w:pPr>
        <w:spacing w:after="0" w:line="8" w:lineRule="exact"/>
        <w:rPr>
          <w:rFonts w:ascii="Arial" w:cs="Arial" w:eastAsia="Arial" w:hAnsi="Arial"/>
          <w:sz w:val="16"/>
          <w:szCs w:val="16"/>
          <w:b w:val="1"/>
          <w:bCs w:val="1"/>
          <w:color w:val="auto"/>
        </w:rPr>
      </w:pPr>
    </w:p>
    <w:p>
      <w:pPr>
        <w:ind w:right="340" w:firstLine="233"/>
        <w:spacing w:after="0" w:line="258" w:lineRule="auto"/>
        <w:tabs>
          <w:tab w:leader="none" w:pos="49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contains and represents the entire agreement of Employer and Employee and supersedes all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understandings, oral or written, express or implied with respect to the subject matter hereof. This Agreement may not be modified or amended in any way unless in a writing signed by each of Employer and Employee. No representation, promise or inducement has been made by either Employer or Employee that is not embodied in this Agreement, and neither Employer nor Employee shall be bound by or liable for any alleged representation, promise or inducement not specifically set forth herein.</w:t>
      </w:r>
    </w:p>
    <w:p>
      <w:pPr>
        <w:spacing w:after="0" w:line="75" w:lineRule="exact"/>
        <w:rPr>
          <w:rFonts w:ascii="Arial" w:cs="Arial" w:eastAsia="Arial" w:hAnsi="Arial"/>
          <w:sz w:val="18"/>
          <w:szCs w:val="18"/>
          <w:b w:val="1"/>
          <w:bCs w:val="1"/>
          <w:color w:val="auto"/>
        </w:rPr>
      </w:pPr>
    </w:p>
    <w:p>
      <w:pPr>
        <w:ind w:right="160" w:firstLine="233"/>
        <w:spacing w:after="0" w:line="266" w:lineRule="auto"/>
        <w:tabs>
          <w:tab w:leader="none" w:pos="49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Agreement nor any rights or obligations of Employer or Employee hereunder may be assigned by Employer or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other Party’s prior written consent. Subject to the foregoing, this Agreement shall be binding upon and inure to the benefit of Employer and Employee and their heirs, successors and assigns.</w:t>
      </w:r>
    </w:p>
    <w:p>
      <w:pPr>
        <w:spacing w:after="0" w:line="68" w:lineRule="exact"/>
        <w:rPr>
          <w:rFonts w:ascii="Arial" w:cs="Arial" w:eastAsia="Arial" w:hAnsi="Arial"/>
          <w:sz w:val="18"/>
          <w:szCs w:val="18"/>
          <w:b w:val="1"/>
          <w:bCs w:val="1"/>
          <w:color w:val="auto"/>
        </w:rPr>
      </w:pPr>
    </w:p>
    <w:p>
      <w:pPr>
        <w:ind w:firstLine="233"/>
        <w:spacing w:after="0" w:line="266" w:lineRule="auto"/>
        <w:tabs>
          <w:tab w:leader="none" w:pos="49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hereunder shall be in writing and shall be deemed properly given if delivered personally or sent by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or registered mail, postage prepaid, return receipt requested, or sent by telegram, telex, telecopy or similar form of telecommunication, and shall be deemed to have been given when received. Any such notice or communication shall be addressed:</w:t>
      </w:r>
    </w:p>
    <w:p>
      <w:pPr>
        <w:sectPr>
          <w:pgSz w:w="11900" w:h="16838" w:orient="portrait"/>
          <w:cols w:equalWidth="0" w:num="1">
            <w:col w:w="11400"/>
          </w:cols>
          <w:pgMar w:left="240" w:top="935" w:right="259" w:bottom="1440" w:gutter="0" w:footer="0" w:header="0"/>
        </w:sectPr>
      </w:pPr>
    </w:p>
    <w:p>
      <w:pPr>
        <w:spacing w:after="0" w:line="18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if to Employer, to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if to Employee,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4601 College Boulevard, Ste.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Leawood, Kansas 66211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Juan C. Bianchi</w:t>
      </w:r>
    </w:p>
    <w:p>
      <w:pPr>
        <w:spacing w:after="0" w:line="103" w:lineRule="exact"/>
        <w:rPr>
          <w:sz w:val="20"/>
          <w:szCs w:val="20"/>
          <w:color w:val="auto"/>
        </w:rPr>
      </w:pPr>
    </w:p>
    <w:p>
      <w:pPr>
        <w:sectPr>
          <w:pgSz w:w="11900" w:h="16838" w:orient="portrait"/>
          <w:cols w:equalWidth="0" w:num="2">
            <w:col w:w="5560" w:space="720"/>
            <w:col w:w="5120"/>
          </w:cols>
          <w:pgMar w:left="240" w:top="935" w:right="259" w:bottom="1440" w:gutter="0" w:footer="0" w:header="0"/>
          <w:type w:val="continuous"/>
        </w:sectPr>
      </w:pPr>
    </w:p>
    <w:p>
      <w:pPr>
        <w:spacing w:after="0"/>
        <w:rPr>
          <w:sz w:val="20"/>
          <w:szCs w:val="20"/>
          <w:color w:val="auto"/>
        </w:rPr>
      </w:pPr>
      <w:r>
        <w:rPr>
          <w:rFonts w:ascii="Arial" w:cs="Arial" w:eastAsia="Arial" w:hAnsi="Arial"/>
          <w:sz w:val="16"/>
          <w:szCs w:val="16"/>
          <w:color w:val="auto"/>
        </w:rPr>
        <w:t>or to such other address as Employer or Employee shall have furnished to the other in writing.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57" w:name="page58"/>
    <w:bookmarkEnd w:id="57"/>
    <w:p>
      <w:pPr>
        <w:jc w:val="center"/>
        <w:ind w:right="759"/>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duly executed this Agreement, to be effective as of the date first above written.</w:t>
      </w:r>
    </w:p>
    <w:p>
      <w:pPr>
        <w:spacing w:after="0" w:line="24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right="4839"/>
        <w:spacing w:after="0" w:line="266" w:lineRule="auto"/>
        <w:rPr>
          <w:sz w:val="20"/>
          <w:szCs w:val="20"/>
          <w:color w:val="auto"/>
        </w:rPr>
      </w:pPr>
      <w:r>
        <w:rPr>
          <w:rFonts w:ascii="Arial" w:cs="Arial" w:eastAsia="Arial" w:hAnsi="Arial"/>
          <w:sz w:val="18"/>
          <w:szCs w:val="18"/>
          <w:color w:val="auto"/>
        </w:rPr>
        <w:t>/s/ Juan C. Bianchi a Delaware Corporation Juan C.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2383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14605</wp:posOffset>
            </wp:positionV>
            <wp:extent cx="14922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By: Michael J. Brown</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Its: Chairman and Chief Executive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2" w:right="1440"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u w:val="single" w:color="auto"/>
          <w:color w:val="auto"/>
        </w:rPr>
        <w:t>Schedule 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Vesting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stock referred to in Section 3(b)(i) shall vest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 Vest Restricted Stock</w:t>
      </w:r>
      <w:r>
        <w:rPr>
          <w:rFonts w:ascii="Arial" w:cs="Arial" w:eastAsia="Arial" w:hAnsi="Arial"/>
          <w:sz w:val="18"/>
          <w:szCs w:val="18"/>
          <w:color w:val="auto"/>
        </w:rPr>
        <w:t xml:space="preserve"> :</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Restricted stock with an aggregate value of $1,500,000 will be subject to time-based vesting over 5 years (“Time Vest Restricted Stock”). Each year, on the anniversary of the date on which the restricted stock was awarded (each such date, a “Annual Vest Date,”) 20% of the shares awarded shall vest to the Employee, provided he shall have remained in continuous employment with Employer until such Annual Vest Date (including but not limited to the duration of the Term and the duration of the Severance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Vest Restricted Stock – Tranche A:</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Restricted stock with an aggregate value of $1,500,000 will be subject to performance based vesting over 5 years (“Performance Vest Restricted Stock – Tranche A”) as follows: Each year, on the anniversary of the date on which the restricted stock was awarded (each such date, a “Annual Vest Date”) 20% of the shares awarded shall vest to the Employee, provided that (i) he shall have remained in continuous employment with Employer until such Annual Vest Date (including but not limited to the duration of the Term and the duration of the Severance Period) and (ii) EBITDA of Ria Envia, Inc., as determined in the next paragraph, shall have increased 10% or more during the 12 month calendar period closed prior to each Annual Vest Date, as compared with the previous year’s EBITDA.</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EBITDA shall be determined exclusive of intercompany profits and in United States dollars. For the avoidance of doubt, EBITDA represents “Operating Income” of Ria Envia Inc. and its consolidated subsidiaries as disclosed in Employer’s financial statements filed with the Securities and Exchange Commission (excluding the impact of acquisitions closed after April 5, , 2007, intercompany profits and depreciation and amortization), after deduction of all direct costs, salaries (including bonuses paid or accrued), applicable share-based compensation, benefits and selling, general and administrative expense incurred by, or allocated to, the Ria Envia, Inc. EBITDA shall be determined by the Compensation Committee of the Board of Directors of the Employer on or before each Annual Vest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Vest Restricted Stock – Tranche B.</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Restricted stock with an aggregate value of $3,500,000 will be subject to performance based vesting over 5 years (“Performance Vest Restricted Stock – Tranche B”) as follows: Each year, on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59" w:name="page60"/>
    <w:bookmarkEnd w:id="59"/>
    <w:p>
      <w:pPr>
        <w:ind w:right="60"/>
        <w:spacing w:after="0" w:line="264" w:lineRule="auto"/>
        <w:rPr>
          <w:sz w:val="20"/>
          <w:szCs w:val="20"/>
          <w:color w:val="auto"/>
        </w:rPr>
      </w:pPr>
      <w:r>
        <w:rPr>
          <w:rFonts w:ascii="Arial" w:cs="Arial" w:eastAsia="Arial" w:hAnsi="Arial"/>
          <w:sz w:val="18"/>
          <w:szCs w:val="18"/>
          <w:color w:val="auto"/>
        </w:rPr>
        <w:t>anniversary of the date on which the restricted stock was awarded (each such date, a “Annual Vest Date”) 20% of the shares awarded shall vest to the Employee, provided that (i) he shall have remained in continuous employment with Employer until such Annual Vest Date (including but not limited to the duration of the Term and the duration of the Severance Period) and (ii) the following targets are met:</w:t>
      </w:r>
    </w:p>
    <w:p>
      <w:pPr>
        <w:spacing w:after="0" w:line="73" w:lineRule="exact"/>
        <w:rPr>
          <w:sz w:val="20"/>
          <w:szCs w:val="20"/>
          <w:color w:val="auto"/>
        </w:rPr>
      </w:pPr>
    </w:p>
    <w:p>
      <w:pPr>
        <w:jc w:val="both"/>
        <w:ind w:right="220" w:firstLine="233"/>
        <w:spacing w:after="0" w:line="312" w:lineRule="auto"/>
        <w:tabs>
          <w:tab w:leader="none" w:pos="47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the first Annual Vest Date, Ria Envia Inc., on a consolidated basis (exclusive of the impact of acquisitions closed subsequent to April 5 , 2007) achieves EBITDA as defined above totalling at least 90% of the EBITDA growth projected for Ria Envia Inc. in the financial plan included in the Credit Suisse Confidential Information Memorandum relating to the sale of Ria Envia Inc. (“Projected Ria Growth”) for the year ended December 31, 2007.</w:t>
      </w:r>
    </w:p>
    <w:p>
      <w:pPr>
        <w:spacing w:after="0" w:line="38" w:lineRule="exact"/>
        <w:rPr>
          <w:rFonts w:ascii="Arial" w:cs="Arial" w:eastAsia="Arial" w:hAnsi="Arial"/>
          <w:sz w:val="16"/>
          <w:szCs w:val="16"/>
          <w:color w:val="auto"/>
        </w:rPr>
      </w:pPr>
    </w:p>
    <w:p>
      <w:pPr>
        <w:ind w:firstLine="233"/>
        <w:spacing w:after="0" w:line="277"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the second Annual Vest Date, Ria Envia Inc., on a consolidated basis (exclusive of the impact of acquisitions closed subsequent to April 5, , 2007) achieves EBITDA as defined above totalling at least 90% of Projected Ria Growth for the year ended December 31, 2008</w:t>
      </w:r>
    </w:p>
    <w:p>
      <w:pPr>
        <w:spacing w:after="0" w:line="62" w:lineRule="exact"/>
        <w:rPr>
          <w:rFonts w:ascii="Arial" w:cs="Arial" w:eastAsia="Arial" w:hAnsi="Arial"/>
          <w:sz w:val="18"/>
          <w:szCs w:val="18"/>
          <w:color w:val="auto"/>
        </w:rPr>
      </w:pPr>
    </w:p>
    <w:p>
      <w:pPr>
        <w:ind w:right="340" w:firstLine="233"/>
        <w:spacing w:after="0" w:line="277" w:lineRule="auto"/>
        <w:tabs>
          <w:tab w:leader="none" w:pos="4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each of the third through the fifth Annual Vest Dates, if Ria Envia Inc., on a consolidated basis (exclusive of the impact of acquisitions closed subsequent to April 5,, 2007) achieves EBITDA for each year that is at least 15% higher than the previous year.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935" w:right="4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22"/>
        </w:trPr>
        <w:tc>
          <w:tcPr>
            <w:tcW w:w="4280" w:type="dxa"/>
            <w:vAlign w:val="bottom"/>
          </w:tcPr>
          <w:p>
            <w:pPr>
              <w:spacing w:after="0"/>
              <w:rPr>
                <w:sz w:val="24"/>
                <w:szCs w:val="24"/>
                <w:color w:val="auto"/>
              </w:rPr>
            </w:pPr>
          </w:p>
        </w:tc>
        <w:tc>
          <w:tcPr>
            <w:tcW w:w="33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rPr>
              <w:t>EURONET WORLDWIDE,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80" w:type="dxa"/>
            <w:vAlign w:val="bottom"/>
            <w:gridSpan w:val="10"/>
          </w:tcPr>
          <w:p>
            <w:pPr>
              <w:jc w:val="center"/>
              <w:ind w:left="2051"/>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23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3"/>
              </w:rPr>
              <w:t>(Unaudited)</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280" w:type="dxa"/>
            <w:vAlign w:val="bottom"/>
            <w:vMerge w:val="restart"/>
          </w:tcPr>
          <w:p>
            <w:pPr>
              <w:spacing w:after="0"/>
              <w:rPr>
                <w:sz w:val="20"/>
                <w:szCs w:val="20"/>
                <w:color w:val="auto"/>
              </w:rPr>
            </w:pPr>
            <w:r>
              <w:rPr>
                <w:rFonts w:ascii="Arial" w:cs="Arial" w:eastAsia="Arial" w:hAnsi="Arial"/>
                <w:sz w:val="14"/>
                <w:szCs w:val="14"/>
                <w:color w:val="auto"/>
              </w:rPr>
              <w:t>(dollar amounts in thousands)</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24"/>
                <w:szCs w:val="24"/>
                <w:color w:val="auto"/>
              </w:rPr>
            </w:pPr>
          </w:p>
        </w:tc>
        <w:tc>
          <w:tcPr>
            <w:tcW w:w="200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auto"/>
            </w:tcBorders>
            <w:vMerge w:val="continue"/>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640" w:type="dxa"/>
            <w:vAlign w:val="bottom"/>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Pretax income from continuing operations before adjustment for minority</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interest or income from unconsolidated subsidiaries</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13,571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14,751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26,840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27,762</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Add:</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4,155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12,736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Adjusted p retax income</w:t>
            </w:r>
          </w:p>
        </w:tc>
        <w:tc>
          <w:tcPr>
            <w:tcW w:w="2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18,906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39,576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20"/>
              <w:spacing w:after="0"/>
              <w:rPr>
                <w:sz w:val="20"/>
                <w:szCs w:val="20"/>
                <w:color w:val="auto"/>
              </w:rPr>
            </w:pPr>
            <w:r>
              <w:rPr>
                <w:rFonts w:ascii="Arial" w:cs="Arial" w:eastAsia="Arial" w:hAnsi="Arial"/>
                <w:sz w:val="18"/>
                <w:szCs w:val="18"/>
                <w:color w:val="auto"/>
              </w:rPr>
              <w:t>Interest exp ense</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7,782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3,656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11,363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 of interest within rental exp ense</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3"/>
        </w:trPr>
        <w:tc>
          <w:tcPr>
            <w:tcW w:w="4280" w:type="dxa"/>
            <w:vAlign w:val="bottom"/>
          </w:tcPr>
          <w:p>
            <w:pPr>
              <w:ind w:left="420"/>
              <w:spacing w:after="0"/>
              <w:rPr>
                <w:sz w:val="20"/>
                <w:szCs w:val="20"/>
                <w:color w:val="auto"/>
              </w:rPr>
            </w:pPr>
            <w:r>
              <w:rPr>
                <w:rFonts w:ascii="Arial" w:cs="Arial" w:eastAsia="Arial" w:hAnsi="Arial"/>
                <w:sz w:val="18"/>
                <w:szCs w:val="18"/>
                <w:color w:val="auto"/>
              </w:rPr>
              <w:t>Total fixed charges</w:t>
            </w:r>
          </w:p>
        </w:tc>
        <w:tc>
          <w:tcPr>
            <w:tcW w:w="2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12,736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 of earnings to fixed charges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61" w:name="page62"/>
    <w:bookmarkEnd w:id="61"/>
    <w:p>
      <w:pPr>
        <w:ind w:left="5140"/>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Chairman and Chief Executive Officer, certify that:</w:t>
      </w:r>
    </w:p>
    <w:p>
      <w:pPr>
        <w:spacing w:after="0" w:line="117"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20" w:firstLine="8"/>
        <w:spacing w:after="0" w:line="342" w:lineRule="auto"/>
        <w:tabs>
          <w:tab w:leader="none" w:pos="1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 w:firstLine="8"/>
        <w:spacing w:after="0" w:line="277" w:lineRule="auto"/>
        <w:tabs>
          <w:tab w:leader="none" w:pos="1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20" w:hanging="4"/>
        <w:spacing w:after="0" w:line="264" w:lineRule="auto"/>
        <w:tabs>
          <w:tab w:leader="none" w:pos="4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hanging="4"/>
        <w:spacing w:after="0" w:line="277" w:lineRule="auto"/>
        <w:tabs>
          <w:tab w:leader="none" w:pos="425"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40" w:hanging="4"/>
        <w:spacing w:after="0" w:line="264" w:lineRule="auto"/>
        <w:tabs>
          <w:tab w:leader="none" w:pos="4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40" w:firstLine="8"/>
        <w:spacing w:after="0" w:line="308" w:lineRule="auto"/>
        <w:tabs>
          <w:tab w:leader="none" w:pos="1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hanging="4"/>
        <w:spacing w:after="0" w:line="277" w:lineRule="auto"/>
        <w:tabs>
          <w:tab w:leader="none" w:pos="42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00" w:hanging="4"/>
        <w:spacing w:after="0" w:line="277" w:lineRule="auto"/>
        <w:tabs>
          <w:tab w:leader="none" w:pos="4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2007</w:t>
      </w:r>
    </w:p>
    <w:p>
      <w:pPr>
        <w:spacing w:after="0" w:line="225"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00"/>
          </w:cols>
          <w:pgMar w:left="240" w:top="959" w:right="2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3520" w:firstLine="3516"/>
        <w:spacing w:after="0" w:line="378"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certify that:</w:t>
      </w:r>
    </w:p>
    <w:p>
      <w:pPr>
        <w:ind w:left="200" w:hanging="192"/>
        <w:spacing w:after="0"/>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60" w:hanging="4"/>
        <w:spacing w:after="0" w:line="277" w:lineRule="auto"/>
        <w:tabs>
          <w:tab w:leader="none" w:pos="4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2007</w:t>
      </w:r>
    </w:p>
    <w:p>
      <w:pPr>
        <w:spacing w:after="0" w:line="22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93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2007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6, 2007</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2007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August 6, 2007</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lowerRoman"/>
      <w:start w:val="3"/>
    </w:lvl>
  </w:abstractNum>
  <w:abstractNum w:abstractNumId="11">
    <w:nsid w:val="3A95F874"/>
    <w:multiLevelType w:val="hybridMultilevel"/>
    <w:lvl w:ilvl="0">
      <w:lvlJc w:val="left"/>
      <w:lvlText w:val="\endash "/>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
    <w:nsid w:val="22221A7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
    <w:nsid w:val="4516DDE9"/>
    <w:multiLevelType w:val="hybridMultilevel"/>
    <w:lvl w:ilvl="0">
      <w:lvlJc w:val="left"/>
      <w:lvlText w:val="(%1)"/>
      <w:numFmt w:val="lowerLetter"/>
      <w:start w:val="3"/>
    </w:lvl>
    <w:lvl w:ilvl="1">
      <w:lvlJc w:val="left"/>
      <w:lvlText w:val="(%2)"/>
      <w:numFmt w:val="lowerRoman"/>
      <w:start w:val="1"/>
    </w:lvl>
  </w:abstractNum>
  <w:abstractNum w:abstractNumId="19">
    <w:nsid w:val="3006C83E"/>
    <w:multiLevelType w:val="hybridMultilevel"/>
    <w:lvl w:ilvl="0">
      <w:lvlJc w:val="left"/>
      <w:lvlText w:val="%1"/>
      <w:numFmt w:val="lowerLetter"/>
      <w:start w:val="1"/>
    </w:lvl>
    <w:lvl w:ilvl="1">
      <w:lvlJc w:val="left"/>
      <w:lvlText w:val="(%2)"/>
      <w:numFmt w:val="lowerRoman"/>
      <w:start w:val="2"/>
    </w:lvl>
  </w:abstractNum>
  <w:abstractNum w:abstractNumId="20">
    <w:nsid w:val="614FD4A1"/>
    <w:multiLevelType w:val="hybridMultilevel"/>
    <w:lvl w:ilvl="0">
      <w:lvlJc w:val="left"/>
      <w:lvlText w:val="(%1)"/>
      <w:numFmt w:val="lowerLetter"/>
      <w:start w:val="6"/>
    </w:lvl>
    <w:lvl w:ilvl="1">
      <w:lvlJc w:val="left"/>
      <w:lvlText w:val="%2"/>
      <w:numFmt w:val="lowerRoman"/>
      <w:start w:val="1"/>
    </w:lvl>
  </w:abstractNum>
  <w:abstractNum w:abstractNumId="21">
    <w:nsid w:val="419AC24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2">
    <w:nsid w:val="5577F8E1"/>
    <w:multiLevelType w:val="hybridMultilevel"/>
    <w:lvl w:ilvl="0">
      <w:lvlJc w:val="left"/>
      <w:lvlText w:val="(%1)"/>
      <w:numFmt w:val="decimal"/>
      <w:start w:val="14"/>
    </w:lvl>
  </w:abstractNum>
  <w:abstractNum w:abstractNumId="23">
    <w:nsid w:val="440BADFC"/>
    <w:multiLevelType w:val="hybridMultilevel"/>
    <w:lvl w:ilvl="0">
      <w:lvlJc w:val="left"/>
      <w:lvlText w:val="(%1)"/>
      <w:numFmt w:val="lowerLetter"/>
      <w:start w:val="2"/>
    </w:lvl>
  </w:abstractNum>
  <w:abstractNum w:abstractNumId="24">
    <w:nsid w:val="5072367"/>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25">
    <w:nsid w:val="3804823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6">
    <w:nsid w:val="77465F01"/>
    <w:multiLevelType w:val="hybridMultilevel"/>
    <w:lvl w:ilvl="0">
      <w:lvlJc w:val="left"/>
      <w:lvlText w:val="(%1)"/>
      <w:numFmt w:val="lowerLetter"/>
      <w:start w:val="3"/>
    </w:lvl>
    <w:lvl w:ilvl="1">
      <w:lvlJc w:val="left"/>
      <w:lvlText w:val="(%2)"/>
      <w:numFmt w:val="lowerRoman"/>
      <w:start w:val="1"/>
    </w:lvl>
  </w:abstractNum>
  <w:abstractNum w:abstractNumId="27">
    <w:nsid w:val="7724C67E"/>
    <w:multiLevelType w:val="hybridMultilevel"/>
    <w:lvl w:ilvl="0">
      <w:lvlJc w:val="left"/>
      <w:lvlText w:val="%1"/>
      <w:numFmt w:val="lowerLetter"/>
      <w:start w:val="1"/>
    </w:lvl>
    <w:lvl w:ilvl="1">
      <w:lvlJc w:val="left"/>
      <w:lvlText w:val="(%2)"/>
      <w:numFmt w:val="lowerRoman"/>
      <w:start w:val="4"/>
    </w:lvl>
  </w:abstractNum>
  <w:abstractNum w:abstractNumId="28">
    <w:nsid w:val="5C482A97"/>
    <w:multiLevelType w:val="hybridMultilevel"/>
    <w:lvl w:ilvl="0">
      <w:lvlJc w:val="left"/>
      <w:lvlText w:val="(%1)"/>
      <w:numFmt w:val="lowerLetter"/>
      <w:start w:val="4"/>
    </w:lvl>
    <w:lvl w:ilvl="1">
      <w:lvlJc w:val="left"/>
      <w:lvlText w:val="(%2)"/>
      <w:numFmt w:val="lowerRoman"/>
      <w:start w:val="1"/>
    </w:lvl>
  </w:abstractNum>
  <w:abstractNum w:abstractNumId="29">
    <w:nsid w:val="2463B9EA"/>
    <w:multiLevelType w:val="hybridMultilevel"/>
    <w:lvl w:ilvl="0">
      <w:lvlJc w:val="left"/>
      <w:lvlText w:val="(%1)"/>
      <w:numFmt w:val="lowerRoman"/>
      <w:start w:val="4"/>
    </w:lvl>
  </w:abstractNum>
  <w:abstractNum w:abstractNumId="30">
    <w:nsid w:val="5E884ADC"/>
    <w:multiLevelType w:val="hybridMultilevel"/>
    <w:lvl w:ilvl="0">
      <w:lvlJc w:val="left"/>
      <w:lvlText w:val="(%1)"/>
      <w:numFmt w:val="lowerLetter"/>
      <w:start w:val="7"/>
    </w:lvl>
  </w:abstractNum>
  <w:abstractNum w:abstractNumId="31">
    <w:nsid w:val="51EAD36B"/>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8"/>
    </w:lvl>
  </w:abstractNum>
  <w:abstractNum w:abstractNumId="32">
    <w:nsid w:val="2D517796"/>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lvl w:ilvl="3">
      <w:lvlJc w:val="left"/>
      <w:lvlText w:val="(%4)"/>
      <w:numFmt w:val="lowerLetter"/>
      <w:start w:val="1"/>
    </w:lvl>
  </w:abstractNum>
  <w:abstractNum w:abstractNumId="33">
    <w:nsid w:val="580BD78F"/>
    <w:multiLevelType w:val="hybridMultilevel"/>
    <w:lvl w:ilvl="0">
      <w:lvlJc w:val="left"/>
      <w:lvlText w:val="(%1)"/>
      <w:numFmt w:val="decimal"/>
      <w:start w:val="3"/>
    </w:lvl>
    <w:lvl w:ilvl="1">
      <w:lvlJc w:val="left"/>
      <w:lvlText w:val="%2"/>
      <w:numFmt w:val="decimal"/>
      <w:start w:val="1"/>
    </w:lvl>
    <w:lvl w:ilvl="2">
      <w:lvlJc w:val="left"/>
      <w:lvlText w:val="%3"/>
      <w:numFmt w:val="lowerRoman"/>
      <w:start w:val="1"/>
    </w:lvl>
    <w:lvl w:ilvl="3">
      <w:lvlJc w:val="left"/>
      <w:lvlText w:val="(%4)"/>
      <w:numFmt w:val="lowerLetter"/>
      <w:start w:val="2"/>
    </w:lvl>
  </w:abstractNum>
  <w:abstractNum w:abstractNumId="34">
    <w:nsid w:val="153EA438"/>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9"/>
    </w:lvl>
  </w:abstractNum>
  <w:abstractNum w:abstractNumId="35">
    <w:nsid w:val="3855585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35"/>
    </w:lvl>
  </w:abstractNum>
  <w:abstractNum w:abstractNumId="36">
    <w:nsid w:val="70A64E2A"/>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61"/>
    </w:lvl>
  </w:abstractNum>
  <w:abstractNum w:abstractNumId="37">
    <w:nsid w:val="6A2342EC"/>
    <w:multiLevelType w:val="hybridMultilevel"/>
    <w:lvl w:ilvl="0">
      <w:lvlJc w:val="left"/>
      <w:lvlText w:val="(%1)"/>
      <w:numFmt w:val="lowerLetter"/>
      <w:start w:val="3"/>
    </w:lvl>
  </w:abstractNum>
  <w:abstractNum w:abstractNumId="38">
    <w:nsid w:val="2A487CB0"/>
    <w:multiLevelType w:val="hybridMultilevel"/>
    <w:lvl w:ilvl="0">
      <w:lvlJc w:val="left"/>
      <w:lvlText w:val="(%1)"/>
      <w:numFmt w:val="lowerLetter"/>
      <w:start w:val="4"/>
    </w:lvl>
  </w:abstractNum>
  <w:abstractNum w:abstractNumId="39">
    <w:nsid w:val="1D4ED43B"/>
    <w:multiLevelType w:val="hybridMultilevel"/>
    <w:lvl w:ilvl="0">
      <w:lvlJc w:val="left"/>
      <w:lvlText w:val="(%1)"/>
      <w:numFmt w:val="lowerLetter"/>
      <w:start w:val="7"/>
    </w:lvl>
    <w:lvl w:ilvl="1">
      <w:lvlJc w:val="left"/>
      <w:lvlText w:val="(%2)"/>
      <w:numFmt w:val="lowerRoman"/>
      <w:start w:val="1"/>
    </w:lvl>
  </w:abstractNum>
  <w:abstractNum w:abstractNumId="40">
    <w:nsid w:val="725A06FB"/>
    <w:multiLevelType w:val="hybridMultilevel"/>
    <w:lvl w:ilvl="0">
      <w:lvlJc w:val="left"/>
      <w:lvlText w:val="%1."/>
      <w:numFmt w:val="decimal"/>
      <w:start w:val="9"/>
    </w:lvl>
  </w:abstractNum>
  <w:abstractNum w:abstractNumId="41">
    <w:nsid w:val="2CD89A32"/>
    <w:multiLevelType w:val="hybridMultilevel"/>
    <w:lvl w:ilvl="0">
      <w:lvlJc w:val="left"/>
      <w:lvlText w:val="%1."/>
      <w:numFmt w:val="decimal"/>
      <w:start w:val="15"/>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2019-12-14T09:52:14Z</dcterms:created>
  <dcterms:modified xsi:type="dcterms:W3CDTF">2019-12-14T09:52:14Z</dcterms:modified>
</cp:coreProperties>
</file>