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9" w:lineRule="auto"/>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59"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1480" w:right="1140" w:hanging="277"/>
        <w:spacing w:after="0" w:line="344" w:lineRule="auto"/>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13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1480" w:hanging="277"/>
        <w:spacing w:after="0"/>
        <w:tabs>
          <w:tab w:leader="none" w:pos="14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TRANSITION</w:t>
      </w:r>
      <w:r>
        <w:rPr>
          <w:rFonts w:ascii="Arial" w:cs="Arial" w:eastAsia="Arial" w:hAnsi="Arial"/>
          <w:sz w:val="36"/>
          <w:szCs w:val="36"/>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97"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2840" w:type="dxa"/>
            <w:vAlign w:val="bottom"/>
            <w:gridSpan w:val="3"/>
          </w:tcPr>
          <w:p>
            <w:pPr>
              <w:ind w:left="240"/>
              <w:spacing w:after="0"/>
              <w:rPr>
                <w:sz w:val="20"/>
                <w:szCs w:val="20"/>
                <w:color w:val="auto"/>
              </w:rPr>
            </w:pPr>
            <w:r>
              <w:rPr>
                <w:rFonts w:ascii="Arial" w:cs="Arial" w:eastAsia="Arial" w:hAnsi="Arial"/>
                <w:sz w:val="18"/>
                <w:szCs w:val="18"/>
                <w:b w:val="1"/>
                <w:bCs w:val="1"/>
                <w:color w:val="auto"/>
              </w:rPr>
              <w:t>For the transition period from</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to</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center"/>
              <w:ind w:left="362"/>
              <w:spacing w:after="0"/>
              <w:rPr>
                <w:sz w:val="20"/>
                <w:szCs w:val="20"/>
                <w:color w:val="auto"/>
              </w:rPr>
            </w:pPr>
            <w:r>
              <w:rPr>
                <w:rFonts w:ascii="Arial" w:cs="Arial" w:eastAsia="Arial" w:hAnsi="Arial"/>
                <w:sz w:val="14"/>
                <w:szCs w:val="14"/>
                <w:b w:val="1"/>
                <w:bCs w:val="1"/>
                <w:color w:val="auto"/>
                <w:w w:val="93"/>
              </w:rPr>
              <w:t>Commission File Number 001-31648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400" w:type="dxa"/>
            <w:vAlign w:val="bottom"/>
          </w:tcPr>
          <w:p>
            <w:pPr>
              <w:spacing w:after="0"/>
              <w:rPr>
                <w:sz w:val="24"/>
                <w:szCs w:val="24"/>
                <w:color w:val="auto"/>
              </w:rPr>
            </w:pPr>
          </w:p>
        </w:tc>
        <w:tc>
          <w:tcPr>
            <w:tcW w:w="7100" w:type="dxa"/>
            <w:vAlign w:val="bottom"/>
            <w:gridSpan w:val="4"/>
          </w:tcPr>
          <w:p>
            <w:pPr>
              <w:jc w:val="center"/>
              <w:ind w:right="868"/>
              <w:spacing w:after="0"/>
              <w:rPr>
                <w:sz w:val="20"/>
                <w:szCs w:val="20"/>
                <w:color w:val="auto"/>
              </w:rPr>
            </w:pPr>
            <w:r>
              <w:rPr>
                <w:rFonts w:ascii="Arial" w:cs="Arial" w:eastAsia="Arial" w:hAnsi="Arial"/>
                <w:sz w:val="29"/>
                <w:szCs w:val="29"/>
                <w:b w:val="1"/>
                <w:bCs w:val="1"/>
                <w:color w:val="auto"/>
              </w:rPr>
              <w:t>EURONET WORLDWIDE, INC.</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60" w:type="dxa"/>
            <w:vAlign w:val="bottom"/>
            <w:gridSpan w:val="2"/>
          </w:tcPr>
          <w:p>
            <w:pPr>
              <w:jc w:val="center"/>
              <w:ind w:right="23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jc w:val="right"/>
              <w:ind w:right="42"/>
              <w:spacing w:after="0"/>
              <w:rPr>
                <w:sz w:val="20"/>
                <w:szCs w:val="20"/>
                <w:color w:val="auto"/>
              </w:rPr>
            </w:pPr>
            <w:r>
              <w:rPr>
                <w:rFonts w:ascii="Arial" w:cs="Arial" w:eastAsia="Arial" w:hAnsi="Arial"/>
                <w:sz w:val="18"/>
                <w:szCs w:val="18"/>
                <w:color w:val="auto"/>
              </w:rPr>
              <w:t>________________________</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400" w:type="dxa"/>
            <w:vAlign w:val="bottom"/>
          </w:tcPr>
          <w:p>
            <w:pPr>
              <w:spacing w:after="0"/>
              <w:rPr>
                <w:sz w:val="24"/>
                <w:szCs w:val="24"/>
                <w:color w:val="auto"/>
              </w:rPr>
            </w:pPr>
          </w:p>
        </w:tc>
        <w:tc>
          <w:tcPr>
            <w:tcW w:w="14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8"/>
              </w:rPr>
              <w:t>DELAWARE</w:t>
            </w:r>
          </w:p>
        </w:tc>
        <w:tc>
          <w:tcPr>
            <w:tcW w:w="2840" w:type="dxa"/>
            <w:vAlign w:val="bottom"/>
          </w:tcPr>
          <w:p>
            <w:pPr>
              <w:spacing w:after="0"/>
              <w:rPr>
                <w:sz w:val="24"/>
                <w:szCs w:val="24"/>
                <w:color w:val="auto"/>
              </w:rPr>
            </w:pPr>
          </w:p>
        </w:tc>
        <w:tc>
          <w:tcPr>
            <w:tcW w:w="2820" w:type="dxa"/>
            <w:vAlign w:val="bottom"/>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8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rPr>
              <w:t>3500 COLLEGE BOULEVARD</w:t>
            </w:r>
          </w:p>
        </w:tc>
        <w:tc>
          <w:tcPr>
            <w:tcW w:w="2840" w:type="dxa"/>
            <w:vAlign w:val="bottom"/>
          </w:tcPr>
          <w:p>
            <w:pPr>
              <w:spacing w:after="0"/>
              <w:rPr>
                <w:sz w:val="24"/>
                <w:szCs w:val="24"/>
                <w:color w:val="auto"/>
              </w:rPr>
            </w:pPr>
          </w:p>
        </w:tc>
        <w:tc>
          <w:tcPr>
            <w:tcW w:w="2820" w:type="dxa"/>
            <w:vAlign w:val="bottom"/>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9"/>
              </w:rPr>
              <w:t>LEAWOOD, KANSAS</w:t>
            </w:r>
          </w:p>
        </w:tc>
        <w:tc>
          <w:tcPr>
            <w:tcW w:w="284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right"/>
              <w:ind w:right="682"/>
              <w:spacing w:after="0"/>
              <w:rPr>
                <w:sz w:val="20"/>
                <w:szCs w:val="20"/>
                <w:color w:val="auto"/>
              </w:rPr>
            </w:pPr>
            <w:r>
              <w:rPr>
                <w:rFonts w:ascii="Arial" w:cs="Arial" w:eastAsia="Arial" w:hAnsi="Arial"/>
                <w:sz w:val="14"/>
                <w:szCs w:val="14"/>
                <w:b w:val="1"/>
                <w:bCs w:val="1"/>
                <w:color w:val="auto"/>
              </w:rPr>
              <w:t>(913) 327-4200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1"/>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Common Stock, $0.02 par value</w:t>
            </w:r>
          </w:p>
        </w:tc>
        <w:tc>
          <w:tcPr>
            <w:tcW w:w="28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82"/>
              <w:spacing w:after="0"/>
              <w:rPr>
                <w:sz w:val="20"/>
                <w:szCs w:val="20"/>
                <w:color w:val="auto"/>
              </w:rPr>
            </w:pPr>
            <w:r>
              <w:rPr>
                <w:rFonts w:ascii="Arial" w:cs="Arial" w:eastAsia="Arial" w:hAnsi="Arial"/>
                <w:sz w:val="14"/>
                <w:szCs w:val="14"/>
                <w:b w:val="1"/>
                <w:bCs w:val="1"/>
                <w:color w:val="auto"/>
                <w:w w:val="91"/>
              </w:rPr>
              <w:t>Preferred Stock Purchase Rights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1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jc w:val="both"/>
        <w:ind w:right="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5" w:lineRule="exact"/>
        <w:rPr>
          <w:sz w:val="24"/>
          <w:szCs w:val="24"/>
          <w:color w:val="auto"/>
        </w:rPr>
      </w:pPr>
    </w:p>
    <w:p>
      <w:pPr>
        <w:ind w:left="520"/>
        <w:spacing w:after="0" w:line="184" w:lineRule="exact"/>
        <w:tabs>
          <w:tab w:leader="none" w:pos="3500" w:val="left"/>
          <w:tab w:leader="none" w:pos="6020" w:val="left"/>
          <w:tab w:leader="none" w:pos="89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3"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(Do not check if a smaller reporting company)</w:t>
      </w:r>
    </w:p>
    <w:p>
      <w:pPr>
        <w:spacing w:after="0" w:line="2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460"/>
        <w:spacing w:after="0" w:line="275" w:lineRule="auto"/>
        <w:rPr>
          <w:sz w:val="20"/>
          <w:szCs w:val="20"/>
          <w:color w:val="auto"/>
        </w:rPr>
      </w:pPr>
      <w:r>
        <w:rPr>
          <w:rFonts w:ascii="Arial" w:cs="Arial" w:eastAsia="Arial" w:hAnsi="Arial"/>
          <w:sz w:val="16"/>
          <w:szCs w:val="16"/>
          <w:color w:val="auto"/>
        </w:rPr>
        <w:t>As of June 30, 2016, the aggregate market value of the voting and non-voting common equity held by non-affiliates of the registrant was approximately $3.4 billion. The aggregate market value was determined based on the closing price of the Common Stock on June 30, 2016.</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28, 2017, the registrant had 52,359,621 shares of Common Stock outstanding.</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234" w:right="239" w:bottom="122" w:gutter="0" w:footer="0" w:header="0"/>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registrant's Proxy Statement for its 2016 Annual Meeting of Stockholders, which will be filed with the Securities and Exchange Commission no later than 120 days after December 31, 2016,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287655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201295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240" w:top="13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Item Number</w:t>
            </w:r>
          </w:p>
        </w:tc>
        <w:tc>
          <w:tcPr>
            <w:tcW w:w="520" w:type="dxa"/>
            <w:vAlign w:val="bottom"/>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Description</w:t>
            </w:r>
          </w:p>
        </w:tc>
        <w:tc>
          <w:tcPr>
            <w:tcW w:w="75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480"/>
        </w:trPr>
        <w:tc>
          <w:tcPr>
            <w:tcW w:w="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10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IA.</w:t>
            </w:r>
          </w:p>
        </w:tc>
        <w:tc>
          <w:tcPr>
            <w:tcW w:w="880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08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1300" w:type="dxa"/>
            <w:vAlign w:val="bottom"/>
            <w:gridSpan w:val="6"/>
          </w:tcPr>
          <w:p>
            <w:pPr>
              <w:spacing w:after="0"/>
              <w:rPr>
                <w:sz w:val="21"/>
                <w:szCs w:val="21"/>
                <w:color w:val="auto"/>
              </w:rPr>
            </w:pPr>
          </w:p>
        </w:tc>
        <w:tc>
          <w:tcPr>
            <w:tcW w:w="6760" w:type="dxa"/>
            <w:vAlign w:val="bottom"/>
            <w:gridSpan w:val="11"/>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Legal </w:t>
            </w:r>
            <w:hyperlink w:anchor="page35">
              <w:r>
                <w:rPr>
                  <w:rFonts w:ascii="Arial" w:cs="Arial" w:eastAsia="Arial" w:hAnsi="Arial"/>
                  <w:sz w:val="18"/>
                  <w:szCs w:val="18"/>
                  <w:color w:val="0000FF"/>
                  <w:w w:val="87"/>
                </w:rPr>
                <w:t>Proceedings</w:t>
              </w:r>
            </w:hyperlink>
          </w:p>
        </w:tc>
        <w:tc>
          <w:tcPr>
            <w:tcW w:w="746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Mine Safety Disclosures</w:t>
              </w:r>
            </w:hyperlink>
          </w:p>
        </w:tc>
        <w:tc>
          <w:tcPr>
            <w:tcW w:w="7080" w:type="dxa"/>
            <w:vAlign w:val="bottom"/>
            <w:gridSpan w:val="1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68</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gridSpan w:val="16"/>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2">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20" w:type="dxa"/>
            <w:vAlign w:val="bottom"/>
            <w:gridSpan w:val="6"/>
          </w:tcPr>
          <w:p>
            <w:pPr>
              <w:spacing w:after="0"/>
              <w:rPr>
                <w:rFonts w:ascii="Arial" w:cs="Arial" w:eastAsia="Arial" w:hAnsi="Arial"/>
                <w:sz w:val="18"/>
                <w:szCs w:val="18"/>
                <w:color w:val="0000EE"/>
                <w:w w:val="84"/>
              </w:rPr>
            </w:pPr>
            <w:hyperlink w:anchor="page112">
              <w:r>
                <w:rPr>
                  <w:rFonts w:ascii="Arial" w:cs="Arial" w:eastAsia="Arial" w:hAnsi="Arial"/>
                  <w:sz w:val="18"/>
                  <w:szCs w:val="18"/>
                  <w:color w:val="0000EE"/>
                  <w:w w:val="84"/>
                </w:rPr>
                <w:t>Controls and Procedures</w:t>
              </w:r>
            </w:hyperlink>
          </w:p>
        </w:tc>
        <w:tc>
          <w:tcPr>
            <w:tcW w:w="4800" w:type="dxa"/>
            <w:vAlign w:val="bottom"/>
            <w:gridSpan w:val="10"/>
          </w:tcPr>
          <w:p>
            <w:pPr>
              <w:spacing w:after="0"/>
              <w:rPr>
                <w:sz w:val="21"/>
                <w:szCs w:val="21"/>
                <w:color w:val="auto"/>
              </w:rPr>
            </w:pPr>
          </w:p>
        </w:tc>
        <w:tc>
          <w:tcPr>
            <w:tcW w:w="2280" w:type="dxa"/>
            <w:vAlign w:val="bottom"/>
            <w:gridSpan w:val="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2">
              <w:r>
                <w:rPr>
                  <w:rFonts w:ascii="Arial" w:cs="Arial" w:eastAsia="Arial" w:hAnsi="Arial"/>
                  <w:sz w:val="18"/>
                  <w:szCs w:val="18"/>
                  <w:color w:val="0000FF"/>
                </w:rPr>
                <w:t>111</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Other Information</w:t>
              </w:r>
            </w:hyperlink>
          </w:p>
        </w:tc>
        <w:tc>
          <w:tcPr>
            <w:tcW w:w="380" w:type="dxa"/>
            <w:vAlign w:val="bottom"/>
          </w:tcPr>
          <w:p>
            <w:pPr>
              <w:spacing w:after="0"/>
              <w:rPr>
                <w:sz w:val="21"/>
                <w:szCs w:val="21"/>
                <w:color w:val="auto"/>
              </w:rPr>
            </w:pPr>
          </w:p>
        </w:tc>
        <w:tc>
          <w:tcPr>
            <w:tcW w:w="7080" w:type="dxa"/>
            <w:vAlign w:val="bottom"/>
            <w:gridSpan w:val="13"/>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112</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800" w:type="dxa"/>
            <w:vAlign w:val="bottom"/>
            <w:gridSpan w:val="1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112</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gridSpan w:val="2"/>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5"/>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r>
      <w:tr>
        <w:trPr>
          <w:trHeight w:val="270"/>
        </w:trPr>
        <w:tc>
          <w:tcPr>
            <w:tcW w:w="40" w:type="dxa"/>
            <w:vAlign w:val="bottom"/>
          </w:tcPr>
          <w:p>
            <w:pPr>
              <w:spacing w:after="0"/>
              <w:rPr>
                <w:sz w:val="23"/>
                <w:szCs w:val="23"/>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1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Accounting Fees and Services</w:t>
              </w:r>
            </w:hyperlink>
          </w:p>
        </w:tc>
        <w:tc>
          <w:tcPr>
            <w:tcW w:w="1080" w:type="dxa"/>
            <w:vAlign w:val="bottom"/>
            <w:gridSpan w:val="5"/>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112</w:t>
              </w:r>
            </w:hyperlink>
          </w:p>
        </w:tc>
      </w:tr>
      <w:tr>
        <w:trPr>
          <w:trHeight w:val="460"/>
        </w:trPr>
        <w:tc>
          <w:tcPr>
            <w:tcW w:w="4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Part IV</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14">
              <w:r>
                <w:rPr>
                  <w:rFonts w:ascii="Arial" w:cs="Arial" w:eastAsia="Arial" w:hAnsi="Arial"/>
                  <w:sz w:val="18"/>
                  <w:szCs w:val="18"/>
                  <w:color w:val="0000FF"/>
                  <w:w w:val="79"/>
                </w:rPr>
                <w:t>113</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Exhibits and Financial Statement Schedules</w:t>
              </w:r>
            </w:hyperlink>
          </w:p>
        </w:tc>
        <w:tc>
          <w:tcPr>
            <w:tcW w:w="5640" w:type="dxa"/>
            <w:vAlign w:val="bottom"/>
            <w:gridSpan w:val="9"/>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4">
              <w:r>
                <w:rPr>
                  <w:rFonts w:ascii="Arial" w:cs="Arial" w:eastAsia="Arial" w:hAnsi="Arial"/>
                  <w:sz w:val="18"/>
                  <w:szCs w:val="18"/>
                  <w:color w:val="0000FF"/>
                  <w:w w:val="79"/>
                </w:rPr>
                <w:t>113</w:t>
              </w:r>
            </w:hyperlink>
          </w:p>
        </w:tc>
      </w:tr>
      <w:tr>
        <w:trPr>
          <w:trHeight w:val="4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Signatures</w:t>
              </w:r>
            </w:hyperlink>
          </w:p>
        </w:tc>
        <w:tc>
          <w:tcPr>
            <w:tcW w:w="1080" w:type="dxa"/>
            <w:vAlign w:val="bottom"/>
            <w:gridSpan w:val="5"/>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References in this report to </w:t>
      </w:r>
      <w:r>
        <w:rPr>
          <w:rFonts w:ascii="Arial" w:cs="Arial" w:eastAsia="Arial" w:hAnsi="Arial"/>
          <w:sz w:val="18"/>
          <w:szCs w:val="18"/>
          <w:color w:val="auto"/>
        </w:rPr>
        <w:t>“we,” “our,” “us,” the “Company”</w:t>
      </w:r>
      <w:r>
        <w:rPr>
          <w:rFonts w:ascii="Arial" w:cs="Arial" w:eastAsia="Arial" w:hAnsi="Arial"/>
          <w:sz w:val="18"/>
          <w:szCs w:val="18"/>
          <w:i w:val="1"/>
          <w:iCs w:val="1"/>
          <w:color w:val="auto"/>
        </w:rPr>
        <w:t xml:space="preserve"> and </w:t>
      </w:r>
      <w:r>
        <w:rPr>
          <w:rFonts w:ascii="Arial" w:cs="Arial" w:eastAsia="Arial" w:hAnsi="Arial"/>
          <w:sz w:val="18"/>
          <w:szCs w:val="18"/>
          <w:color w:val="auto"/>
        </w:rPr>
        <w:t>“Euronet”</w:t>
      </w:r>
      <w:r>
        <w:rPr>
          <w:rFonts w:ascii="Arial" w:cs="Arial" w:eastAsia="Arial" w:hAnsi="Arial"/>
          <w:sz w:val="18"/>
          <w:szCs w:val="18"/>
          <w:i w:val="1"/>
          <w:iCs w:val="1"/>
          <w:color w:val="auto"/>
        </w:rPr>
        <w:t xml:space="preserve"> refer to Euronet Worldwide, Inc. and its subsidiaries unless the context requires otherwise.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exchange services and global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2016:</w:t>
      </w:r>
    </w:p>
    <w:p>
      <w:pPr>
        <w:spacing w:after="0" w:line="225" w:lineRule="exact"/>
        <w:rPr>
          <w:sz w:val="20"/>
          <w:szCs w:val="20"/>
          <w:color w:val="auto"/>
        </w:rPr>
      </w:pPr>
    </w:p>
    <w:p>
      <w:pPr>
        <w:ind w:left="180" w:right="140"/>
        <w:spacing w:after="0" w:line="272" w:lineRule="auto"/>
        <w:rPr>
          <w:sz w:val="20"/>
          <w:szCs w:val="20"/>
          <w:color w:val="auto"/>
        </w:rPr>
      </w:pPr>
      <w:r>
        <w:rPr>
          <w:rFonts w:ascii="Arial" w:cs="Arial" w:eastAsia="Arial" w:hAnsi="Arial"/>
          <w:sz w:val="17"/>
          <w:szCs w:val="17"/>
          <w:color w:val="auto"/>
        </w:rPr>
        <w:t>The EFT Processing Segment processes transactions for a network of 33,973 ATMs and approximately 163,000 POS terminals across Europe, the Middle East and Asia Pacific. We provide comprehensive electronic payment solutions consisting of ATM cash withdrawal and deposit services, ATM network participation, outsourced ATM and POS management solutions, credit and debit card outsourcing, and card issuing and merchant acquiring services. In addition to our core business, we offer a variety of value added services, including ATM and POS dynamic currency conversion, advertising, customer relationship management (“CRM”), mobile top-up, bill payment, fraud management and foreign remittance payout. Through this segment, we also offer a suite of integrated electronic financial transaction (“EFT”) software solutions for electronic payment and transaction delivery systems. In 2016, the EFT Processing Segment accounted for approximately 24% of Euronet's consolidated revenues.</w:t>
      </w:r>
    </w:p>
    <w:p>
      <w:pPr>
        <w:spacing w:after="0" w:line="178" w:lineRule="exact"/>
        <w:rPr>
          <w:sz w:val="20"/>
          <w:szCs w:val="20"/>
          <w:color w:val="auto"/>
        </w:rPr>
      </w:pPr>
    </w:p>
    <w:p>
      <w:pPr>
        <w:ind w:left="180" w:right="80"/>
        <w:spacing w:after="0" w:line="255" w:lineRule="auto"/>
        <w:rPr>
          <w:sz w:val="20"/>
          <w:szCs w:val="20"/>
          <w:color w:val="auto"/>
        </w:rPr>
      </w:pPr>
      <w:r>
        <w:rPr>
          <w:rFonts w:ascii="Arial" w:cs="Arial" w:eastAsia="Arial" w:hAnsi="Arial"/>
          <w:sz w:val="18"/>
          <w:szCs w:val="18"/>
          <w:color w:val="auto"/>
        </w:rPr>
        <w:t>The epay Segment provides electronic distribution and processing of prepaid mobile airtime and other electronic payment products and collection services for various payment products, cards and services. We operate a network that includes approximately 661,000 POS terminals that enable electronic processing of prepaid mobile airtime “top-up” services and other non-mobile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In 2016, the epay Segment accounted for approximately 35% of Euronet's consolidated revenues.</w:t>
      </w:r>
    </w:p>
    <w:p>
      <w:pPr>
        <w:spacing w:after="0" w:line="193" w:lineRule="exact"/>
        <w:rPr>
          <w:sz w:val="20"/>
          <w:szCs w:val="20"/>
          <w:color w:val="auto"/>
        </w:rPr>
      </w:pPr>
    </w:p>
    <w:p>
      <w:pPr>
        <w:ind w:left="180" w:right="40"/>
        <w:spacing w:after="0" w:line="287" w:lineRule="auto"/>
        <w:rPr>
          <w:sz w:val="20"/>
          <w:szCs w:val="20"/>
          <w:color w:val="auto"/>
        </w:rPr>
      </w:pPr>
      <w:r>
        <w:rPr>
          <w:rFonts w:ascii="Arial" w:cs="Arial" w:eastAsia="Arial" w:hAnsi="Arial"/>
          <w:sz w:val="16"/>
          <w:szCs w:val="16"/>
          <w:color w:val="auto"/>
        </w:rPr>
        <w:t>The Money Transfer Segment provides global consumer-to-consumer money transfer services, primarily under the brand names Ria, AFEX Money Express, and IME, and global account-to-account money transfer services under the brand names HiFX and xe. We offer services under the brand names Ria, AFEX Money Express and IME through a network of sending agents, Company-owned stores (primarily in North America, Europe and Malaysia) and our websites (riamoneytransfer.com and imeremit.com), disbursing money transfers through a worldwide correspondent network that includes approximately 317,000 locations. xe is a provider of foreign currency exchange information and offers money transfer services on its currency data websites (xe.com and x-rates.com). We offer services under the brand name HiFX through our HiFX websites (www.hifx.com, www.hifx.co.uk and www.hifx.com.au) and HiFX customer service representatives. In addition to money transfers, we offer customers bill payment services (primarily in the U.S.), payment alternatives such as money orders,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 We are one of the largest global money transfer companies in terms of revenues and transaction volumes. In 2016, the Money Transfer Segment accounted for approximately 41% of Euronet's consolidated revenues.</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Euronet conducts business globally, serving customers in approximately 160 countries. We have 13 transaction processing centers, including six in Europe, five in Asia Pacific and two in North America. We also maintain 61 business offices that are located in 41 countries. Our corporate offices are located in Leawood, Kansas, USA.</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in March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 From 1998 until 2005, we developed networks in India, Slovakia, Serbia and Bulgaria.</w:t>
      </w:r>
    </w:p>
    <w:p>
      <w:pPr>
        <w:spacing w:after="0" w:line="1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In 2009 Euronet, through one of its group companies, was granted authorization as an e-money institution in the United Kingdom ("U.K.") under the E.U.'s E-Money Directive. Euronet obtained relevant memberships of Visa and MasterCard during 2011. In 2011, the Second E-Money Directive ("2EMD") came into effect. 2EMD enables authorized e-money institutions to provide payment services and issue e-money throughout the European Economic Area under a single regulatory framework. By obtaining the status as an authorized e-money institution together with its principal memberships of Visa and MasterCard, Euronet has been able to expand its Independent ATM Deployed ("IAD") networks across Europe. By the end of 2016, Euronet's IAD network of ATMs had expanded to include 20 countries. Our product portfolio for the EFT Processing Segment operates in 87 countries.</w:t>
      </w:r>
    </w:p>
    <w:p>
      <w:pPr>
        <w:spacing w:after="0" w:line="19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2011,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2007, we established the Money Transfer Segment after completing the acquisition of Los Angeles-based Ria, one of the largest global money transfer companies in terms of revenues and transaction volumes. Established in 1987, Ria originates and terminates transactions through a network of sending agents and Company-owned stores located around the world. In November 2009, Ria obtained a payment services license under the E.U.'s Payment Services Directive ("PSD") from the U.K. Financial Services Authority, which allowed Ria to operate under one license and one regulator for all European Economic Area Member States. The license also facilitated expansion into new markets through the sales of money transfers through agents in countries where the use of agents was not previously permitted. In 2014, Euronet added a complementary product to the money transfer portfolio through the acquisition of HiFX, which offers account-to-account international payment services to high-income individuals and small-to-medium sized businesses. In 2015, we completed the acquisition of IME (M) Sdn Bhd</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("IME") which provided Euronet with immediate entry into the Asian and Middle East money transfer send markets. In 2015, we also added a complementary business line through the acquisition of xe Corporation ("xe"), which provides currency-related data and international payment services. In addition to expanding its money transfer network, the segment expanded its product portfolio to offer complementary non-money transfer products such as bill payment and check cashing, and prepaid services in conjunction with the epay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Developments</w:t>
      </w:r>
    </w:p>
    <w:p>
      <w:pPr>
        <w:spacing w:after="0" w:line="225"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In October 2016, the Company completed the acquisition of YourCash Europe Limited and its subsidiaries (“YourCash”). YourCash is a company incorporated in England that owns and operates primarily merchant filled ATMs in the United Kingdom, Netherlands, Belgium and Ireland.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EFT Processing Segment provides comprehensive electronic payment solutions consisting of ATM cash withdrawal and deposit services, ATM network participation, outsourced ATM and POS management solutions, credit and debit card outsourcing; card issuing and merchant acquiring services. In addition to our core business, we offer a variety of value added services, including ATM and POS dynamic currency conversion, advertising, CRM, prepaid mobile top-up, bill payment, fraud management and foreign remittance payout. We provide these services either through our Euronet-owned ATMs and POS terminals, through contracts under which we operate ATMs and POS terminals on behalf of our customers or, for certain services, as stand alone products. Through this segment, we also offer a suite of integrated EFT software solutions for electronic payment and transaction delivery systems.</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major sources of revenues generated by our ATM network are recurring monthly management fees, transaction-based fees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on ATMs and ATM advertising. We primarily service financial institutions in the developing markets of Central, Eastern and Southern Europe (Hungary, Poland, the Czech Republic, Croatia, Romania, Slovakia, Serbia, Greece and Ukraine), the Middle East and Asia Pacific (India, China, Malaysia and Pakistan), as well as several developed countries of Western Europe. As of December 31, 2016, we operated 33,973 ATMs compared to 21,360 at December 31, 2015. The increase was largely due to the expansion of our ATM networks in India and several European countries, and the acquisition of YourCash.</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dynamic currency conversion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12.8% as indicated in the following table: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1,164</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1,188</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1,262</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1,523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1,885</w:t>
            </w:r>
          </w:p>
        </w:tc>
      </w:tr>
    </w:tbl>
    <w:p>
      <w:pPr>
        <w:spacing w:after="0" w:line="22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processing centers for the EFT Processing Segment are located in Budapest, Hungary; Mumbai, India; Beijing, China; and Karachi, Pakistan. They operate 24 hours a day, seven days a week and consist of production IBM iSeries computers or a combination of Windows and Linux servers, which run various proprietary software packages. Our processing centers run two types of proprietary transaction switching software: our legacy ITM software, which we have used and sold to banks since 1998 through our Software Solutions unit, and a new, innovative switching software package named “Renaissance” which has been rolled out to our processing center in Budapest, Hungary. We will progressively be transitioning all of our networks to Renaissance.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Euronet offers outsourced management services to financial institutions, merchants,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managing the cash levels in each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Our Euronet-branded ATM networks, also known as IAD networks, are primarily managed by a processing center that uses our internally developed software solutions.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5"/>
          <w:szCs w:val="25"/>
          <w:color w:val="auto"/>
          <w:vertAlign w:val="superscript"/>
        </w:rPr>
        <w:t>®</w:t>
      </w:r>
      <w:r>
        <w:rPr>
          <w:rFonts w:ascii="Arial" w:cs="Arial" w:eastAsia="Arial" w:hAnsi="Arial"/>
          <w:sz w:val="18"/>
          <w:szCs w:val="18"/>
          <w:color w:val="auto"/>
        </w:rPr>
        <w:t>, Visa</w:t>
      </w:r>
      <w:r>
        <w:rPr>
          <w:rFonts w:ascii="Arial" w:cs="Arial" w:eastAsia="Arial" w:hAnsi="Arial"/>
          <w:sz w:val="25"/>
          <w:szCs w:val="25"/>
          <w:color w:val="auto"/>
          <w:vertAlign w:val="superscript"/>
        </w:rPr>
        <w:t>®</w:t>
      </w:r>
      <w:r>
        <w:rPr>
          <w:rFonts w:ascii="Arial" w:cs="Arial" w:eastAsia="Arial" w:hAnsi="Arial"/>
          <w:sz w:val="18"/>
          <w:szCs w:val="18"/>
          <w:color w:val="auto"/>
        </w:rPr>
        <w:t>, MasterCard</w:t>
      </w:r>
      <w:r>
        <w:rPr>
          <w:rFonts w:ascii="Arial" w:cs="Arial" w:eastAsia="Arial" w:hAnsi="Arial"/>
          <w:sz w:val="25"/>
          <w:szCs w:val="25"/>
          <w:color w:val="auto"/>
          <w:vertAlign w:val="superscript"/>
        </w:rPr>
        <w:t>®</w:t>
      </w:r>
      <w:r>
        <w:rPr>
          <w:rFonts w:ascii="Arial" w:cs="Arial" w:eastAsia="Arial" w:hAnsi="Arial"/>
          <w:sz w:val="18"/>
          <w:szCs w:val="18"/>
          <w:color w:val="auto"/>
        </w:rPr>
        <w:t>, Diners Club International</w:t>
      </w:r>
      <w:r>
        <w:rPr>
          <w:rFonts w:ascii="Arial" w:cs="Arial" w:eastAsia="Arial" w:hAnsi="Arial"/>
          <w:sz w:val="25"/>
          <w:szCs w:val="25"/>
          <w:color w:val="auto"/>
          <w:vertAlign w:val="superscript"/>
        </w:rPr>
        <w:t>®</w:t>
      </w:r>
      <w:r>
        <w:rPr>
          <w:rFonts w:ascii="Arial" w:cs="Arial" w:eastAsia="Arial" w:hAnsi="Arial"/>
          <w:sz w:val="18"/>
          <w:szCs w:val="18"/>
          <w:color w:val="auto"/>
        </w:rPr>
        <w:t>, Discover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UnionPay International, as well as international ATM networks such as PULSE</w:t>
      </w:r>
      <w:r>
        <w:rPr>
          <w:rFonts w:ascii="Arial" w:cs="Arial" w:eastAsia="Arial" w:hAnsi="Arial"/>
          <w:sz w:val="25"/>
          <w:szCs w:val="25"/>
          <w:color w:val="auto"/>
          <w:vertAlign w:val="superscript"/>
        </w:rPr>
        <w:t>®</w:t>
      </w:r>
      <w:r>
        <w:rPr>
          <w:rFonts w:ascii="Arial" w:cs="Arial" w:eastAsia="Arial" w:hAnsi="Arial"/>
          <w:sz w:val="18"/>
          <w:szCs w:val="18"/>
          <w:color w:val="auto"/>
        </w:rPr>
        <w:t>. This is accomplished through our agreements and relationships with these institutions, international credit and debit card issuers and international card associations.</w:t>
      </w:r>
    </w:p>
    <w:p>
      <w:pPr>
        <w:spacing w:after="0" w:line="2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a bank cardholder conducts a transaction on a Euronet-owned ATM or automated deposit terminal ("ADT"),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225" w:lineRule="exact"/>
        <w:rPr>
          <w:sz w:val="20"/>
          <w:szCs w:val="20"/>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420" w:hanging="25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deposits;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but we do provide a portion of the cash to our IAD network to fund ATM transactions ourselves. Euronet is generally liable for the cash in the ATM networks.</w:t>
      </w:r>
    </w:p>
    <w:p>
      <w:pPr>
        <w:spacing w:after="0" w:line="18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offer dynamic currency conversion (“DCC”) over our IAD networks, ATM networks that we operate on an outsourced basis for banks, and over banks'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transactions completed through the POS terminal, which results in a pre-defined amount of the customer's home currency being charged to their card. Alternatively, the customer may have the transaction converted in the ordinary way, in which the amount of local currency is communicated to the card issuing bank and the card issuing bank makes the conversion to the customer's home currency.</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When a customer chooses DCC at an ATM or POS device and Euronet acts as the acquirer or processor, we receive all or a portion of the foreign exchange margin on the conversion of the transaction. On our IAD ATMs, Euronet receives the entire exchange margin. If Euronet is not the acquirer or processor, we share the DCC revenue with the sponsor bank.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mobile top-up, fraud management, bill payment, CRM, foreign remittance payout, and advertising. We are committed to the ongoing development of innovative new products and services to offer our EFT processing customers.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processing centers in our EFT Processing Segment, resulting in cost savings and added value compared to third-party license and maintenance options. Our proprietary software consists of our legacy ITM software, which we have used and sold to banks since 1998 through our Software Solutions unit, and a new, innovative switching software package named “Renaissance”.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advertising, fraud management, bill payment, mobile top-up, CRM and foreign remittance payout.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make selective additions to our own ATM network if we see market demand and profit opportunities. In tourist locations, we also shut down ATMs during the winter season when tourist activity is low.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would provide continued growth while minimizing our capital investment.</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Complementary services offered by our epay Segment, where we provide prepaid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 individual customer of the EFT Processing Segment makes up greater than 10% of total consolidated revenues. In India, we have contracts with government-owned banks to provide certain ATM services, including mobile airtime recharge services. Additionally, certain government-owned banks are members of our shared ATM network in India. In Croatia, we lease land and other property for certain ATM sites from companies that are majority-owned by the government. In Pakistan, we have a contract with a government-owned bank to provide software support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offer prepaid mobile airtime top-up services and other prepaid and payment products on a network of approximately 661,000 POS terminals across approximately 305,000 retailer locations in Europe, the Middle East, Asia Pacific, the United States and South America. Our processing centers for the epay Segment are located in Billericay, U.K.; Martinsried, Germany; Hamburg, Germany; Milan, Italy; Buena Park, California, USA; and Kansas City, Missouri, USA.</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2003, we have expanded our prepaid business in new and existing markets by drawing upon our depth of experience to build and expand relationships with mobile phone operators, prepaid content providers and retailers. In addition to prepaid mobile airtime, we offer a wide range of products across our retail networks, including prepaid debit cards, gift cards, prepaid vouchers, transport payments, lottery payments, prepaid digital content such as music, games and software, prepaid long distance and bill payment.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epay Segment generates commissions or processing fees from telecommunications service providers for the sale and distribution of prepaid mobile airtime and from the distribution of electronic payment products referenced in the preceding paragraph.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225" w:lineRule="exact"/>
        <w:rPr>
          <w:sz w:val="20"/>
          <w:szCs w:val="20"/>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to sale of traditional mobile top-up volume described above, we have expanded distribution into non-mobile products and also provide value added services. We have leveraged our existing technology infrastructure to sell non-mobile products, which have been sold through our traditional retailer network and new retailer relationships.</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expand our distribution networks through the signing of new contracts with retailers, and in some markets, through the acquisition of existing networks. We are continuing to focus on growing our distribution network through Independent Sales Organizations that contract with retailers in their network to distribute prepaid mobile airtime or other content from their POS terminals. We continue to increase our focus on direct relationships with chains of supermarkets, convenience stores, petrol stations, and other larger scale retailers, where we can negotiate agreements with the retailer on a multi-year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smaller retailers. With these clients, we receive a commission on each transaction that is withheld from the payments made to the mobile phone operator, and we share that commission with the retailers.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Non-Mobile Products and Services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POS network is used for the distribution of other products and services. Although prepaid mobile airtime is the single most significant product distributed through our epay Segment, we also distribute digital content such as, music, games and sofware, as well as other products including gift cards, prepaid vouchers, long distance calling card plans, prepaid Internet plans, debit cards, transport payments, lottery payments, and bill payment. Through our cadooz subsidiary, we also distribute vouchers and physical gifts. In certain locations, the terminals used for prepaid services can also be used for electronic funds transfer to process credit and debit card payments for retail merchandise. In 2016, revenues and gross profit from products other than prepaid mobile airtime were approximately 63% and 55%, respectively, of the total for the epay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number of transactions processed on our POS network has increased over the last five years at a CAGR of approximately 3.8%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1,113</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1,115</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1,244</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1,335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1,294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Mobile top up transactions are declining in many developed markets and transaction fees for mobile transactions are being compressed by the mobile operators. epay's strategy is to defend margins in developing markets by providing value added services to mobile operators and to decrease our reliance on mobile top up by increasing distribution of other digital content.</w:t>
      </w:r>
    </w:p>
    <w:p>
      <w:pPr>
        <w:ind w:right="180"/>
        <w:spacing w:after="0" w:line="254" w:lineRule="auto"/>
        <w:rPr>
          <w:sz w:val="20"/>
          <w:szCs w:val="20"/>
          <w:color w:val="auto"/>
        </w:rPr>
      </w:pPr>
      <w:r>
        <w:rPr>
          <w:rFonts w:ascii="Arial" w:cs="Arial" w:eastAsia="Arial" w:hAnsi="Arial"/>
          <w:sz w:val="18"/>
          <w:szCs w:val="18"/>
          <w:color w:val="auto"/>
        </w:rPr>
        <w:t>New product initiatives focus on products such as gift card malls, prepaid debit cards, transport and digital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and Microsoft.</w:t>
      </w:r>
    </w:p>
    <w:p>
      <w:pPr>
        <w:spacing w:after="0" w:line="19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epay business is significantly impacted by seasonality during the fourth quarter and first quarter of each year due to the higher transaction levels during the holiday season and lower levels following the holiday season.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individual customer of our epay Segment makes up greater than 10% of total consolidated revenues. epay has a contract for the technology and distribution infrastructure for six state-owned lotteries in Germany. In addition, epay has contracts with the state of Florida's (USA) Turnpike partners and Transurban Limited, the largest manager of toll road networks in Australia, Cubic supporting New South Wales Transport ticketing in Australia and with New Zealand Transport Authority, which operates all toll roads in New Zealand.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believe our size and market share are competitive advantages in many markets. In addition, we believe our platforms are a competitive advantage. We have extremely flexible technical platforms that enable us to tailor POS solutions to individual retailers and mobile operator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in a position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global money transfer services primarily under the brand names Ria, IME, xe and HiFX. Ria and IME provide consumer-to-consumer money transfer services through a global network of more than 317,000 locations and our websites riamoneytransfer.com and imeremit.com. Most of our money transfers are originated through sending agents in approximately 32 countries, with money transfer delivery completed in 146 countries. The initiation of a consumer money transfer occurs through retail agents, Company-owned stores or online, while the delivery of money transfers can occur with bank correspondents, retailer agents or from certain ATMs. Our websites allow consumers to send funds online, using a bank account or credit or debit card, for pay-out directly to a bank account or for cash pickup.</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we provide global account-to-account money transfer services under the brand names HiFX and xe. We offer services via our HiFX websites (www.hifx.com, www.hifx.co.uk and www.hifx.com.au) and through HiFX customer service representatives. xe provides foreign currency exchange information and offers money transfer services on its currency data websites (www.xe.com and www.x-rates.com). Through our HiFM brand, we offer cash management solutions and foreign currency risk management services to small-to-medium sized businesses.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28.0%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460" w:type="dxa"/>
            <w:vAlign w:val="bottom"/>
            <w:gridSpan w:val="3"/>
          </w:tcPr>
          <w:p>
            <w:pPr>
              <w:jc w:val="right"/>
              <w:ind w:right="400"/>
              <w:spacing w:after="0"/>
              <w:rPr>
                <w:sz w:val="20"/>
                <w:szCs w:val="20"/>
                <w:color w:val="auto"/>
              </w:rPr>
            </w:pPr>
            <w:r>
              <w:rPr>
                <w:rFonts w:ascii="Arial" w:cs="Arial" w:eastAsia="Arial" w:hAnsi="Arial"/>
                <w:sz w:val="18"/>
                <w:szCs w:val="18"/>
                <w:color w:val="auto"/>
              </w:rPr>
              <w:t>30.7</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35.2</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48.5</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68.7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82.3</w:t>
            </w:r>
          </w:p>
        </w:tc>
      </w:tr>
    </w:tbl>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Buena Park, California, USA; Bracknell, U.K.; Auckland, New Zealand; Kansas City, Missouri, USA; and Kuala Lumpur, Malaysia. We mainly operate Ria call centers in Buena Park, California; Antiguo Cuscatlán, El Salvador; Kuala Lumpur, Malaysia; Dakar, Senegal; Mumbai, India and Madrid, Spain and provide multi-lingual customer service for both our agents and consumers. Additionally, we operate HiFX call centers in Windsor, U.K. and Sydney, Australia.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Money transfer products and services are sold primarily through three channels at agent locations, Company-owned stores and on internet enabled devices at riamoneytransfer.com, imeremit.com, www.hifx.com, www.hifx.co.uk, www.hifx.com.au, xe.com and x-rates.com (online transactions).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an online transaction, customers send funds, using a bank account or credit or debit card, for pay-out at most of our agent locations around the world or directly to a bank account.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Through our Walmart-2-Walmart Money Transfer Service which allows customers to transfer money to and from Walmart stores in the U.S., our Ria business executes the transfers with Walmart serving as both the sending agent and payout correspondent. Ria earns a significantly lower margin from these transactions than its traditional money transfers; however, the arrangement adds a significant number of transactions to Ria’s business. The agreement with Walmart establishes Ria as the only party through which Walmart will sell U.S. domestic money transfers branded with Walmart marks. The agreement has an initial term expiring in April 2017 which will automatically renew for an initial two year term and subsequent one year terms unless either party provides notice to the contrary; no such notices have been provided.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82"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6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3000 companies, including electric and gas utilities and telephone/wireless companies. Bill payment services are offered primarily in the U.S.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HiFX offers account-to-account international payment service to high-income individuals and small-to-medium sized businesses, complementing our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xe offers foreign currency exchange subscriptions, advertising on its websites and money transfer services on its websites. Until October 2016, xe used a third party provider to provide its money transfer services, and received only a share of the revenues from transactions. In October 2016, the provision of money transfer services over the xe website was migrated to HiFX, and we are now receiving all of the revenues from transactions over the xe websites.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4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transaction volumes. Our Money Transfer Segment processed approximately $33.3 billion in money transfers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HiFX and xe businesses into new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Bangladesh, Benin, Brazil, Bosnia-Herzegovina, Burundi, China, Costa Rica, Cote d'Ivoire, Ecuador, Egypt, Eritrea, Ghana, Guatemala, Guyana, Indonesia, Mali, Mexico, Pakistan, Philippines, Poland, Romania, Senegal, Serbia, Togo, Tunisia, Uganda, Ukraine, Vietnam, Burkina Faso, El Salvador, Gambia, Guinea, Guinea Bissau, Honduras, India, Kenya, Moldova, Myanmar, Niger, Rwanda, Sri Lanka, Suriname, Tanzania, Yemen and Zambia.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four times greater than the next largest competitor.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and web-based services and digital currencies. Our continued growth also depends upon our ability to compete effectively with these alternative technologies.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$12.0 million, $7.8 million, and $8.7 million in 2016, 2015 and 2014, respectively. Development costs that were capitalized totaled $6.6 million, $5.2 million and $5.8 million in 2016, 2015 and 2014, respectively.</w:t>
      </w:r>
    </w:p>
    <w:p>
      <w:pPr>
        <w:spacing w:after="0" w:line="15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the Money Transfer Segment, development has focused on expanding our services to Internet enabled devices through our various websites. This is intended to expand our customer base in existing and new corridors.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information on results of operations, property and equipment, and total assets by geographic location, please see Note 16, Business Segment Information, to the Consolidated Financial Statements. Additionally, see Item 1A - Risk Factors, for risk factors related to foreign operations.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had approximately 6,200, 5,600 and 4,600 employees as of December 31, 2016, 2015, and 2014,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2016 and we consider relations with our employees to be good.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Certain of our European product offerings, including in particular, our money transfer services, merchant acquiring and bill payment products are regulated services requiring a license under the PSD as implemented in each European country. The PSD requires a license to perform certain defined "payment services" in a European country, which may be extended throughout the European Economic Area Member States ("Member States") through passporting.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To date, we have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passported our U.K. authorization to thirteen host member states operating under the PSD. Additionally, in the U.K., we have obtained an e-money license under the 2EMD. The e-money license allows Euronet to issue e-money and provide the same services as a PSD licensee. The e-money license imposes certain requirements similar to those of the payment services license, including minimum capital requirements, consumer disclosure and internal controls and can be passported to Member States. Our e-money license holder is currently operating in eighteen Member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Prior to the passage of the Dodd-Frank Wall Street Reform and Consumer Protection Act on July 21, 2010 (“Dodd-Frank Act”), international money transfers were generally not addressed by existing federal consumer protection regulations. The Dodd-Frank Act expanded the scope of the Electronic Fund Transfer Act to provide consumer protections for international remittance transfers. On January 20, 2012, the Consumer Financial Protection Bureau ("CFPB"), established under the Dodd-Frank Act with authority to implement the consumer protective measures, adopted a rule that increased protections for consumers who transmit money internationally. The CFPB's Rule for International Remittances became effective October 28, 2013. Included among the protections are disclosure requirements, cancellation rights and error resolution procedures for consumer complaints. The Dodd-Frank Act further protects consumers by making it unlawful for any provider of consumer financial products or services to engage in unfair, deceptive or abusive acts or practices (collectively, "UDAAPs") and grants the CFPB with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("E.U.")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comply with the GLBA and state privacy provisions. In October 2015, the European Court of Justice invalidated the European Commission’s decision of 2000 regarding the transfer of personal data from the EU to the United States (known as the Safe Harbor Decision). Despite the October 2015 ruling of the European Court of Justice, we believe we remain in compliance with EU regulations regarding the transfer of personal data to the United States.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requires strict compliance with certain accounting and internal control standards set forth under the 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and the FCPA and other laws can expose Euronet and/or individual employees to potentially severe criminal and civil penalties. Such penalties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counter-terrorist financing compliance policy, procedures and monitoring systems, as well as our consumer protection policies and procedures.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brand names of “Ria,” “Ria Financial Services,” “Ria Envia,” “HiFX,” “HiFM,” “xe,”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European Union (“E.U.”) through a Community Trademark application, Brazil, India, Australia and New Zealand. The epay trademark has issued to registration in the U.S., U.K., the E.U., Australia and New Zealand. The trademark applications in the other jurisdictions are still pending. We cannot be certain that we are entitled to use the epay trademark in any markets other than those in which we have registered the trademark. We have filed patent applications for some of our POS top-up and certain other products in support of epay technology. Certain patents have been granted while others have been refused or are still pending. We also hold a patent license covering certain of epay's operations in the U.S.</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March 1, 2017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59</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62</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Executive Vice President - Chief Executive Officer, epay, Software and EFT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50</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Asia Pacific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46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Executive Vice President - Chief Executive Officer, Money Transfer Segment</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5"/>
              </w:rPr>
              <w:t>Executive Vice President - Chief Executive Officer, EFT Europe, Middle East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53</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rPr>
              <w:t>and Africa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L. Bruckner</w:t>
            </w:r>
          </w:p>
        </w:tc>
        <w:tc>
          <w:tcPr>
            <w:tcW w:w="9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41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2014</w:t>
            </w: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RICK L. WELLER, Executive Vice President, Chief Financial Officer. Mr. Weller has been Executive Vice President and Chief Financial Officer of Euronet since he joined Euronet in November 2002. From January 2002 to October 2002, he was the sole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Website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“Investor Relations” section.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186" w:lineRule="exact"/>
        <w:rPr>
          <w:rFonts w:ascii="Arial" w:cs="Arial" w:eastAsia="Arial" w:hAnsi="Arial"/>
          <w:sz w:val="18"/>
          <w:szCs w:val="18"/>
          <w:color w:val="auto"/>
        </w:rPr>
      </w:pPr>
    </w:p>
    <w:p>
      <w:pPr>
        <w:ind w:left="500" w:right="200" w:hanging="316"/>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financial results and condition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number, we will process fewer transactions, resulting in lower revenues. In addition, a recessionary economic environment could reduce the level of transactions taking place on our networks, which will have a negative impact on our business.</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timeframe, coinciding with certain holidays and the increase in worker migration patterns. As a result of these seasonal variations, our quarterly operating results may fluctuate materially and could lead to volatility in the price of our shares.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economic or political instability, wars, civil unrest, terrorism and natural disasters may make money transfers to, from or within a particular country more difficult. The inability to timely complete money transfers could adversely affect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incoming U.S. presidential administration has proposed certain actions that could have an adverse effect on our money transfer business.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money transfer business relies on the free flow of funds along remittance corridors, and our largest corridor is the U.S. to Mexico. U.S. President Donald J. Trump, certain members of the U.S. House of Representatives, and key U.S. administrative officials and policy makers have suggested renegotiation of the North American Free Trade Agreement ("NAFTA") and the implementation of tariffs, border taxes or other measures that could impact the level of trade between the U.S. and Mexico. Any such proposals, such as a tax or restriction on remittances or transfers of money out of the U.S. could have a material adverse impact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Concerns over slow economic growth, level of sovereign debt in many parts of the world, inflation levels, energy costs and geopolitical issues have contributed to increased volatility and diminished expectations for the world economy and the markets going forward. These factors, combined with volatile oil prices, reduced business and consumer confidence and slow recovery from high unemployment rates, have negatively impacted the world economy. A prolonged economic downturn or recession could materially impact our results from operations. A recessionary economic environment could have a negative impact on mobile phone operators, content providers, retailers and our other customers and could reduce the level of transactions processed on our networks, which would, in turn, negatively impact our financial results. If content providers and financial institutions experience decreased demand for their products and services, or if the locations where we provide services decrease in number, we will process fewer transactions, resulting in lower revenues.</w:t>
      </w:r>
    </w:p>
    <w:p>
      <w:pPr>
        <w:spacing w:after="0" w:line="163" w:lineRule="exact"/>
        <w:rPr>
          <w:sz w:val="20"/>
          <w:szCs w:val="20"/>
          <w:color w:val="auto"/>
        </w:rPr>
      </w:pPr>
    </w:p>
    <w:p>
      <w:pPr>
        <w:ind w:right="520"/>
        <w:spacing w:after="0" w:line="313" w:lineRule="auto"/>
        <w:rPr>
          <w:sz w:val="20"/>
          <w:szCs w:val="20"/>
          <w:color w:val="auto"/>
        </w:rPr>
      </w:pPr>
      <w:r>
        <w:rPr>
          <w:rFonts w:ascii="Arial" w:cs="Arial" w:eastAsia="Arial" w:hAnsi="Arial"/>
          <w:sz w:val="17"/>
          <w:szCs w:val="17"/>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5"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 substantial amount of indebtedness. As of December 31, 2016, total liabilities were $1,812.3 million, of which $561.7 million represents long-term debt obligations, and total assets were $2,712.9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178" w:lineRule="exact"/>
        <w:rPr>
          <w:sz w:val="20"/>
          <w:szCs w:val="20"/>
          <w:color w:val="auto"/>
        </w:rPr>
      </w:pPr>
    </w:p>
    <w:p>
      <w:pPr>
        <w:ind w:left="500" w:right="2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58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10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2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Restrictive covenants in our credit facilities may adversely affect us. Our credit facility contains two financial covenants that we must meet as defined in the agreement: (1) Consolidated Total Leverage Ratio, and (2) Consolidated Fixed Charge Coverage Ratio.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8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uncertainty in the credit markets could affect our ability to obtain debt financing on reasonable terms.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uncertainty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portion of our existing indebtedness has variable interest rates. Increases in variable interest rates will increase the amount of interest expense that we pay for our borrowings and have a negative impact on our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be required to recognize impairment charges related to long-lived assets and goodwill recorded in connection with our acquisitions, which would adversely impact our results of operations.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assets include approximately $855.0 million, or 32%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If operating results in any of our key markets, including Australia, Germany, Greece, Malaysia, India, New Zealand, the U.S., the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valid patents that cover some of the processes and systems employed in our business lines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5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 which could adversely affect our operations.</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outside of the U.S. creates difficulties associated with staffing and managing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employment, transfer pricing and other laws or regulations to which we may be subject. We also cannot assure you that these laws will not be modified in ways that may adversely affect our business.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business may be adversely affected if recent developments to applicable data protection regulations in the European Union require us to cease the transfer of personal data from the European Union to the United States.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2015, the European Court of Justice invalidated the European Commission’s decision regarding the transfer of personal data from the EU to the United States (known as the Safe Harbor Decision). Prior to the ruling of the European Court of Justice, the Safe Harbor Decision provided a mechanism that facilitated personal data transfers to the United States in compliance with the EU’s Directive on Data Protection. Our money transfer business relies on the transfer of EU citizens’ personal information to the United States to enable payment of money remittance transactions to beneficiaries through our correspondent network. Despite the October 2015 ruling of the European Court of Justice, we believe we remain in compliance with EU regulations regarding the transfer of personal data to the United States. If we are unable to transfer personal data from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EU to the United States or other countries where we operate, then it could affect the manner in which we provide our services or adversely affect our financial results.</w:t>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2015, Greece experienced a sovereign debt crisis which led to speculation about the possibility of Greece leaving the Eurozone and adopting another currency. Developments in the latter part of 2015 resulted in Greece remaining a member of the European Union and the Eurozone. However, Greece's economy continues to struggle and in the future Greece could leave the E.U. The Company has considered the impact on its business in Greece should Greece adopt another currency. While there is a general risk of reporting net asset values and operating results in an adopted currency which may translate to U.S. dollars at different rates than the euro, we recognize there is a more specific economic risk associated with cash balances in Greece. We hold cash in Greece in banks as well as in our ATM network. A conversion of those cash amounts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 While such a currency change does not appear to be an immediate risk under current circumstances, the Company continues to monitor developments in this area and will attempt to mitigate any adverse effects where possible.</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November 2016, without advance warning, the Indian government announced that it would remove from circulation two of the most often used Indian banknotes, the Rs 500 and Rs 1000 banknotes. The government expected that the notes would rapidly be replaced with a new Rs 500 note and a new Rs 2000 note, retiring (or demonetizing) completely the Rs 1000 banknote. However, distribution of the new notes was delayed, and circulation of the new notes only commenced in February 2017. While the cash supply has been restored progressively during the first months of 2017, the shortage of cash in November and December 2016 adversely impacted Euronet's 2016 fourth quarter revenue earned from ATM cash withdrawals on the more than 12,000 ATMs Euronet owns or operates as well as revenue earned from money transfer remittance payout in India. Any additional delay in restoring the cash supply will continue to adversely impact our results. The action by the Indian government was motivated by a desire to penalize Indians holding large quantities of money earned from illicit business. Any similar action by other governments in countries in which we do business could have an adverse effect on our business.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right="20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17" w:lineRule="exact"/>
        <w:rPr>
          <w:rFonts w:ascii="Arial" w:cs="Arial" w:eastAsia="Arial" w:hAnsi="Arial"/>
          <w:sz w:val="18"/>
          <w:szCs w:val="18"/>
          <w:color w:val="auto"/>
        </w:rPr>
      </w:pPr>
    </w:p>
    <w:p>
      <w:pPr>
        <w:ind w:left="500" w:right="12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117"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An additional 13.5 million shares of Common Stock, representing approximately 26% of the shares outstanding as of December 31, 2016,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2016, we had 3.3 million and 0.5 million options and restricted stock awards outstanding, respectively, held by our directors, officers and employees, which entitle these holders to acquire an equal number of shares of our Common Stock. Of this amount, 2.2 million options are vested and exercisable as of December 31, 2016. Approximately 4.2 million additional shares of our Common Stock may be issued in connection with our stock incentive and employee stock purchase plans.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2.6 million shares could potentially be added to our total current Common Stock outstanding through the exercise of options and the vesting of restricted stock awards, which could adversely impact the trading price for our stock.</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Of the 3.8 million total options and restricted stock awards outstanding, an aggregate of 2.2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Upon the occurrence of certain events, another 5.6 million shares of Common Stock could be issued upon conversion of the Company's convertible notes issued in October 2014; in certain situations, the number of shares issuable could be higher. While we have stated that we intend to settle any conversion of these notes by issuing cash for the principal value of the</w:t>
      </w:r>
    </w:p>
    <w:p>
      <w:pPr>
        <w:spacing w:after="0"/>
        <w:rPr>
          <w:sz w:val="20"/>
          <w:szCs w:val="20"/>
          <w:color w:val="auto"/>
        </w:rPr>
      </w:pPr>
      <w:r>
        <w:rPr>
          <w:rFonts w:ascii="Arial" w:cs="Arial" w:eastAsia="Arial" w:hAnsi="Arial"/>
          <w:sz w:val="18"/>
          <w:szCs w:val="18"/>
          <w:color w:val="auto"/>
        </w:rPr>
        <w:t>notes and issuing shares of Common Stock for the conversion value in excess of the principal, which would significantly</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reduce the number of shares issued upon conversion, if our financial condition significantly and adversely changes, we may not be able to settle as intended should the notes be converted.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6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Money Transfer Segment - </w:t>
      </w:r>
      <w:r>
        <w:rPr>
          <w:rFonts w:ascii="Arial" w:cs="Arial" w:eastAsia="Arial" w:hAnsi="Arial"/>
          <w:sz w:val="17"/>
          <w:szCs w:val="17"/>
          <w:color w:val="auto"/>
        </w:rPr>
        <w:t>Our primary competitors in the money transfer and bill payment business include other large money transfer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Additionally, the number of prepaid mobile top-up transactions we process has declined in certain markets. We have generally been able to mitigate these trends due to growth in the number of higher margin non-mobile product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correspondent and/or consumer level, which could adversely affect our results of operations.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or insurance policies will be adequate to cover losses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resulting from retailer fraud, which could have a material adverse effect on our business, financial condition and results of operations.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With respect to our money transfer business, we conduct the majority of our business through our agent network, which provides money transfer services directly to consumers at retail locations. Our agents collect funds directly from consumers and in turn, we collect from the agents the proceeds due to us resulting from the money transfer transactions. In addition, we advance funds to our correspondent banks to pay out money transfers and they may hold our funds for several days or more pending payment to beneficiaries. Therefore, we have credit exposure to our agents and correspondents.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16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we continue to expand our electronic payment product offerings, certain of those products may become regulated by state, federal or foreign laws, rules and regulations, including the U.S. Consumer Financial Protection Bureau ("CFPB").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6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growth in our epay business may be adversely affected if we are unable to expand and differentiate our offering of new electronic payment products.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5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revenues in our ATM business.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61" w:lineRule="exact"/>
        <w:rPr>
          <w:sz w:val="20"/>
          <w:szCs w:val="20"/>
          <w:color w:val="auto"/>
        </w:rPr>
      </w:pPr>
    </w:p>
    <w:p>
      <w:pPr>
        <w:jc w:val="both"/>
        <w:ind w:right="380"/>
        <w:spacing w:after="0" w:line="289" w:lineRule="auto"/>
        <w:rPr>
          <w:sz w:val="20"/>
          <w:szCs w:val="20"/>
          <w:color w:val="auto"/>
        </w:rPr>
      </w:pPr>
      <w:r>
        <w:rPr>
          <w:rFonts w:ascii="Arial" w:cs="Arial" w:eastAsia="Arial" w:hAnsi="Arial"/>
          <w:sz w:val="17"/>
          <w:szCs w:val="17"/>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majority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Tightening of regulations may adversely affect our results.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product POS terminals and money transfer agents. An example of this type of development is the use of near field technology (NFC) in retail transactions, which if widely accepted in a market reduces the need for cash and can negatively impact the level of ATM transactions in that market. Advances in biometric payment solutions could have similar adverse impact.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mobile phone industry is a rapidly evolving area, in which technological developments, in particular the development of new billing models (such as "all you can eat" plans)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6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80"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 rules could materially and adversely affect our business.</w:t>
      </w:r>
    </w:p>
    <w:p>
      <w:pPr>
        <w:spacing w:after="0" w:line="16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Transactions in the EFT Processing Segment are processed through our Budapest, Beijing, Mumbai and Karachi processing centers. Transactions in the epay Segment are processed through our London, Martinsried, Hamburg, Milan, Buena Park, California and Kansas City, Missouri processing centers. Transactions in our Money Transfer Segment are processed through our Buena Park, California, Kansas City, Missouri, Bracknell, Auckland, and Kuala Lumpur processing centers.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11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a computer security breach, and we cannot exclude the possibility of additional breaches in the future.</w:t>
      </w:r>
    </w:p>
    <w:p>
      <w:pPr>
        <w:spacing w:after="0" w:line="1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 new form of attack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18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to other international financial transaction switching networks operated by organizations such as Citibank, Visa and MasterCard,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93"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2016, the amount of cash used in our ATM networks under these supply agreements was approximately $340.0 million. Before the cash is disbursed to ATM customers, beneficial ownership of the cash is generally retained by the cash providers, and we have no access or proprietary rights to the cash.</w:t>
      </w:r>
    </w:p>
    <w:p>
      <w:pPr>
        <w:spacing w:after="0" w:line="1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already encountered difficulty in obtaining cash supply arrangements in certain of our markets, including Greece, and have begun providing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8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the Dodd-Frank Wall Street Reform and Consumer Protection Act (“Dodd-Frank Act”) or any other existing or future regulations that impact any aspect of our money transfer business.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maybe, implemented by the U.S. President or Congress, toward immigration may have a negative effect on immigration in the U.S. and other countries, which could also have an adverse impact on our money transfer revenues.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the Dodd-Frank Act and other regulations (both U.S. and foreign) is important to our success in achieving growth and an inability to do this could have an adverse impact on our revenues and earnings. Anti-money laundering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 which would harm our money transfer business.</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banking industry regulation and practice could make it more difficult for us and our agents to maintain depository accounts with banks, which would harm our business.</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banking industry, in light of increased regulatory oversight, is continually examining its business relationships with companies that offer money transfer services and with retail agents that collect and remit cash collected from end consumers. Certain major national and international banks have already withdrawn from providing service to money services businesses ("MSBs"). Should our own banks decide to not offer depository services to companies engaged in processing money transfer transactions, or to retail agents that collect and remit cash from end customers, our ability to complete money transfers, and to administer and collect fees from money transfer transactions, could be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relies on customer confidence in our brands and our ability to provide efficient and reliable money transfer services.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 and any adverse change in such offerings would harm our money transfer business.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Dodd-Frank Act established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and working capital. Increased volatility may make us less attractive to certain types of investors. Any of these consequences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referendum vote in favor of leaving the European Union could adversely affect us.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252525"/>
        </w:rPr>
        <w:t>On June 23, 2016, the U.K. held a referendum in which voters approved an exit from the European Union ("E.U."), commonly referred to as Brexit. The announcement of the results of the referendum resulted in significant volatility in global stock markets and currency exchange rate fluctuations that resulted in the strengthening of the U.S. dollar against foreign currencies in which we conduct business. The strengthening of the U.S. dollar relative to other currencies negatively impacts the amount of our reported earnings outside the U.S. because foreign currencies translate into fewer U.S. dollars.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52525"/>
        </w:rPr>
        <w:t>As a result of the referendum, it is expected that the British government will begin negotiating the terms of the U.K.’s future relationship with the</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52525"/>
        </w:rPr>
        <w:t>E.U. Although it is unknown what those terms will be, it is possible that there will be greater restrictions on the terms of trade and immigration between the U.K. and E.U. countries, and increased regulatory complexities. The effects of Brexit will depend on any agreements the U.K. makes to retain access to E.U. markets either during a transitional period or more permanently.</w:t>
      </w:r>
    </w:p>
    <w:p>
      <w:pPr>
        <w:spacing w:after="0" w:line="13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52525"/>
        </w:rPr>
        <w:t>Our EFT Processing Segment and our Money Transfer Segment operate subsidiaries that are licensed in the U.K. as payment institutions and have passported their licenses under the Electronic Money Directive and Payment Services Directive, respectively, across the E.U. If the U.K. negotiates to leave the E.U. single market, then U.K. payment institutions may lose their passporting rights. These measures could potentially disrupt the markets we serve and cause us to use one of our other E.U. licenses or obtain new licenses in another E.U. member state to continue operating in the markets throughout the E.U. Obtaining such additional licenses would require additional investment of time and money, but would not be expected to materially and adversely affect our business or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executive offices are located in Leawood, Kansas. As of December 31, 2016, we also have 34 principal offices in Europe, 12 in Asia Pacific, nine in North America, three in the Middle East, two in South America and one in Africa. Our office leases generally provide for initial terms ranging from two to twelve years.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Beijing, China; and Karachi, Pakistan. Processing centers we operate for the epay Segment are located in Billericay, U.K.; Martinsried, Germany; Hamburg, Germany; Milan, Italy; Buena Park, California, USA; and Kansas City, Missouri, USA. Our processing centers for the Money Transfer Segment are located in Buena Park, California, USA; Bracknell, U.K.; Auckland, New Zealand; Kansas City, Missouri, USA; and Kuala Lumpur, Malaysia.</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18, Litigation and Contingencies, to the Consolidated Financial Statements included elsewhere in this report is incorporated herein by reference.</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upon the consolidated financial statements of the Company.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2015</w:t>
            </w:r>
          </w:p>
        </w:tc>
        <w:tc>
          <w:tcPr>
            <w:tcW w:w="700" w:type="dxa"/>
            <w:vAlign w:val="bottom"/>
            <w:tcBorders>
              <w:bottom w:val="single" w:sz="8" w:color="auto"/>
            </w:tcBorders>
          </w:tcPr>
          <w:p>
            <w:pPr>
              <w:spacing w:after="0"/>
              <w:rPr>
                <w:sz w:val="16"/>
                <w:szCs w:val="16"/>
                <w:color w:val="auto"/>
              </w:rPr>
            </w:pPr>
          </w:p>
        </w:tc>
      </w:tr>
      <w:tr>
        <w:trPr>
          <w:trHeight w:val="26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 the quarters ended</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70.82</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82.20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68.04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76.55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59.07</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56.05</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79.78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58.76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44.96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Since our inception, no dividends have been paid on our Common Stock or Preferred Stock. We do not intend to distribute dividends for the foreseeable future. Certain of our credit facilities consider payment of dividends a restricted payment which is a component in one of our financial covenants. Should we exceed the total amount allowed in the covenant, we would need to obtain lender consent prior to making any dividend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At December 31, 2016, we had 49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2016,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2011 through December 31, 2016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2011.</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3331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33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NOTE: Index Data: Calculated (or Derived) based from CRSP NASDAQ Stock Market (US Companies) and CRSP NASDAQ Financial Index, Center for Research in Security Prices (CRSP®), Graduate School of Business, The University of Chicago. Copyright 2017. Used with permission. All rights reserved.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Rights (1)</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Reflected in Column (a))(2)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4,155,315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Stock option awards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3,310,976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 awards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494,868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3,805,844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36.20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4,155,315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3013"/>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exercise price in this column does not take into account the restricted stock unit awards.</w:t>
      </w:r>
    </w:p>
    <w:p>
      <w:pPr>
        <w:spacing w:after="0" w:line="9" w:lineRule="exact"/>
        <w:rPr>
          <w:rFonts w:ascii="Arial" w:cs="Arial" w:eastAsia="Arial" w:hAnsi="Arial"/>
          <w:sz w:val="18"/>
          <w:szCs w:val="18"/>
          <w:color w:val="auto"/>
        </w:rPr>
      </w:pPr>
    </w:p>
    <w:p>
      <w:pPr>
        <w:ind w:left="420" w:right="640" w:hanging="412"/>
        <w:spacing w:after="0" w:line="261"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this column is 0.3 million shares remaining under our employee stock purchase plan. During 2016, Euronet issued 34,658 shares to employees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2016, the Company did not repurchase 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w w:val="89"/>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1,958,615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1,772,262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1,664,150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1,413,169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1,267,601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1,145,429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80,529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64,167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174,098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98,492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101,488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87,353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20,397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2,712,872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2,192,714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2,038,447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1,595,158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1,547,438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8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end of period (rounded)</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661,000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674,000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681,000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Borders>
              <w:bottom w:val="single" w:sz="8" w:color="FFFF00"/>
            </w:tcBorders>
            <w:shd w:val="clear" w:color="auto" w:fill="FFFF00"/>
          </w:tcPr>
          <w:p>
            <w:pPr>
              <w:spacing w:after="0"/>
              <w:rPr>
                <w:sz w:val="21"/>
                <w:szCs w:val="21"/>
                <w:color w:val="auto"/>
              </w:rPr>
            </w:pPr>
          </w:p>
        </w:tc>
        <w:tc>
          <w:tcPr>
            <w:tcW w:w="980" w:type="dxa"/>
            <w:vAlign w:val="bottom"/>
            <w:tcBorders>
              <w:bottom w:val="single" w:sz="8" w:color="FFFF00"/>
            </w:tcBorders>
            <w:shd w:val="clear" w:color="auto" w:fill="FFFF00"/>
          </w:tcPr>
          <w:p>
            <w:pPr>
              <w:jc w:val="right"/>
              <w:ind w:right="11"/>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FFFF00"/>
            </w:tcBorders>
            <w:shd w:val="clear" w:color="auto" w:fill="FFFF00"/>
          </w:tcPr>
          <w:p>
            <w:pPr>
              <w:spacing w:after="0"/>
              <w:rPr>
                <w:sz w:val="21"/>
                <w:szCs w:val="21"/>
                <w:color w:val="auto"/>
              </w:rPr>
            </w:pPr>
          </w:p>
        </w:tc>
        <w:tc>
          <w:tcPr>
            <w:tcW w:w="260" w:type="dxa"/>
            <w:vAlign w:val="bottom"/>
            <w:tcBorders>
              <w:bottom w:val="single" w:sz="8" w:color="FFFF00"/>
            </w:tcBorders>
            <w:shd w:val="clear" w:color="auto" w:fill="FFFF00"/>
          </w:tcPr>
          <w:p>
            <w:pPr>
              <w:spacing w:after="0"/>
              <w:rPr>
                <w:sz w:val="21"/>
                <w:szCs w:val="21"/>
                <w:color w:val="auto"/>
              </w:rPr>
            </w:pPr>
          </w:p>
        </w:tc>
        <w:tc>
          <w:tcPr>
            <w:tcW w:w="980" w:type="dxa"/>
            <w:vAlign w:val="bottom"/>
            <w:tcBorders>
              <w:bottom w:val="single" w:sz="8" w:color="FFFF00"/>
              <w:right w:val="single" w:sz="8" w:color="FFFF00"/>
            </w:tcBorders>
            <w:shd w:val="clear" w:color="auto" w:fill="FFFF00"/>
          </w:tcPr>
          <w:p>
            <w:pPr>
              <w:jc w:val="right"/>
              <w:ind w:right="11"/>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FFFF00"/>
            </w:tcBorders>
            <w:shd w:val="clear" w:color="auto" w:fill="FFFF00"/>
          </w:tcPr>
          <w:p>
            <w:pPr>
              <w:spacing w:after="0"/>
              <w:rPr>
                <w:sz w:val="21"/>
                <w:szCs w:val="21"/>
                <w:color w:val="auto"/>
              </w:rPr>
            </w:pPr>
          </w:p>
        </w:tc>
        <w:tc>
          <w:tcPr>
            <w:tcW w:w="1000" w:type="dxa"/>
            <w:vAlign w:val="bottom"/>
            <w:tcBorders>
              <w:bottom w:val="single" w:sz="8" w:color="FFFF00"/>
            </w:tcBorders>
            <w:shd w:val="clear" w:color="auto" w:fill="FFFF00"/>
          </w:tcPr>
          <w:p>
            <w:pPr>
              <w:jc w:val="right"/>
              <w:ind w:right="31"/>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FFFF00"/>
            </w:tcBorders>
            <w:shd w:val="clear" w:color="auto" w:fill="FFFF00"/>
          </w:tcPr>
          <w:p>
            <w:pPr>
              <w:spacing w:after="0"/>
              <w:rPr>
                <w:sz w:val="21"/>
                <w:szCs w:val="21"/>
                <w:color w:val="auto"/>
              </w:rPr>
            </w:pPr>
          </w:p>
        </w:tc>
        <w:tc>
          <w:tcPr>
            <w:tcW w:w="280" w:type="dxa"/>
            <w:vAlign w:val="bottom"/>
            <w:tcBorders>
              <w:bottom w:val="single" w:sz="8" w:color="FFFF00"/>
            </w:tcBorders>
            <w:shd w:val="clear" w:color="auto" w:fill="FFFF00"/>
          </w:tcPr>
          <w:p>
            <w:pPr>
              <w:spacing w:after="0"/>
              <w:rPr>
                <w:sz w:val="21"/>
                <w:szCs w:val="21"/>
                <w:color w:val="auto"/>
              </w:rPr>
            </w:pPr>
          </w:p>
        </w:tc>
        <w:tc>
          <w:tcPr>
            <w:tcW w:w="980" w:type="dxa"/>
            <w:vAlign w:val="bottom"/>
            <w:tcBorders>
              <w:bottom w:val="single" w:sz="8" w:color="FFFF00"/>
            </w:tcBorders>
            <w:shd w:val="clear" w:color="auto" w:fill="FFFF00"/>
          </w:tcPr>
          <w:p>
            <w:pPr>
              <w:jc w:val="right"/>
              <w:ind w:right="31"/>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FFFF00"/>
            </w:tcBorders>
            <w:shd w:val="clear" w:color="auto" w:fill="FFFF00"/>
          </w:tcPr>
          <w:p>
            <w:pPr>
              <w:spacing w:after="0"/>
              <w:rPr>
                <w:sz w:val="21"/>
                <w:szCs w:val="21"/>
                <w:color w:val="auto"/>
              </w:rPr>
            </w:pPr>
          </w:p>
        </w:tc>
        <w:tc>
          <w:tcPr>
            <w:tcW w:w="280" w:type="dxa"/>
            <w:vAlign w:val="bottom"/>
            <w:tcBorders>
              <w:bottom w:val="single" w:sz="8" w:color="FFFF00"/>
            </w:tcBorders>
            <w:shd w:val="clear" w:color="auto" w:fill="FFFF00"/>
          </w:tcPr>
          <w:p>
            <w:pPr>
              <w:spacing w:after="0"/>
              <w:rPr>
                <w:sz w:val="21"/>
                <w:szCs w:val="21"/>
                <w:color w:val="auto"/>
              </w:rPr>
            </w:pPr>
          </w:p>
        </w:tc>
        <w:tc>
          <w:tcPr>
            <w:tcW w:w="980" w:type="dxa"/>
            <w:vAlign w:val="bottom"/>
            <w:tcBorders>
              <w:bottom w:val="single" w:sz="8" w:color="FFFF00"/>
            </w:tcBorders>
            <w:shd w:val="clear" w:color="auto" w:fill="FFFF00"/>
          </w:tcPr>
          <w:p>
            <w:pPr>
              <w:jc w:val="right"/>
              <w:ind w:right="11"/>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00" w:right="420" w:hanging="378"/>
        <w:spacing w:after="0" w:line="290"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results of 2013 and 2012 include non-cash charges related to impairment of goodwill and acquired intangible assets of $18.4 million and $28.7 million, respectively. Additionally, 2013 results include a $19.3 million non-cash acquisition-related contingent consideration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60" w:hanging="648"/>
        <w:spacing w:after="0" w:line="27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33,973 ATMs and approximately 163,000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661,000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40" w:hanging="648"/>
        <w:spacing w:after="0" w:line="28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(riamoneytransfer.com and imeremit.com), disbursing money transfers through a worldwide correspondent network that includes approximately 317,000 locations. xe is a provider of foreign currency exchange information and offers money transfer services on its currency data websites (xe.com and x-rates.com). We offer services under the brand name HiFX through our HiFX websites (www.hifx.com,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34 principal offices in Europe, 12 in Asia Pacific, nine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24%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35% of total consolidated revenues for the year ended December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derived from commissions or processing fees received from mobile phone operators for the processing and distribution of prepaid mobile airtime and commissions earned from the distribution of other electronic payment products, vouchers, and physical gifts.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 Agreements with mobile operators and prepaid content providers are important to the success of our business. These agreements permit us to distribute prepaid mobile airtime and other electronic payment products to retailers.</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41%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our websites www.riamoneytransfer.com, imeremit.com, xe.com, x-rates.com, www.hifx.com, www.hifx.co.uk and www.hifx.com.au,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DCC services to banks and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acquisition or termination of one or more of these management contracts. Therefore, the timing of both current and new contract revenues is uncertain and unpredictable.</w:t>
      </w:r>
    </w:p>
    <w:p>
      <w:pPr>
        <w:spacing w:after="0" w:line="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right="40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decrease our reliance on prepaid mobile top up, capture market share from distribution of other digital content, offer a superior product offering and demonstrate the value of a global network. In certain markets in which we operate, many of the factors that may contribute to rapid growth (growth in electronic payment products, expansion of our network of retailers and access to mobile operators' and other content providers' products) remain present.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2016, 2015 and 2014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Operating Income (Expense)</w:t>
            </w:r>
          </w:p>
        </w:tc>
        <w:tc>
          <w:tcPr>
            <w:tcW w:w="82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358,636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91,321</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693,986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708,373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783,781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68,242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66,439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61,070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801,919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685,635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523,150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101,526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42,741</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1,960,159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1,773,531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1,665,567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286,924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239,491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195,132</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(36,401)</w:t>
            </w:r>
          </w:p>
        </w:tc>
      </w:tr>
      <w:tr>
        <w:trPr>
          <w:trHeight w:val="257"/>
        </w:trPr>
        <w:tc>
          <w:tcPr>
            <w:tcW w:w="32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1,958,615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1,772,262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1,664,150</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249,773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204,841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158,731</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consolidated revenues increased by 11% for 2016 compared to 2015 and by 6% for 2015 compared to 2014.</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increases in revenues for 2016 and 2015 were primarily due to the acquisitions of IME, the continued growth of the Walmart-2-Walmart money transfer service since its April 2014 launch and growth in the number of money transfers processed by the core Ria business in our Money Transfer Segment, an increase in the number of ATMs under management, along with an increase in demand for dynamic currency conversion ("DCC") and other value added services, in our EFT Processing Segment, and an increase in the number of non-mobile transactions processed by our epay subsidiaries. These increases were partly offset by decreases in the number of prepaid mobile transactions processed by our epay subsidiaries. The October 2016 acquisition of YourCash Europe Limited and its subsidiaries ("YourCash") contributed to the increase in number of ATMs and transactions processed in our EFT Processing Segment in 2016. The increase in revenues for 2015 also was due to the inclusion of a full year of contributions from HiFX since its acquisition in May 2014.</w:t>
      </w:r>
    </w:p>
    <w:p>
      <w:pPr>
        <w:spacing w:after="0" w:line="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increases in operating income for 2016 and 2015 were primarily due to the increase in the number of money transfer transactions processed, including Walmart-2-Walmart transactions and those of our businesses acquired in 2015 and 2014, the increase in ATMs under management, along with the increase in demand for DCC and other value added services, and the increase in the number of non-mobile transactions processed for epay. These increases were partly offset by a decrease in the number of prepaid mobile transactions processed and an increase in salaries and benefits and other costs to support the growth in the business.</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income attributable to Euronet for 2016, 2015 and 2014 was $174.4 million, or $3.23 per diluted share, $98.8 million, or $1.83 per diluted share, and $101.6 million, or $1.89 per diluted share,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2016 consolidated operating income was not significantly influenced by the changes in foreign currency exchange rates when compared to 2015. We estimate that our reported consolidated operating income for 2015 was 14% less due to changes in foreign currency exchange rates when compared to 2014. If significant, in our discussion we will refer to the impact of fluctuations in foreign currency exchange rates in our comparison of operating segment results.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during 2016, 2015 and 2014, of the currencies of the countries in which we have our most significant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2016 Decrease</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2015 Decrease</w:t>
            </w:r>
          </w:p>
        </w:tc>
        <w:tc>
          <w:tcPr>
            <w:tcW w:w="0" w:type="dxa"/>
            <w:vAlign w:val="bottom"/>
          </w:tcPr>
          <w:p>
            <w:pPr>
              <w:spacing w:after="0"/>
              <w:rPr>
                <w:sz w:val="1"/>
                <w:szCs w:val="1"/>
                <w:color w:val="auto"/>
              </w:rPr>
            </w:pPr>
          </w:p>
        </w:tc>
      </w:tr>
      <w:tr>
        <w:trPr>
          <w:trHeight w:val="71"/>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center"/>
              <w:ind w:right="25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26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0.7435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0.9020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1.3555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1.5283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1.6474</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1.3286</w:t>
            </w:r>
          </w:p>
        </w:tc>
        <w:tc>
          <w:tcPr>
            <w:tcW w:w="12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0.0043</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0.0149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0.0164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0.2418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0.2578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0.3059</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0.6968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0.8301</w:t>
            </w:r>
          </w:p>
        </w:tc>
        <w:tc>
          <w:tcPr>
            <w:tcW w:w="12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0.2538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0.2656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0.3177</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2016, 2015 and 2014 - By Operating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464,254</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379,523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84,731</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224,793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182,136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42,657</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30,399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25,822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4,577</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40,084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31,807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347,098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285,129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61,969</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117,156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94,394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22,762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1,885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362</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27,795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6,400</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EFT Processing Segment total revenues for 2016 were $464.3 million, an increase of $84.7 million or 22% as compared to 2015. The increase in total revenues is primarily due to an increase in the number of ATMs under management. Specifically, the increase in the number of ATMs contributed to increases in the number of transactions processed, including DCC transactions, primarily in Europe. The acquisition of YourCash, completed during the fourth quarter of 2016, also contributed to the increase in total revenues for the year. The increases were partially offset by the impact of the U.S. dollar strengthening against key foreign currencies. Foreign currency movements reduced total revenues for 2016 by approximately $8.1 million as compared to 2015.</w:t>
      </w:r>
    </w:p>
    <w:p>
      <w:pPr>
        <w:spacing w:after="0" w:line="5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Despite the ongoing economic crisis in Greece and the related capital controls implemented by the Greek government, our EFT Processing business has seen an increase in the number of transactions processed, specifically POS and DCC transactions. In mid-2015, the Greek government implemented restrictions on the transfer of funds and cash withdrawals, which shifted the consumer behavior towards POS card payments. As result, there was an increase in transactions processed on our network of POS devices in Greece, which contributed to an increase in POS revenues. The decline in prices in Greece has resulted in an increase in tourism in the country which contributed to an increase in DCC revenues.</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Average monthly revenues per ATM were $1,392 for 2016 compared to $1,478 for 2015. The decrease in average monthly revenues per ATM was primarily due to the addition of approximately 5,300 low-margin ATMs in India. Revenues per transaction were $0.25 for both 2016 and 2015. The revenue growth from DCC, which earns higher revenues per transaction than other ATM or card based services, was largely offset by the impact of the low margin ATM transactions in India.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EFT Processing Segment direct operating costs were $224.8 million for 2016, an increase of $42.7 million or 23% as compared to 2015.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 in direct operating costs was primarily due to the increase in the number of ATMs under management, partly offset by the impact of the U.S. dollar strengthening against key foreign currencies.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Gross profit, which is calculated as revenues less direct operating costs, was $239.5 million for 2016 compared to $197.4 million for 2015. The increase in gross profit was primarily due to the growth in revenues from the increases in ATMs under management and DCC transactions processed. Gross profit as a percentage of revenues (“gross margin”) were 51.6% and 52.0% for 2016 and 2015, respectively. The decrease in gross profits as a percentage of revenue was primarily due to increased operating costs due to the expansion of our ATM network, which includes fixed costs for our independent ATMs and increased site rental cost as we negotiate new locations and contracts, along with growth in the India market where we earn lower revenue per transaction.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Salaries and benefits increased $6.5 million or 14% for 2016 compared to 2015. The increase in salaries and benefits was primarily attributable to additional headcount to support an increase in the number of ATMs and POS devices under management. As a percentage of revenues, these costs decreased slightly to 11.2% for 2016 from 12.0% for 2015, primarily due to growth in revenues earned from DCC and other value added service transactions on our ATMs under management,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Selling, general and administrative expenses for 2016 were $30.4 million, an increase of $4.6 million or 18% as compared to 2015. The increase was primarily due to the additional support costs as a result of the increase in the number of ATMs under management. As a percentage of revenues, these expenses decreased to 6.5% for 2016 from 6.8% for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Depreciation and amortization expense increased $8.3 million for 2016 compared to 2015. The increase was primarily attributable to the deployment of additional ATMs, including more expensive cash recycling ATMs, and software assets. As a percentage of revenues, depreciation and amortization expense was essentially flat at 8.6% for 2016 and 8.4% for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EFT Processing Segment operating income for 2016 was $117.2 million, an increase of $22.8 million or 24% as compared to 2015. Operating income for 2016 increased primarily due to higher revenues from the additional number of ATMs under management and growth in revenues earned from DCC and other value added service transactions.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as a percentage of revenues (“operating margin”) was 25.2% for 2016 compared to 24.9% for 2015. Operating income per transaction remained at $0.06 for 2016 and 2015. Operating margin and operating income per transaction were essentially flat for 2016 when compared to 2015. This is primarily attributable to higher operating revenues, partially offset by low margin ATM transactions in India and higher costs incurred to support the additional ATMs under management.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2015 and 2014:</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5"/>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379,523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358,636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20,887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182,136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163,590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18,546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45,364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47,148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25,730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31,807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30,847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285,129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267,315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97"/>
        </w:trPr>
        <w:tc>
          <w:tcPr>
            <w:tcW w:w="60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94,394</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91,321</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3,073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1,262</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ATMs as of December 31</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21,360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20,364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ATMs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21,395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19,247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revenues for 2015 increased when compared to 2014, primarily due to an increase in the number of ATMs and POS devices under management being partially offset by the impact of the U.S. dollar strengthening against key foreign currencies. The increase in ATMs and POS devices under management also contributed to an increase in DCC revenues which were partly offset by a decrease in rates charged for certain debit and credit outsourcing services as a result of our actions to amend and extend a contract with a large European customer during the first quarter of 2015.</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2015, our EFT Processing business in Greece was affected by the sovereign debt crisis in that country. First, due to capital controls on Greek banks, we were not able to obtain the full amount of cash from them needed to fill our ATMs which occasionally resulted in fewer transactions processed due to empty ATMs. However, we had arranged alternative sources of cash to supplement those supplied by Greek banks which largely mitigated ATM cash supply problems. Second, due to the uncertainty in Greece, tourist traffic was lower than usual which reduced the number of ATM withdrawals and DCC transactions processed. Further, some tourists who were concerned about their ability to withdraw cash from ATMs in Greece brought additional cash with them on their travels which resulted in fewer withdrawals from our ATMs, including DCC transactions.</w:t>
      </w:r>
    </w:p>
    <w:p>
      <w:pPr>
        <w:spacing w:after="0" w:line="7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Average monthly revenues per ATM were $1,478 for 2015 compared to $1,553 for 2014. The decrease was primarily due to the strengthening of the U.S. dollar against key foreign currencies, partly offset by revenue growth from an increase in ATMs under management and DCC transactions processed. Revenues per transaction were $0.25 for 2015 compared to $0.28 for 2014. Revenue growth from DCC, which earns higher revenues per transaction than other ATM or card based services, was largely offset by the impact of the U.S. dollar strengthening against key foreign currencies.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Direct operating costs increased for 2015 compared to 2014 primarily due to the increase in the number of ATMs under management, partly offset by the impact of the U.S. dollar strengthening against key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profit was $197.4 million for 2015 compared to $195.0 million for 2014. This increase was primarily due to growth in revenues from increases in ATMs under management and DCC transactions processed, partly offset by the impact of the U.S. dollar strengthening against key foreign currencies and decreases in rates charged for certain debit and credit card outsourcing services. Gross margin decreased to 52.0% for 2015 from 54.4% for 2014, primarily due to decrease in rates charged for certain debit and credit card outsourcing services.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decrease in salaries and benefits for 2015 compared to 2014 was primarily due to the impact of the U.S. dollar strengthening against key foreign currencies being largely offset by adding employees to support the growth in ATMs and POS devices under management. As a percentage of revenues, these costs decreased to 12.0% for 2015 from 13.1% for 2014, primarily due to growth in revenues earned from DCC and other value added service transactions on our ATMs under management,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for 2015 were essentially flat compared to 2014, primarily due to increased costs incurred to support the growth in ATMs under management, offset by the impact of the U.S. dollar strengthening against key foreign currencies. As a percentage of revenues, selling, general and administrative expenses decreased to 6.8% for 2015 from 7.2% for 2014, primarily due to an increase in revenues from DCC and value added services discussed above,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and amortization expense increased for 2015 compared to 2014 primarily due to an increase in depreciation expense on our ATMs under management and software assets, partly offset by the impact of the U.S. dollar strengthening against key foreign currencies. As a percentage of revenues, depreciation and amortization expense decreased to 8.4% for 2015 from 8.6% for 2014, primarily due to revenue growth exceeding the growth of our ATMs under management and an increase in software capitalization.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Operating income increased for 2015 compared to 2014, primarily due to an increase in the number of ATMs under management and growth in revenues earned from DCC and other value added services, partly offset by the impact of the U.S. dollar strengthening against key foreign currencies. Operating margin was 24.9% for 2015 compared to 25.5% for 2014 and operating income per transaction remained at $0.07 for 2015 and 2014. The slight decrease in operating margin was primarily due to a decrease in rates charged for certain debit and credit card management services.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693,986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708,373</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528,774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542,747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51,378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49,752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1,626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38,272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11,075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11,163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625,744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641,934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68,242</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66,439</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1,803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epay Segment total revenues for 2016 were $694.0 million, a decrease of $14.4 million or 2% as compared to 2015. The decrease in total revenues was primarily due to the impact of the U.S. dollar strengthening against key foreign currencies, and a decrease in prepaid mobile transactions processed in the U.S. and U.K. due to competitive pressures on prepaid mobile carriers. Foreign currency movements reduced total revenues by approximately $16.2 million as compared to the same period in 2015. The decrease was partially offset by the transaction growth of non-mobile products processed in Germany, U.K. and Australia. The decreased revenue was also the result of high promotional activities for non-mobile transactions in a particular market during 2015 which did not recur in 2016; however, this decrease was partly offset by an unexpected high volume of non-mobile transactions in another emerging market.</w:t>
      </w:r>
    </w:p>
    <w:p>
      <w:pPr>
        <w:spacing w:after="0" w:line="5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Revenues per transaction increased to $0.54 for 2016 from $0.53 for 2015. The increase in revenues per transaction was driven by the increase in the number of non-mobile transactions processed, for which we generally earn higher revenues per transaction than mobile transactions, partially offset by the impact of the U.S. dollar strengthening against key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epay Segment direct operating costs were $528.8 million for 2016, a decrease of $14.0 million or 3% as compared to 2015. 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 in direct operating costs was primarily due to the net impact of the U.S. dollar strengthening against key foreign currencies. The decreases were partly offset by additional cost to support the transaction growth of our non-mobile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Gross profit was $165.2 million for 2016 compared to $165.6 million for 2015. The slight decrease in gross profit was due to the net impact of the U.S. dollar strengthening against key foreign currencies and the decrease in prepaid mobile transactions processed in the U.S. and U.K, partially offset by the increase in non-mobile transactions. Gross margin increased to 23.8% for 2016 from 23.4% for 2015, mainly due to increase in non-mobile transactions processed, partly offset by lower gross margins realized on voucher redemptions.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Salaries and benefits increased $1.6 million or 3% for 2016 as compared to 2015. The increase was primarily due to the increase in salaries, benefits and bonus expense, which was mainly driven by higher headcount in an effort to grow the segment. As a percentage of revenues, salaries and benefits increased slightly to 7.4% for 2016 from 7.0% for 2015, primarily due to the headcount growth.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Selling, general and administrative expenses for 2016 were $34.5 million, a decrease of $3.8 million or 10% as compared to 2015. Selling, general and administrative expenses for 2016 decreased due to management of cost. As a percentage of revenues, these expenses remained relatively flat at 5.0% for 2016 and 5.4% for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was flat for 2016 as compared to 2015. As a percentage of revenues, these expenses were flat at 1.6% for 2016 and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epay Segment operating income for 2016 was $68.2 million, an increase of $1.8 million or 3% as compared to 2015. Operating income for 2016 increased primarily due to lower support cost when compared to 2015. Operating margin was essentially flat at 9.8% for 2016 and 9.4% for 2015. Operating income per transaction was $0.05 for both 2016 and 2015. Despite the decrease in revenues and overall number of transactions processed, there was growth in non-mobile transactions which generally earn higher revenues per transaction than mobile transactions.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2015 and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1360" w:type="dxa"/>
            <w:vAlign w:val="bottom"/>
            <w:tcBorders>
              <w:top w:val="single" w:sz="8" w:color="auto"/>
            </w:tcBorders>
          </w:tcPr>
          <w:p>
            <w:pPr>
              <w:jc w:val="center"/>
              <w:ind w:lef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center"/>
              <w:ind w:left="115"/>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tcPr>
          <w:p>
            <w:pPr>
              <w:jc w:val="center"/>
              <w:ind w:left="13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708,373</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783,781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(75,408)</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542,747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607,866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(65,119)</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49,752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56,402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38,272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42,542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(4,270)</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641,934</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722,711</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(80,777)</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66,439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61,070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5,369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91</w:t>
            </w:r>
          </w:p>
        </w:tc>
        <w:tc>
          <w:tcPr>
            <w:tcW w:w="13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decrease in revenues for 2015 compared to 2014 was primarily due to the impact of the U.S. dollar strengthening against key foreign currencies, a decrease in prepaid mobile transactions processed in Brazil and the U.K. and lower transactions processed and rates charged for certain transactions in the U.S. Partially offsetting the decreases was an increase in the number of non-mobile transactions processed in Germany and Australia, an increase in the number of prepaid mobile transactions processed in India an the Middle East, and an increase in voucher sales and redemptions in our cadooz subsidiary. Additionally, 2015 results included an unexpected high volume of non-mobile transactions related to promotional activities of a content partner which is uncertain to recur.</w:t>
      </w:r>
    </w:p>
    <w:p>
      <w:pPr>
        <w:spacing w:after="0" w:line="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Revenues per transaction were $0.53 for 2015 and $0.63 for 2014. This decrease was primarily due to the impact of the U.S. dollar strengthening against key foreign currencies and growth in the number of prepaid mobile transactions processed in India and the Middle East where revenues per transaction are considerably lower than average. The decrease in revenues per transaction was partly offset by the increase in the number of non-mobile transactions processed, for which we generally earn higher revenues per transaction than mobile transactions.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direct operating costs was primarily due to the impact of the U.S. dollar strengthening against key foreign currencies and the decrease in the number of prepaid mobile transactions processed in the U.K. and Brazil. The decreases were partly offset by the increase in vouchers redeemed in our cadooz subsidiary, non-mobile transactions processed in Germany, along with the increase in non-mobile transactions related to promotional activities described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Gross profit was $165.6 million for 2015 compared to $175.9 million for 2014. The decrease in gross profit was primarily due to the impact of the U.S. dollar strengthening against key foreign currencies and decreases in revenues in Brazil, the U.S. and the U.K. The decreases were partly offset by growth in non-mobile transactions processed in Germany and Australia, along with an increase in non-mobile transactions related to promotional activities. Gross margin increased to 23.4% for 2015 from 22.4% for 2014, mainly due to increase in non-mobile transactions processed, partly offset by lower gross margins realized on voucher redemptions. Gross profit per transaction decreased to $0.12 for 2015 from $0.14 for 2014, primarily due to the impact of the U.S. dollar strengthening against key foreign currencies and the decrease in revenues in Brazil., the U.S. and the U.K.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decrease in salaries and benefits for 2015 compared to 2014 was primarily due to the impact of the U.S. dollar strengthening against key foreign currencies, partly offset by an increase in headcount in Germany and India to support the increase in transactions processed as discussed above and an increase in bonus expense related to the improved results. As a percentage of revenues, salaries and benefits decreased slightly to 7.0% for 2015 from 7.2% for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 in selling, general and administrative expenses for 2015 compared to 2014 was primarily due to the impact of the U.S. dollar strengthening against key foreign currencies, partly offset by a write-down of certain deferred costs which were no longer recoverable under the respective contracts. As a percentage of revenues, these expenses remained at 5.4% for 2015 and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expense decreased for 2015 compared to 2014 mainly due to the impact of the U.S. dollar strengthening against key foreign currencies and certain assets becoming fully depreciated without yet being replaced. As a percentage of revenues, these expenses decreased to 1.6% for 2015 from 2.0% for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operating income for 2015 compared to 2014 was primarily due to growth in transactions processed exceeding the growth in support costs, partly offset by the net impact of the U.S. dollar strengthening against key foreign currencies and the deferred cost write-downs described above. Operating margin increased to 9.4% for 2015 from 7.8% for 2014, primarily due to the growth in transactions while costs were kept stable. Operating income per transaction was $0.05 for both 2015 and 2014.</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801,919</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685,635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116,284</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422,508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358,154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64,354</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155,471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18,394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93,219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85,096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8,123</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29,195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26,650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700,393</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606,977</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93,416</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101,526</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78,658</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22,868</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Money Transfer Segment total revenues were $801.9 million for 2016, an increase of $116.3 million or 17% as compared to 2015. The increase in revenues was primarily due to increases in the number of money transfers processed, driven by growth in our U.S. and foreign agent and correspondent payout networks. Our domestic Walmart-2-Walmart money transfer service and organic growth accounted for a significant portion of the growth during the year. The acquisition of IME (M) Sdn Bhd ("IME") and xe Corporation ("xe") completed during 2015 also contributed to the increase in total revenues. The increases were partly offset by the U.S. dollar strengthening against key foreign currencies.</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Revenues per transaction decreased to $9.74 for 2016 from $9.98 for 2015. The decrease was primarily due to the impact of our Walmart money transfer product, which earns lower revenues per transaction than other money transfer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Money Transfer Segment direct operating costs were $422.5 million for 2016, an increase of $64.4 million or 18% as compared to 2015. 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and cash handling costs. The increase in direct operating costs in 2016 was primarily due to growth in the number of money transfer transactions processed in both the U.S. and foreign markets and the impact of the acquisition of 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profit was $379.4 million for 2016 compared to $327.5 million for 2015. The increase in gross profit was primarily due to growth in the number of money transfer transactions processed in both the U.S. and foreign markets. The impact of our acquisitions of IME and xe and the increased activity in our HiFX business also contributed to the increase in gross profits for 2016. Gross margins were essentially flat compared to the prior year which were 47.3% for 2016 and 47.8% for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Salaries and benefits increased $18.4 million or 13% for 2016 compared to 2015. The increase in salaries and benefits was primarily due to the expansion of our operations in both U.S. and foreign markets. The acquisitions of IME and xe also contributed to the increase in salaries and benefits for 2016. As a percentage of revenues, salaries and benefits improved to 19.4% for 2016 from 20.0% for 2015, The decrease is primarily due to the increase in the number of money transfers processed, and the transaction growth exceeding headcount growth.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Selling, general and administrative expenses for 2016 were $93.2 million, an increase of $8.1 million or 10% as compared to 2015. The increase was primarily due to expenses incurred to support the expansion of our money transfer products in both the U.S. and foreign markets. The acquisitions of IME and xe also contributed to the increase in selling, general, and administrative expenses for 2016. As a percentage of revenues, selling, general and administrative expenses decreased to 11.6% for 2016 from 12.4% for 2015, primarily due to an increase in the number of money transfers processed, which did not require a similar increase in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and amortization expense increased $2.5 million for 2016 compared to 2015. For 2016, depreciation and amortization expense increased compared to 2015 primarily due to the amortization of intangible assets related to the acquisition of IME and xe and investments made to support the growth in the business. As a percentage of revenues, depreciation and amortization expense decreased to 3.6% for 2016 from 3.9% for 2015, primarily due to certain intangible assets becoming fully amortized in the first quarter of 2015 and the effect of revenues earned from our Walmart money transfer product, which required less capital investment than other money transfer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Money Transfer Segment operating income was $101.5 million for 2016, an increase of $22.9 million or 29% as compared to 2015. Operating income increased primarily due to the growth in the number of money transfers processed. The impact of our acquisition of IME also contributed to the increase in gross profits for 2016. The increase in operating income was partly offset by an increase in salaries and benefits and other costs to support the growth in the business.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margin increased to 12.7% for 2016 from 11.5% for 2015 and operating income per transaction increased to $1.23 for 2016 from $1.14 for 2015. Operating margin and operating income per transaction improved for the current year primarily due to the increases in the number of money transfers processed partially offset by the additional salaries and benefits and other costs incurred to support the growth in the business, including cost incurred for the migration of the xe money transfers to HiFX's platform in the fourth quarter of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2015 and 2014 for the Money Transfer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2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685,635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523,150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162,485</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358,154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263,253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94,901</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137,077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21,658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85,096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77,305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7,791</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26,650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606,977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480,409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126,568</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1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78,658</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42,741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35,917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Transactions processed (millions)</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20.2</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revenues for 2015 compared to 2014 was primarily due to an increase in the number of transactions processed, largely driven by growth in our U.S. and foreign agent and correspondent payout networks, the 2014 launch of our Walmart money transfer product and the impacts of our May 2014 acquisition of HiFX, our June 2015 acquisition of IME and our July 2015 acquisition of xe. The increases were partly offset by the U.S. dollar strengthening against key foreign currencies.</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Revenues per transaction decreased to $9.98 for 2015 from $10.79 for 2014. The decrease was primarily due to the impact of the U.S. dollar strengthening against key foreign currencies and the launch of our Walmart money transfer product during the second quarter of 2014, which earns lower revenues per transaction than other money transfer services. Partly offsetting these decreases in revenues per transaction was the impact of the HiFX transactions which earn higher revenues per transaction than other money transfer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increase in direct operating costs in 2015 compared to 2014 was primarily due to the growth in the number of money transfer transactions processed in both the U.S. and non-U.S. locations. Partly offsetting the increases in direct operating costs was the impact of the U.S. dollar strengthening against key foreign currencies.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profit was $327.5 million for 2015 compared to $259.9 million for 2014. The increase in gross profit was primarily due to the growth in the number of money transfer transactions processed in both the U.S. and foreign markets and the impact of our acquisitions of HiFX, IME and xe. Partly offsetting the increases in gross profit was the impact of the U.S. dollar strengthening against key foreign currencies.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margin was 47.8% for 2015 compared to 49.7% for 2014. This decrease was primarily due to the growth of our Walmart money transfer product in the U.S., which earns a lower gross profit per transaction than other money transfer services, partly offset by the impact of our acquisition of HiFX, which has higher margin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salaries and benefits for 2015 compared to 2014 was primarily due to the impact of our acquisitions of HiFX, IME and xe, an increase in headcount as a result of the launch of our Walmart money transfer product and expansion of our operations in foreign markets. As a percentage of revenues, salaries and benefits improved to 20.0% for 2015 from 22.1% for 2014, primarily due to increased revenues related to the increase in the number of money transfers processed, which did not require similar increases in support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Selling, general and administrative expenses increased for 2015 compared to 2014, primarily due to the impact of our acquisitions of HiFX, IME and xe and expenses incurred to support the expansion of our money transfer products in both the U.S. and foreign markets. Partly offsetting the increases in selling, general and administrative expenses were the impact of the U.S. dollar strengthening against key foreign currencies, a decrease in bad debt expense and the write-down of certain customer acquisition costs in 2014. As a percentage of revenues, selling, general and administrative expenses decreased to 12.4% for 2015 from 14.8% for 2014, primarily due to an increase in the number of money transfers processed, which did not require a similar increase in support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2015, depreciation and amortization expense increased compared to 2014 primarily due to the amortization of intangible assets related to the acquisition of HiFX, IME and xe and investments made to support the growth in the business. Partly offsetting these increases were the impact of the U.S. dollar strengthening against key foreign currencies and certain intangible assets becoming fully amortized in the first quarter of 2015. As a percentage of revenues, depreciation and amortization expense decreased to 3.9% for 2015 from 4.7% for 2014, primarily due to certain intangible assets becoming fully amortized in the first quarter of 2015 and the effect of revenues earned from our Walmart money transfer product, which required less capital investment than other money transfer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operating income for 2015 compared to 2014, was primarily due to the growth in transactions processed, the impact of our acquisitions of HiFX, IME and xe, the write-down of certain customer acquisition costs in 2014 and lower bad debt expense. These increases in operating income were partly offset by an increase in salaries and benefits and other costs to support the growth in the business and the impact of the U.S. dollar strengthening against key foreign currencies. As a result,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increased to 11.5% for 2015 from 8.2% for 2014 and operating income per transaction increased to $1.14 for 2015 from $0.88 for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2016, 2015 and 2014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2016 Increase</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2015 Increase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29,749</w:t>
            </w:r>
          </w:p>
        </w:tc>
        <w:tc>
          <w:tcPr>
            <w:tcW w:w="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26,969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24,251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7,227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7,276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11,875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37,151</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34,650</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36,401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Overall, operating expenses for Corporate Services increased 7% for 2016, as compared to 2015. The increase is primarily attributable to the increase in salaries and benefits expense due to salary increases, increased headcount to support the growth in the Company and increased incentive and share-based compensation related to the improvement in Company results.</w:t>
      </w:r>
    </w:p>
    <w:p>
      <w:pPr>
        <w:spacing w:after="0" w:line="73" w:lineRule="exact"/>
        <w:rPr>
          <w:sz w:val="20"/>
          <w:szCs w:val="20"/>
          <w:color w:val="auto"/>
        </w:rPr>
      </w:pPr>
    </w:p>
    <w:p>
      <w:pPr>
        <w:ind w:right="2360"/>
        <w:spacing w:after="0" w:line="273" w:lineRule="auto"/>
        <w:rPr>
          <w:sz w:val="20"/>
          <w:szCs w:val="20"/>
          <w:color w:val="auto"/>
        </w:rPr>
      </w:pPr>
      <w:r>
        <w:rPr>
          <w:rFonts w:ascii="Arial" w:cs="Arial" w:eastAsia="Arial" w:hAnsi="Arial"/>
          <w:sz w:val="17"/>
          <w:szCs w:val="17"/>
          <w:color w:val="auto"/>
        </w:rPr>
        <w:t>Operating expenses for Corporate Services decreased 5% for 2015 compared to 2014, driven by a decrease in selling, general and administrative expenses, partly offset by an increase in salaries and benefits expense. The decrease in selling, general and administrative expenses was primarily due to a 2014 settlement of a dispute related to a prior period potential acquisition and charges recorded in 2014 related to unclaimed property. The increase in salaries and benefits expense was due to salary increases, increased headcount to support the growth in the Company and increased incentive and share-based compensation related to the improvement in Company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gridSpan w:val="2"/>
          </w:tcPr>
          <w:p>
            <w:pPr>
              <w:jc w:val="center"/>
              <w:ind w:left="114"/>
              <w:spacing w:after="0" w:line="153"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(28,332)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gains (losses), net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 loss,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634 %</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decrease in interest income for 2016 compared to 2015 was primarily due to a decrease in interest earned on settlement funds held in New Zealand, Brazil and Russia. The decrease in interest income for 2015 compared to 2014 was primarily due to the impact of the U.S. dollar strengthening against key foreign currencies, partly offset by interest earned by HiFX on deposits collected from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interest expense for 2016 compared to 2015 primarily related to the additional borrowings under the revolving credit facility to fund the operating cash for our IAD networks. The increase in interest expense for 2015 compared to 2014 was primarily due to the non-cash accretion of the convertible notes issued in October 2014, along with higher average levels of debt outstanding in 2015 compared to 2014 related to acquisitions made during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(losses), net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for 2016 included an investment gain of $19.4 million, which resulted from our membership in Visa Europe Limited ("Visa Europe") that was sold to Visa, Inc. ("Visa") on June 21, 2016. Visa closed the transaction and provided consideration to the members of Visa Europe consisting of cash consideration of approximately €12.19 billion, issued (a) 2,480,466 shares of Series B Convertible Participating Preferred Stock and (b) 3,156,823 shares of Series C Convertible Participating Preferred Stock, and agreed to make an additional cash payment of €1.12 billion on the third anniversary of closing to Visa Europe members. Our portion of the consideration consisted of cash of $11.9 million, Visa Series B Preferred Shares which are convertible into Visa common shares with an approximate value of $6.4 million, and a long-term receivable of approximately $1.1 million.</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gain in 2015 is primarily the result of the sale of a minor line of business by one of our subsidiaries. In 2014, we recorded a $1.8 million loss on a loan made to a start-up enterprise as it became probable that we would not be repaid.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52525"/>
        </w:rPr>
        <w:t xml:space="preserve">Foreign currency exchange activity includes gains and losses on certain foreign currency exchange derivative contracts and the impact of remeasurement of assets and liabilities denominated in foreign currencies. </w:t>
      </w:r>
      <w:r>
        <w:rPr>
          <w:rFonts w:ascii="Arial" w:cs="Arial" w:eastAsia="Arial" w:hAnsi="Arial"/>
          <w:sz w:val="16"/>
          <w:szCs w:val="16"/>
          <w:color w:val="000000"/>
        </w:rPr>
        <w:t>Assets and liabilities denominated in currencies other than the local currency of each of our</w:t>
      </w:r>
      <w:r>
        <w:rPr>
          <w:rFonts w:ascii="Arial" w:cs="Arial" w:eastAsia="Arial" w:hAnsi="Arial"/>
          <w:sz w:val="16"/>
          <w:szCs w:val="16"/>
          <w:color w:val="252525"/>
        </w:rPr>
        <w:t xml:space="preserve"> </w:t>
      </w:r>
      <w:r>
        <w:rPr>
          <w:rFonts w:ascii="Arial" w:cs="Arial" w:eastAsia="Arial" w:hAnsi="Arial"/>
          <w:sz w:val="16"/>
          <w:szCs w:val="16"/>
          <w:color w:val="000000"/>
        </w:rPr>
        <w:t>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net foreign currency exchange losses of $10.2 million, $41.4 million, $5.6 million in 2016, 2015, and 2014, respectively. These realized and unrealized foreign currency exchange losses primarily reflect the strengthening of the U.S. dollar against the currencies of the countries in which we operate. Additionally, the 2015 loss includes the reclassification to the income statement of $0.8 million of accumulated other comprehensive loss related to translation adjustments resulting from the liquidation of a minor subsidiary.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232,893</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141,094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141,503</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(58,795)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(42,602)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(40,015)</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174,098</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98,492</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101,488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232,893</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141,094</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141,503</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Other gains (losses), net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19,956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(1,755)</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Foreign currency exchange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(41,418)</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(5,646)</w:t>
            </w:r>
          </w:p>
        </w:tc>
      </w:tr>
      <w:tr>
        <w:trPr>
          <w:trHeight w:val="297"/>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223,137</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182,197</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148,904</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(58,795)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(42,602)</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(40,015)</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Adjust: Income tax expense attributable to other gains,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(3,903)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Adjust: Income tax benefit (expense) attributable to foreign currency exchange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6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 net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w:t>
            </w:r>
          </w:p>
        </w:tc>
      </w:tr>
      <w:tr>
        <w:trPr>
          <w:trHeight w:val="297"/>
        </w:trPr>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(55,681)</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(41,584)</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(38,457)</w:t>
            </w:r>
          </w:p>
        </w:tc>
      </w:tr>
      <w:tr>
        <w:trPr>
          <w:trHeight w:val="251"/>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calculate our effective income tax rate by dividing income tax expense by pre-tax book income. Our effective income tax rates were 25.2%, 30.2% and 28.3% for the years ended December 31, 2016, 2015 and 2014, respectively. The effective income tax rates were significantly influenced by the other non-operating gains (losses) and the impact of foreign currency exchange losses. Excluding these items from pre-tax income, as well as the related tax effects for these items, our effective income tax rates were 25.0%, 22.8% and 25.8% for the years ended December 31, 2016, 2015 and 2014, respectively.</w:t>
      </w:r>
    </w:p>
    <w:p>
      <w:pPr>
        <w:spacing w:after="0" w:line="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effective income tax rates, as adjusted, for 2016, 2015 and 2014 were lower than the applicable statutory income tax rate of 35% primarily because of our U.S. tax loss position and the realization of deferred tax benefits in various jurisdictions. The Company has recorded significant net operating loss carryforwards, creating related deferred tax assets. During periods when the Company generates U.S. pre-tax book income but has tax differences that create tax losses, no current income tax expense is recognized. The effective income tax rate, as adjusted, for 2016 was higher than 2015 principally because of a change in our U.S. deferred tax position to an overall deferred tax liability. This is largely due to certain differences related to share-based compensation which has created excess tax deductions that are not included in the net operating loss carryforwards recorded in our books. The effective income tax rate, as adjusted, for 2015 was lower than 2014 largely due to the growth in U.S. income which benefits from our U.S. tax loss position with valuation allowances.</w:t>
      </w:r>
    </w:p>
    <w:p>
      <w:pPr>
        <w:spacing w:after="0" w:line="5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5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 xml:space="preserve">Income before income taxes, as adjusted, income tax expense, as adjusted and effective income tax rate, as adjusted, are non-GAAP financial measures that management believes are useful for understanding why our effective income tax rates are significantly different than would be expected. </w:t>
      </w:r>
      <w:r>
        <w:rPr>
          <w:rFonts w:ascii="Arial" w:cs="Arial" w:eastAsia="Arial" w:hAnsi="Arial"/>
          <w:sz w:val="16"/>
          <w:szCs w:val="16"/>
          <w:color w:val="252525"/>
        </w:rPr>
        <w:t>These non-GAAP</w:t>
      </w:r>
      <w:r>
        <w:rPr>
          <w:rFonts w:ascii="Arial" w:cs="Arial" w:eastAsia="Arial" w:hAnsi="Arial"/>
          <w:sz w:val="16"/>
          <w:szCs w:val="16"/>
          <w:color w:val="auto"/>
        </w:rPr>
        <w:t xml:space="preserve"> </w:t>
      </w:r>
      <w:r>
        <w:rPr>
          <w:rFonts w:ascii="Arial" w:cs="Arial" w:eastAsia="Arial" w:hAnsi="Arial"/>
          <w:sz w:val="16"/>
          <w:szCs w:val="16"/>
          <w:color w:val="252525"/>
        </w:rPr>
        <w:t>measures are used by management to conduct and evaluate its business during its regular review of operating results for the periods presented.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loss attributable to noncontrolling interests was $0.3 million, $0.3 million and $0.2 million for 2016, 2015 and 2014, respectively. Noncontrolling interests represent the elimination of net income or loss attributable to the minority shareholders’ portion of the following consolidated subsidiaries that are not wholly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(1)</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Universal Solution Providers</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UAE</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(1) Percent owned as of December 31,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income attributable to Euronet was $174.4 million, $98.8 million and $101.6 million for 2016, 2015 and 2014, respectively. Net income attributable to Euronet increased $75.6 million in 2016 as compared to 2015. The increase in net income for 2016 was primarily due to an increase in operating income of $44.9 million, a decrease of $31.2 million in net foreign currency exchange losses, and an increase in investment gains of $19.4 million. The increases were partly offset by an increase in income tax expense of $16.2 million, an increase in interest expense of $3.5 million and a decrease in other non-operating costs of $0.2 million.</w:t>
      </w:r>
    </w:p>
    <w:p>
      <w:pPr>
        <w:spacing w:after="0" w:line="8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decrease of $2.8 million for 2015 as compared to 2014 is primarily the result of the $35.8 million increase in foreign currency exchange loss being largely offset by improved operating results which included a $46.1 million increase in operating income. Additionally, interest expense increased $12.5 million and income tax expense increased $2.6 million. Other non-operating items increased net income by $2.0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recorded net losses on translation adjustments of $45.2 million, $67.8 million, and $87.7 million for 2016, 2015, and 2014, respectively. During 2016, 2015 and 2014, the U.S. dollar strengthened compared to most currencies, resulting in translation losses which were recorded in comprehensive income.</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5"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of December 31, 2016, we had working capital of $405.9 million, which is calculated as the difference between total current assets and total current liabilities, compared to working capital of $227.1 million as of December 31, 2015. Our ratio of current assets to current liabilities was 1.34 as of December 31, 2016, compared to 1.25 as of December 31, 2015.</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In certain countries, we fund the cash required to operate our ATM network from borrowings under the revolving credit facility and cash flows from operations. As of December 31, 2016, we had approximately $212.4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$734.4 million as of December 31, 2016, of which $632.3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(in thousands):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368,182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215,054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235,027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(153,032)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79,510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218,081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276,896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258,184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flows provided by operating activities were $368.2 million for 2016 compared to $215.1 million for 2015. The increase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 and improved operating results before the non-cash impacts of foreign currency exchange losses.</w:t>
      </w:r>
    </w:p>
    <w:p>
      <w:pPr>
        <w:spacing w:after="0" w:line="7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Cash flows provided by operating activities were $215.1 million for 2015 compared to $235.0 million for 2014. The decrease was primarily due to fluctuations in working capital mainly associated with the timing of the settlement processes with content providers in the epay Segment and with correspondents in the Money Transfer Segment, partly offset by improved operating results before the non-cash impacts of foreign currency exchange losses.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Cash flows used in investing activities were $148.7 million for 2016 compared to $194.0 million for 2015. The decrease was primarily due to less cash paid for acquisitions and the proceeds of $11.9 million received for the sale of our ownership interest in Visa Europe, partially offset by increased capital expenditures related to our ATM network expansion. Cash used for acquisitions was $68.3 million for 2016 compared to $114.0 million for 2015. Purchases of property and equipment were $87.4 million and $74.6 million for 2016 and 2015, respectively. Cash used for software development and long-term assets totaled $6.2 million for 2016 and $6.4 million for 2015. Other investing activities consist mainly of proceeds from the sale of property and equipment of $1.3 million and $1.0 million for 2016 and 2015, respectively.</w:t>
      </w:r>
    </w:p>
    <w:p>
      <w:pPr>
        <w:spacing w:after="0" w:line="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flows used in investing activities were $194.0 million for 2015 compared to $153.0 million for 2014. Purchases of property and equipment were $74.6 million and $63.1 million for 2015 and 2014, respectively. Cash used for acquisitions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was $114.0 million for 2015 compared to $84.7 million for 2014. Cash used for software development and long-term assets totaled $6.4</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million for 2015 and $6.0 million for 2014. Other investing activities consist mainly of proceeds from the sale of property and equipment of $1.0 million and $0.7 million for 2015 and 2014,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Cash flows provided by financing activities were $79.5 million for 2016 compared to cash flows used by financing activities of $1.2 million for 2015. We generally borrow amounts under our revolving credit facility seasonally to fund our independent ATM network as well as several times each month to support the short-term cash needs of our Money Transfer Segment in order to fund the correspondent network in advance of collecting remittance amounts from the agency network. These borrowings related to the Money Transfer Segment are repaid over a very short period of time, generally within a few days. Net borrowings on debt obligations were $152.2 million in 2016 compared to net repayments of $4.1 million for 2015. The increase in net borrowings as compared to 2015 was primarily the result of additional borrowings under the revolving credit facility to fund the operating cash of our IAD networks along with differences in the timing of operating settlements. Additionally, for 2016 and 2015, we paid $2.9 million and $3.2 million, respectively, for capital lease obligations. We used $77.4 million and $6.1 million for the repurchase of shares during 2016 and 2015, respectively. Further, we received proceeds of $6.3 million and $10.5 million during 2016 and 2015, respectively, for the issuance of stock in connection with our Stock Incentive Plan. Other financing activities provided cash of $1.3 million and $1.7 million during 2016 and 2015, respectively.</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flows used in financing activities were $1.2 million for 2015 compared to cash flows provided by financing activities of $218.1 million for 2014. Our financing activities for 2014 included $411.5 million of proceeds from the issuance of long-term debt, mainly from convertible notes. Net repayments of debt obligations were $4.1 million in 2015 compared to $128.3 million for 2014. The higher repayment of revolving credit borrowings in 2014 was related to the issuance of the convertible notes for which not all proceeds were needed for current operating and investing outlays. Additionally, for 2015 and 2014, we paid $3.2 million and $2.5 million, respectively, for capital lease obligations. We used $6.1 million and $66.4 million for the repurchase of shares during 2015 and 2014, respectively. Debt issuance costs were $13.3 million in 2014 associated with the convertible notes issuance and an amendment to extend and increase the credit facility. Further, we received proceeds of $10.5 million and $11.1 million during 2015 and 2014, respectively, for the issuance of stock in connection with our Stock Incentive Plan. Other financing activities provided cash of $1.7 million and $1.6 million during 2015 and 2014,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December 31, 2016, we had a $675 million senior secured credit facility that matures on April 9, 2019 (the "Credit Facility") consisting of a $590 million revolving credit facility, a $10 million India revolving credit facility and an $75 million term loan ("Term Loan A"), which had been reduced to $60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18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December 31, 2016, fees and interest on borrowings varied based upon the Company's consolidated total leverage ratio (as defined in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2016, we had borrowings of $60 million outstanding under the term loan. We had $160.0 million of borrowings and $44.9 million of stand-by letters of credit outstanding under the revolving credit facility as of December 31, 2016. The remaining $395.1 million under the revolving credit facility was available for borrowing. As of December 31, 2016, the weighted average interest rates under the revolving credit facility and Term Loan A were 2.4% and 2.1%, respectively, excluding amortization of deferred financing costs.</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proceeds from the issuance of the Convertible Notes were used to repay borrowings on the revolving credit facility and for general working capital purposes.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As of December 31, 2016, there was $23.9 million outstanding under these other obligation arrangements. Short-term debt obligations at December 31, 2016 were primarily comprised of $23.3 million due in 2017 under these other obligation arrangements and $8.9 million of payments due in 2017 under the term loan.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2016 were $93.2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2017 are currently estimated to be approximately $90 million to $100 million.</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the Company to repurchase up to $100 million in value or 5.0 million shares of its common stock through December 10, 2017. For the year end December 31, 2016, the Company repurchased 1.1 million shares at a weighted average purchase price of $65.74 for a total value of $75.6 million under the 2016 Program.</w:t>
      </w:r>
    </w:p>
    <w:p>
      <w:pPr>
        <w:spacing w:after="0" w:line="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3.0 million shares of its common stock through June 14, 2018. Repurchases under the Repurchase Program may take place in the open market or in privately negotiated transactions, including derivative transactions, and may be made under a Rule 10b5-1 plan. No purchases have been made under this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On October 3, 2016, the Company completed the acquisition of YourCash Europe Limited and its subsidiaries ("YourCash"). YourCash is a company incorporated in England that owns and operates primarily merchant filled ATMs with approximately 5,000 cash machines in the United Kingdom, Netherlands, Belgium and Ireland.</w:t>
      </w:r>
    </w:p>
    <w:p>
      <w:pPr>
        <w:spacing w:after="0" w:line="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Under the terms of the purchase agreement, the Sellers received purchase consideration of approximately $62.6 million in cash. A portion of the purchase consideration was placed in escrow at closing as security for the Sellers' indemnification and other obligations under the purchase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19, Commitments,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16,234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224,995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185,571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49,947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78,124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41,623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15,877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9,568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9,359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854,910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79,457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309,372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450,204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2016 and assumes no change in our revolving credit borrowings prior to the maturity date of our credit facility. For additional information on debt obligations, see Note 10, Debt Obligations, to the Consolidated Financial Statements.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 Purchase obligations primarily consist of ATM maintenance and services as well as telecommunications services and professional fees.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$18.0 million as of December 31, 2016.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potential impairment of long-lived assets and goodwill,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to the accompanying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method gives consideration to the future tax consequences of deferred income or expense items and immediately recognizes changes in income tax laws upon enactment. The statement of income effect is generally derived from changes in deferred income taxes, net of valuation allowances, on the balance sheet as measured by differences in the book and tax bases of our assets and liabilities.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$133.8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partially offset by a valuation allowance of $37.3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2016.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As of December 31, 2016, the Consolidated Balance Sheet includes goodwill of $689.7 million and acquired intangible assets, net of accumulated amortization, of $165.3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w:t>
      </w:r>
      <w:r>
        <w:rPr>
          <w:rFonts w:ascii="Arial" w:cs="Arial" w:eastAsia="Arial" w:hAnsi="Arial"/>
          <w:sz w:val="17"/>
          <w:szCs w:val="17"/>
          <w:i w:val="1"/>
          <w:iCs w:val="1"/>
          <w:color w:val="auto"/>
        </w:rPr>
        <w:t>,</w:t>
      </w:r>
      <w:r>
        <w:rPr>
          <w:rFonts w:ascii="Arial" w:cs="Arial" w:eastAsia="Arial" w:hAnsi="Arial"/>
          <w:sz w:val="17"/>
          <w:szCs w:val="17"/>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is less than its carrying amount. Impairment tests are performed annually during the fourth quarter and are performed at the reporting unit level. Our annual process for evaluating goodwill requires us to perform a qualitative assessment for all reporting units not subjected directly to the two-step goodwill impairment test. The qualitative factors evaluated by the Company include: economic conditions of the local business environment, overall financial performance, sensitivity analysis from the most recent Step 1 fair value test, and other entity specific factors as deemed appropriate. If we determine the two-step goodwill impairment test is appropriate, the first step involves comparing the fair value of a reporting unit to its carrying amount, including goodwill, after any long-lived asset impairment charges. Generally, the fair value represents discounted projected future cash flows and market multiple of earnings. If the potential for impairment exists, a second step is performed to determine whether there is a goodwill impairment, and if so, the amount of the loss. This step revalues all assets and liabilities of the reporting unit to their current fair value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of December 31, 2016, the Consolidated Balance Sheet includes goodwill of $689.7 million and acquired intangible assets, net of accumulated amortization, of $165.3 million. Our annual impairment tests for the years ended December 31, 2016, 2015 and 2014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accordance with ASC 350, long-lived assets, such as property and equipment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Reviewing long-lived assets for impairment requires considerable judgment. The determination of fair values requires significant judgment and is sensitive to changes in underlying assumptions. While we believe our judgments and assumptions are reasonable, adverse change in market conditions and future periods may impact our assumptions, resulting in future impairment losses.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various other interpretations.</w:t>
      </w:r>
    </w:p>
    <w:p>
      <w:pPr>
        <w:spacing w:after="0" w:line="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Euronet.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January 2017, the FASB issued Accounting Standards Update (“ASU”) 2017-04, </w:t>
      </w:r>
      <w:r>
        <w:rPr>
          <w:rFonts w:ascii="Arial" w:cs="Arial" w:eastAsia="Arial" w:hAnsi="Arial"/>
          <w:sz w:val="18"/>
          <w:szCs w:val="18"/>
          <w:i w:val="1"/>
          <w:iCs w:val="1"/>
          <w:color w:val="auto"/>
        </w:rPr>
        <w:t>Intangibles - 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The ASU simplifies how an entity is required to test goodwill for impairment by eliminating Step 2 from the goodwill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Step 2 measures a goodwill impairment loss by comparing the implied fair value of a reporting unit’s goodwill with the carrying amount. The amendments of this ASU are effective for reporting periods beginning after December 15, 2019. We do not expect the adoption of this ASU to have a significant impact on our consolidated financial statements and related disclosures.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amendments in this ASU clarify the definition of a business with the objective of adding guidance to assist entities with evaluating whether transactions should be accounted for as acquisitions (or disposals) of assets or businesses. The amendments of this ASU are effective for reporting periods beginning after December 15, 2017, with early adoption permitted. We do not expect the adoption of this ASU to have a significant impact on our consolidated financial statements and related disclosures.</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provides guidance on the presentation of restricted cash and restricted cash equivalents in the statement of cash flows. Restricted cash and restricted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 flows presentation of restricted cash, the adoption of this ASU is not expected to have an impact on our consolidated financial statements.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The amendments in this ASU state that an entity should recognize the income tax consequences of an intra-entity transfer of an asset other than inventory, such as intellectual property and property and equipment, when the transfer occurs. This is a change from current GAAP, which requires companies to defer the income tax effects of intercompany transfers of assets until the asset has been sold to an outside party or otherwise recognized (i.e., depreciation, amortization, or impairment). The amendments of this ASU are effective for reporting periods beginning after December 15, 2017, with early adoption permitted. We do not expect the adoption of this ASU to have a significant impact on our consolidated financial statements and related disclosures.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addresses eight specific issues on how certain cash receipts and cash payments are presented and classified in the statement of cash flows with the objective of reducing existing diversity in practice with respect to these items. The amendments of this ASU are effective for reporting periods beginning after December 15, 2017, with early adoption permitted. We are evaluating the new guidance, but we do not expect it to have a significant impact on our consolidated financial statements and related disclosures.</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We do not expect the adoption of this ASU to have a significant impact on our consolidated financial statements and related disclosures.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addresses how companies account for certain aspects of share-based payments to employees. Entities will be required to recognize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effects of awards in the statement of income when the awards vest or are settled, and to present excess tax benefits as an operating activity on the statement of cash flows rather than as a financing activity. The ASU also addresses such areas as an accounting policy election for forfeitures and the amount an employer can withhold to cover income taxes and still qualify for equity classification. The amendments in this ASU will be effective for annual periods beginning after December 15, 2016 and interim periods within those annual periods. Early adoption is permitted. We do not expect the adoption of this ASU to have a significant impact on our consolidated financial statements and related disclosures.</w:t>
      </w:r>
    </w:p>
    <w:p>
      <w:pPr>
        <w:spacing w:after="0" w:line="12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xml:space="preserve">. The new standard clarifies that an entity is required to assess whether the economic characteristics and risks of embedded put or call options are clearly and closely related to those of their debt hosts only in accordance with the four-step decision sequence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For contingently exercisable put or call options, an entity does not have to assess whether the event that triggers the ability to exercise a put or call option is related to interest rates or credit risk of the entity. The ASU does not change the existing criteria for determining when bifurcation of an embedded put or call option in a debt instrument is required. The amendments of this ASU are effective for annual periods beginning after December 15, 2016, with early adoption permitted. Entities are required to apply the guidance to existing debt instruments using a modified retrospective transition method as of the period of adoption. We do not expect the adoption of this ASU to have a significant impact on our consolidated financial statements and related disclosures.</w:t>
      </w:r>
    </w:p>
    <w:p>
      <w:pPr>
        <w:spacing w:after="0" w:line="11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March 2016, the FASB issued ASU 2016-04, </w:t>
      </w:r>
      <w:r>
        <w:rPr>
          <w:rFonts w:ascii="Arial" w:cs="Arial" w:eastAsia="Arial" w:hAnsi="Arial"/>
          <w:sz w:val="16"/>
          <w:szCs w:val="16"/>
          <w:i w:val="1"/>
          <w:iCs w:val="1"/>
          <w:color w:val="auto"/>
        </w:rPr>
        <w:t>Recognition of Breakage for Certain Prepaid Stored-Value Products</w:t>
      </w:r>
      <w:r>
        <w:rPr>
          <w:rFonts w:ascii="Arial" w:cs="Arial" w:eastAsia="Arial" w:hAnsi="Arial"/>
          <w:sz w:val="16"/>
          <w:szCs w:val="16"/>
          <w:color w:val="auto"/>
        </w:rPr>
        <w:t xml:space="preserve">. The new standard specifies that liabilities within its scope are considered to be financial liabilities, and amends the guidance in ASC 405-20, </w:t>
      </w:r>
      <w:r>
        <w:rPr>
          <w:rFonts w:ascii="Arial" w:cs="Arial" w:eastAsia="Arial" w:hAnsi="Arial"/>
          <w:sz w:val="16"/>
          <w:szCs w:val="16"/>
          <w:i w:val="1"/>
          <w:iCs w:val="1"/>
          <w:color w:val="auto"/>
        </w:rPr>
        <w:t>Extinguishments of Liabilities</w:t>
      </w:r>
      <w:r>
        <w:rPr>
          <w:rFonts w:ascii="Arial" w:cs="Arial" w:eastAsia="Arial" w:hAnsi="Arial"/>
          <w:sz w:val="16"/>
          <w:szCs w:val="16"/>
          <w:color w:val="auto"/>
        </w:rPr>
        <w:t>,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the new revenue standard. The ASU is effective for annual periods beginning after December 15, 2017, and is applied either using a modified retrospective transition method or retrospectively. Early adoption is permitted. We do not expect the adoption of this ASU to have a significant impact on our consolidated financial statements and related disclosures.</w:t>
      </w:r>
    </w:p>
    <w:p>
      <w:pPr>
        <w:spacing w:after="0" w:line="11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We are currently evaluating the expected impact of the adoption of this standard on our consolidated financial statements and related disclosures.</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addresses certain aspects of recognition, measurement, presentation, and disclosure of financial instruments. ASU 2016-01 is effective for financial statements issued for annual periods beginning after December 15, 2017, and interim periods within those annual periods. We do not expect that the adoption of this standard will have a significant impact on our consolidated financial statements and related disclosures.</w:t>
      </w:r>
    </w:p>
    <w:p>
      <w:pPr>
        <w:spacing w:after="0" w:line="13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The standard permits the use of either the full retrospective or modified retrospective transition method.</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versus Net)</w:t>
      </w:r>
      <w:r>
        <w:rPr>
          <w:rFonts w:ascii="Arial" w:cs="Arial" w:eastAsia="Arial" w:hAnsi="Arial"/>
          <w:sz w:val="17"/>
          <w:szCs w:val="17"/>
          <w:color w:val="auto"/>
        </w:rPr>
        <w:t>. In April 2016, the FASB issued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In May 2016, the FASB issued ASU 2016-11,</w:t>
      </w:r>
      <w:r>
        <w:rPr>
          <w:rFonts w:ascii="Arial" w:cs="Arial" w:eastAsia="Arial" w:hAnsi="Arial"/>
          <w:sz w:val="17"/>
          <w:szCs w:val="17"/>
          <w:i w:val="1"/>
          <w:iCs w:val="1"/>
          <w:color w:val="auto"/>
        </w:rPr>
        <w:t xml:space="preserve"> Revenue from Contracts with Customers (Topic 606) and Derivatives and Hedging (Topic 815) - Rescission of SEC Guidance Because of ASU 2014-09 and 2014-16, and ASU 2016-12, Revenue from Contracts with Customers (Topic 606) - Narrow Scope Improvements and Practical Expedient</w:t>
      </w:r>
      <w:r>
        <w:rPr>
          <w:rFonts w:ascii="Arial" w:cs="Arial" w:eastAsia="Arial" w:hAnsi="Arial"/>
          <w:sz w:val="17"/>
          <w:szCs w:val="17"/>
          <w:color w:val="auto"/>
        </w:rPr>
        <w:t>s. In December 2016, the FASB issued ASU 2016-20,</w:t>
      </w:r>
      <w:r>
        <w:rPr>
          <w:rFonts w:ascii="Arial" w:cs="Arial" w:eastAsia="Arial" w:hAnsi="Arial"/>
          <w:sz w:val="17"/>
          <w:szCs w:val="17"/>
          <w:i w:val="1"/>
          <w:iCs w:val="1"/>
          <w:color w:val="auto"/>
        </w:rPr>
        <w:t xml:space="preserve"> Technical Corrections and Improvements to Topic 606, Revenue from Contracts with Customers (Topic 606)</w:t>
      </w:r>
      <w:r>
        <w:rPr>
          <w:rFonts w:ascii="Arial" w:cs="Arial" w:eastAsia="Arial" w:hAnsi="Arial"/>
          <w:sz w:val="17"/>
          <w:szCs w:val="17"/>
          <w:color w:val="auto"/>
        </w:rPr>
        <w:t>. These ASUs clarify the implementation guidance on a few narrow areas, make minor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adds some practical expedients to the guidance in Topic 606.</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performed a review of the requirements of the new revenue standards and are in the process of reviewing customer contracts under the new standard. We plan to adopt these ASUs on January 1, 2018 and expect to apply the modified retrospective transition method, which would result in an adjustment to the opening balance of retained earnings for the cumulative effect, as appropriate, of initially applying the standards at the date of initial application.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evaluating what effect, if any, the new revenue standards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but not limited to, statements regarding the following:</w:t>
      </w:r>
    </w:p>
    <w:p>
      <w:pPr>
        <w:spacing w:after="0" w:line="73"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3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recent Brexit vote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future security breaches, or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 looking statements to reflect future events or circumstances after the date of such statements.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5"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2016, our total debt outstanding, excluding unamortized debt issuance costs, was $602.1 million. Of this amount, $358.3 million, net of debt discounts, or 60% of our total debt obligations, relates to contingent convertible notes having a fixed coupon rate. Our $402.5 million principal amount of contingent convertible notes, issued in October 2014, accrue cash interest at a rate of 1.50% of the principal amount per annum. Based on quoted market prices, as of December 31, 2016, the fair value of our fixed rate convertible notes was $475.1 million, compared to a carrying value of $358.3 million. Interest expense for these notes, including accretion and amortization of deferred debt issuance costs, has a weighted average interest rate of 4.7% annually. Additionally, $220.0 million, or 37% of our total debt obligations, relates to borrowings under our Credit Facility.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$6.2 million.</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remaining $23.9 million, or 4%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as of December 31, 2016, we had approximately $10.3 million of capitalized leases with fixed payment and interest terms that expire between the years of 2017 and 2021 and bear interest at rates between 0.6% and 12.8%.</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2016 and 2015, 72% and 70%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2016, we estimate that a 10% fluctuation in these foreign currency exchange rates would have the combined annualized effect on reported net income and working capital of approximately $75 million to $80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$90 million to</w:t>
      </w:r>
    </w:p>
    <w:p>
      <w:pPr>
        <w:spacing w:after="0"/>
        <w:rPr>
          <w:sz w:val="20"/>
          <w:szCs w:val="20"/>
          <w:color w:val="auto"/>
        </w:rPr>
      </w:pPr>
      <w:r>
        <w:rPr>
          <w:rFonts w:ascii="Arial" w:cs="Arial" w:eastAsia="Arial" w:hAnsi="Arial"/>
          <w:sz w:val="16"/>
          <w:szCs w:val="16"/>
          <w:color w:val="auto"/>
        </w:rPr>
        <w:t>$95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w:t>
      </w:r>
      <w:r>
        <w:rPr>
          <w:rFonts w:ascii="Arial" w:cs="Arial" w:eastAsia="Arial" w:hAnsi="Arial"/>
          <w:sz w:val="16"/>
          <w:szCs w:val="16"/>
          <w:color w:val="252525"/>
        </w:rPr>
        <w:t xml:space="preserve">The changes in fair value related to these contracts are recorded in Foreign currency exchange loss, net on Consolidated Statements of Income. </w:t>
      </w:r>
      <w:r>
        <w:rPr>
          <w:rFonts w:ascii="Arial" w:cs="Arial" w:eastAsia="Arial" w:hAnsi="Arial"/>
          <w:sz w:val="16"/>
          <w:szCs w:val="16"/>
          <w:color w:val="000000"/>
        </w:rPr>
        <w:t>As of</w:t>
      </w:r>
      <w:r>
        <w:rPr>
          <w:rFonts w:ascii="Arial" w:cs="Arial" w:eastAsia="Arial" w:hAnsi="Arial"/>
          <w:sz w:val="16"/>
          <w:szCs w:val="16"/>
          <w:color w:val="252525"/>
        </w:rPr>
        <w:t xml:space="preserve"> </w:t>
      </w:r>
      <w:r>
        <w:rPr>
          <w:rFonts w:ascii="Arial" w:cs="Arial" w:eastAsia="Arial" w:hAnsi="Arial"/>
          <w:sz w:val="16"/>
          <w:szCs w:val="16"/>
          <w:color w:val="000000"/>
        </w:rPr>
        <w:t>December 31, 2016, we had foreign currency derivative contracts outstanding with a notional value of $165.1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derivative instruments our HiFX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December 31, 2016,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158" w:lineRule="exact"/>
        <w:rPr>
          <w:sz w:val="20"/>
          <w:szCs w:val="20"/>
          <w:color w:val="auto"/>
        </w:rPr>
      </w:pPr>
    </w:p>
    <w:p>
      <w:pPr>
        <w:jc w:val="both"/>
        <w:ind w:right="2220"/>
        <w:spacing w:after="0" w:line="259"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December 31, 2016, the Company had foreign currency forward contracts outstanding with a notional value of $106.5 million, primarily in British pounds, euros and Polish zloty.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Note 11, Derivative Instruments and Hedging Activities to our Consolidated Financial Statements for additional information.</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Index to Consolidated Financial Statements</w:t>
            </w:r>
          </w:p>
        </w:tc>
        <w:tc>
          <w:tcPr>
            <w:tcW w:w="148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0"/>
              </w:rPr>
              <w:t>Page</w:t>
            </w:r>
          </w:p>
        </w:tc>
      </w:tr>
      <w:tr>
        <w:trPr>
          <w:trHeight w:val="466"/>
        </w:trPr>
        <w:tc>
          <w:tcPr>
            <w:tcW w:w="4220" w:type="dxa"/>
            <w:vAlign w:val="bottom"/>
            <w:gridSpan w:val="21"/>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Report of Independent Registered Public Accounting Firm</w:t>
              </w:r>
            </w:hyperlink>
          </w:p>
        </w:tc>
        <w:tc>
          <w:tcPr>
            <w:tcW w:w="400" w:type="dxa"/>
            <w:vAlign w:val="bottom"/>
          </w:tcPr>
          <w:p>
            <w:pPr>
              <w:spacing w:after="0"/>
              <w:rPr>
                <w:sz w:val="24"/>
                <w:szCs w:val="24"/>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2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400" w:type="dxa"/>
            <w:vAlign w:val="bottom"/>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3"/>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Consolidated Statements of Income</w:t>
              </w:r>
            </w:hyperlink>
          </w:p>
        </w:tc>
        <w:tc>
          <w:tcPr>
            <w:tcW w:w="2120" w:type="dxa"/>
            <w:vAlign w:val="bottom"/>
            <w:gridSpan w:val="9"/>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9"/>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Statements of Comprehensive Income</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9"/>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Consolidated Statements of Changes in Equity</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34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Cash Flows</w:t>
              </w:r>
            </w:hyperlink>
          </w:p>
        </w:tc>
        <w:tc>
          <w:tcPr>
            <w:tcW w:w="1280" w:type="dxa"/>
            <w:vAlign w:val="bottom"/>
            <w:gridSpan w:val="4"/>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2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(1)</w:t>
              </w:r>
            </w:hyperlink>
          </w:p>
        </w:tc>
        <w:tc>
          <w:tcPr>
            <w:tcW w:w="2780" w:type="dxa"/>
            <w:vAlign w:val="bottom"/>
            <w:gridSpan w:val="15"/>
          </w:tcPr>
          <w:p>
            <w:pPr>
              <w:ind w:left="20"/>
              <w:spacing w:after="0"/>
              <w:rPr>
                <w:rFonts w:ascii="Arial" w:cs="Arial" w:eastAsia="Arial" w:hAnsi="Arial"/>
                <w:sz w:val="18"/>
                <w:szCs w:val="18"/>
                <w:color w:val="0000EE"/>
              </w:rPr>
            </w:pPr>
            <w:hyperlink w:anchor="page79">
              <w:r>
                <w:rPr>
                  <w:rFonts w:ascii="Arial" w:cs="Arial" w:eastAsia="Arial" w:hAnsi="Arial"/>
                  <w:sz w:val="18"/>
                  <w:szCs w:val="18"/>
                  <w:color w:val="0000EE"/>
                </w:rPr>
                <w:t>Organization</w:t>
              </w:r>
            </w:hyperlink>
          </w:p>
        </w:tc>
        <w:tc>
          <w:tcPr>
            <w:tcW w:w="1480" w:type="dxa"/>
            <w:vAlign w:val="bottom"/>
            <w:gridSpan w:val="5"/>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(2)</w:t>
              </w:r>
            </w:hyperlink>
          </w:p>
        </w:tc>
        <w:tc>
          <w:tcPr>
            <w:tcW w:w="4260" w:type="dxa"/>
            <w:vAlign w:val="bottom"/>
            <w:gridSpan w:val="20"/>
          </w:tcPr>
          <w:p>
            <w:pPr>
              <w:ind w:left="20"/>
              <w:spacing w:after="0"/>
              <w:rPr>
                <w:rFonts w:ascii="Arial" w:cs="Arial" w:eastAsia="Arial" w:hAnsi="Arial"/>
                <w:sz w:val="18"/>
                <w:szCs w:val="18"/>
                <w:color w:val="0000EE"/>
              </w:rPr>
            </w:pPr>
            <w:hyperlink w:anchor="page79">
              <w:r>
                <w:rPr>
                  <w:rFonts w:ascii="Arial" w:cs="Arial" w:eastAsia="Arial" w:hAnsi="Arial"/>
                  <w:sz w:val="18"/>
                  <w:szCs w:val="18"/>
                  <w:color w:val="0000EE"/>
                </w:rPr>
                <w:t>Basis of Preparation</w:t>
              </w:r>
            </w:hyperlink>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(3)</w:t>
              </w:r>
            </w:hyperlink>
          </w:p>
        </w:tc>
        <w:tc>
          <w:tcPr>
            <w:tcW w:w="4260" w:type="dxa"/>
            <w:vAlign w:val="bottom"/>
            <w:gridSpan w:val="20"/>
          </w:tcPr>
          <w:p>
            <w:pPr>
              <w:ind w:left="20"/>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Summary of Significant Accounting Policies and Practices</w:t>
              </w:r>
            </w:hyperlink>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(4)</w:t>
              </w:r>
            </w:hyperlink>
          </w:p>
        </w:tc>
        <w:tc>
          <w:tcPr>
            <w:tcW w:w="4260" w:type="dxa"/>
            <w:vAlign w:val="bottom"/>
            <w:gridSpan w:val="20"/>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Stockholders' Equity</w:t>
              </w:r>
            </w:hyperlink>
          </w:p>
        </w:tc>
        <w:tc>
          <w:tcPr>
            <w:tcW w:w="67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(5)</w:t>
              </w:r>
            </w:hyperlink>
          </w:p>
        </w:tc>
        <w:tc>
          <w:tcPr>
            <w:tcW w:w="4260" w:type="dxa"/>
            <w:vAlign w:val="bottom"/>
            <w:gridSpan w:val="20"/>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Acquisitions</w:t>
              </w:r>
            </w:hyperlink>
          </w:p>
        </w:tc>
        <w:tc>
          <w:tcPr>
            <w:tcW w:w="6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(6)</w:t>
              </w:r>
            </w:hyperlink>
          </w:p>
        </w:tc>
        <w:tc>
          <w:tcPr>
            <w:tcW w:w="4260" w:type="dxa"/>
            <w:vAlign w:val="bottom"/>
            <w:gridSpan w:val="20"/>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Restricted Cash</w:t>
              </w:r>
            </w:hyperlink>
          </w:p>
        </w:tc>
        <w:tc>
          <w:tcPr>
            <w:tcW w:w="6740" w:type="dxa"/>
            <w:vAlign w:val="bottom"/>
            <w:gridSpan w:val="4"/>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(7)</w:t>
              </w:r>
            </w:hyperlink>
          </w:p>
        </w:tc>
        <w:tc>
          <w:tcPr>
            <w:tcW w:w="4260" w:type="dxa"/>
            <w:vAlign w:val="bottom"/>
            <w:gridSpan w:val="20"/>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Property and Equipment, Net</w:t>
              </w:r>
            </w:hyperlink>
          </w:p>
        </w:tc>
        <w:tc>
          <w:tcPr>
            <w:tcW w:w="6740" w:type="dxa"/>
            <w:vAlign w:val="bottom"/>
            <w:gridSpan w:val="4"/>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(8)</w:t>
              </w:r>
            </w:hyperlink>
          </w:p>
        </w:tc>
        <w:tc>
          <w:tcPr>
            <w:tcW w:w="4260" w:type="dxa"/>
            <w:vAlign w:val="bottom"/>
            <w:gridSpan w:val="20"/>
          </w:tcPr>
          <w:p>
            <w:pPr>
              <w:ind w:left="20"/>
              <w:spacing w:after="0"/>
              <w:rPr>
                <w:rFonts w:ascii="Arial" w:cs="Arial" w:eastAsia="Arial" w:hAnsi="Arial"/>
                <w:sz w:val="18"/>
                <w:szCs w:val="18"/>
                <w:color w:val="0000EE"/>
              </w:rPr>
            </w:pPr>
            <w:hyperlink w:anchor="page91">
              <w:r>
                <w:rPr>
                  <w:rFonts w:ascii="Arial" w:cs="Arial" w:eastAsia="Arial" w:hAnsi="Arial"/>
                  <w:sz w:val="18"/>
                  <w:szCs w:val="18"/>
                  <w:color w:val="0000EE"/>
                </w:rPr>
                <w:t>Goodwill and Acquired Intangible Assets, Net</w:t>
              </w:r>
            </w:hyperlink>
          </w:p>
        </w:tc>
        <w:tc>
          <w:tcPr>
            <w:tcW w:w="6740" w:type="dxa"/>
            <w:vAlign w:val="bottom"/>
            <w:gridSpan w:val="4"/>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(9)</w:t>
              </w:r>
            </w:hyperlink>
          </w:p>
        </w:tc>
        <w:tc>
          <w:tcPr>
            <w:tcW w:w="4260" w:type="dxa"/>
            <w:vAlign w:val="bottom"/>
            <w:gridSpan w:val="20"/>
          </w:tcPr>
          <w:p>
            <w:pPr>
              <w:ind w:left="20"/>
              <w:spacing w:after="0"/>
              <w:rPr>
                <w:rFonts w:ascii="Arial" w:cs="Arial" w:eastAsia="Arial" w:hAnsi="Arial"/>
                <w:sz w:val="18"/>
                <w:szCs w:val="18"/>
                <w:color w:val="0000EE"/>
              </w:rPr>
            </w:pPr>
            <w:hyperlink w:anchor="page92">
              <w:r>
                <w:rPr>
                  <w:rFonts w:ascii="Arial" w:cs="Arial" w:eastAsia="Arial" w:hAnsi="Arial"/>
                  <w:sz w:val="18"/>
                  <w:szCs w:val="18"/>
                  <w:color w:val="0000EE"/>
                </w:rPr>
                <w:t>Accrued Expenses and Other Current Liabilities</w:t>
              </w:r>
            </w:hyperlink>
          </w:p>
        </w:tc>
        <w:tc>
          <w:tcPr>
            <w:tcW w:w="674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(10)</w:t>
              </w:r>
            </w:hyperlink>
          </w:p>
        </w:tc>
        <w:tc>
          <w:tcPr>
            <w:tcW w:w="4160" w:type="dxa"/>
            <w:vAlign w:val="bottom"/>
            <w:gridSpan w:val="19"/>
          </w:tcPr>
          <w:p>
            <w:pPr>
              <w:ind w:left="20"/>
              <w:spacing w:after="0"/>
              <w:rPr>
                <w:rFonts w:ascii="Arial" w:cs="Arial" w:eastAsia="Arial" w:hAnsi="Arial"/>
                <w:sz w:val="18"/>
                <w:szCs w:val="18"/>
                <w:color w:val="0000EE"/>
              </w:rPr>
            </w:pPr>
            <w:hyperlink w:anchor="page92">
              <w:r>
                <w:rPr>
                  <w:rFonts w:ascii="Arial" w:cs="Arial" w:eastAsia="Arial" w:hAnsi="Arial"/>
                  <w:sz w:val="18"/>
                  <w:szCs w:val="18"/>
                  <w:color w:val="0000EE"/>
                </w:rPr>
                <w:t>Debt Obligations</w:t>
              </w:r>
            </w:hyperlink>
          </w:p>
        </w:tc>
        <w:tc>
          <w:tcPr>
            <w:tcW w:w="674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19"/>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(11) Derivative Instruments and Hedging Activities</w:t>
              </w:r>
            </w:hyperlink>
          </w:p>
        </w:tc>
        <w:tc>
          <w:tcPr>
            <w:tcW w:w="780" w:type="dxa"/>
            <w:vAlign w:val="bottom"/>
            <w:gridSpan w:val="2"/>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(12)</w:t>
              </w:r>
            </w:hyperlink>
          </w:p>
        </w:tc>
        <w:tc>
          <w:tcPr>
            <w:tcW w:w="4160" w:type="dxa"/>
            <w:vAlign w:val="bottom"/>
            <w:gridSpan w:val="19"/>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Leases</w:t>
              </w:r>
            </w:hyperlink>
          </w:p>
        </w:tc>
        <w:tc>
          <w:tcPr>
            <w:tcW w:w="674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(13)</w:t>
              </w:r>
            </w:hyperlink>
          </w:p>
        </w:tc>
        <w:tc>
          <w:tcPr>
            <w:tcW w:w="4160" w:type="dxa"/>
            <w:vAlign w:val="bottom"/>
            <w:gridSpan w:val="19"/>
          </w:tcPr>
          <w:p>
            <w:pPr>
              <w:ind w:left="20"/>
              <w:spacing w:after="0"/>
              <w:rPr>
                <w:rFonts w:ascii="Arial" w:cs="Arial" w:eastAsia="Arial" w:hAnsi="Arial"/>
                <w:sz w:val="18"/>
                <w:szCs w:val="18"/>
                <w:color w:val="0000EE"/>
              </w:rPr>
            </w:pPr>
            <w:hyperlink w:anchor="page97">
              <w:r>
                <w:rPr>
                  <w:rFonts w:ascii="Arial" w:cs="Arial" w:eastAsia="Arial" w:hAnsi="Arial"/>
                  <w:sz w:val="18"/>
                  <w:szCs w:val="18"/>
                  <w:color w:val="0000EE"/>
                </w:rPr>
                <w:t>Income Taxes</w:t>
              </w:r>
            </w:hyperlink>
          </w:p>
        </w:tc>
        <w:tc>
          <w:tcPr>
            <w:tcW w:w="674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(14)</w:t>
              </w:r>
            </w:hyperlink>
          </w:p>
        </w:tc>
        <w:tc>
          <w:tcPr>
            <w:tcW w:w="4160" w:type="dxa"/>
            <w:vAlign w:val="bottom"/>
            <w:gridSpan w:val="19"/>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Valuation and Qualifying Accounts</w:t>
              </w:r>
            </w:hyperlink>
          </w:p>
        </w:tc>
        <w:tc>
          <w:tcPr>
            <w:tcW w:w="674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(15)</w:t>
              </w:r>
            </w:hyperlink>
          </w:p>
        </w:tc>
        <w:tc>
          <w:tcPr>
            <w:tcW w:w="4160" w:type="dxa"/>
            <w:vAlign w:val="bottom"/>
            <w:gridSpan w:val="19"/>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Stock Plans</w:t>
              </w:r>
            </w:hyperlink>
          </w:p>
        </w:tc>
        <w:tc>
          <w:tcPr>
            <w:tcW w:w="674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(16)</w:t>
              </w:r>
            </w:hyperlink>
          </w:p>
        </w:tc>
        <w:tc>
          <w:tcPr>
            <w:tcW w:w="4160" w:type="dxa"/>
            <w:vAlign w:val="bottom"/>
            <w:gridSpan w:val="19"/>
          </w:tcPr>
          <w:p>
            <w:pPr>
              <w:ind w:left="20"/>
              <w:spacing w:after="0"/>
              <w:rPr>
                <w:rFonts w:ascii="Arial" w:cs="Arial" w:eastAsia="Arial" w:hAnsi="Arial"/>
                <w:sz w:val="18"/>
                <w:szCs w:val="18"/>
                <w:color w:val="0000EE"/>
              </w:rPr>
            </w:pPr>
            <w:hyperlink w:anchor="page103">
              <w:r>
                <w:rPr>
                  <w:rFonts w:ascii="Arial" w:cs="Arial" w:eastAsia="Arial" w:hAnsi="Arial"/>
                  <w:sz w:val="18"/>
                  <w:szCs w:val="18"/>
                  <w:color w:val="0000EE"/>
                </w:rPr>
                <w:t>Business Segment Information</w:t>
              </w:r>
            </w:hyperlink>
          </w:p>
        </w:tc>
        <w:tc>
          <w:tcPr>
            <w:tcW w:w="6740" w:type="dxa"/>
            <w:vAlign w:val="bottom"/>
            <w:gridSpan w:val="4"/>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102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(17)</w:t>
              </w:r>
            </w:hyperlink>
          </w:p>
        </w:tc>
        <w:tc>
          <w:tcPr>
            <w:tcW w:w="4160" w:type="dxa"/>
            <w:vAlign w:val="bottom"/>
            <w:gridSpan w:val="19"/>
          </w:tcPr>
          <w:p>
            <w:pPr>
              <w:ind w:left="20"/>
              <w:spacing w:after="0"/>
              <w:rPr>
                <w:rFonts w:ascii="Arial" w:cs="Arial" w:eastAsia="Arial" w:hAnsi="Arial"/>
                <w:sz w:val="18"/>
                <w:szCs w:val="18"/>
                <w:color w:val="0000EE"/>
                <w:w w:val="98"/>
              </w:rPr>
            </w:pPr>
            <w:hyperlink w:anchor="page107">
              <w:r>
                <w:rPr>
                  <w:rFonts w:ascii="Arial" w:cs="Arial" w:eastAsia="Arial" w:hAnsi="Arial"/>
                  <w:sz w:val="18"/>
                  <w:szCs w:val="18"/>
                  <w:color w:val="0000EE"/>
                  <w:w w:val="98"/>
                </w:rPr>
                <w:t>Financial Instruments and Fair Value Measurements</w:t>
              </w:r>
            </w:hyperlink>
          </w:p>
        </w:tc>
        <w:tc>
          <w:tcPr>
            <w:tcW w:w="674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(18)</w:t>
              </w:r>
            </w:hyperlink>
          </w:p>
        </w:tc>
        <w:tc>
          <w:tcPr>
            <w:tcW w:w="4160" w:type="dxa"/>
            <w:vAlign w:val="bottom"/>
            <w:gridSpan w:val="19"/>
          </w:tcPr>
          <w:p>
            <w:pPr>
              <w:ind w:left="20"/>
              <w:spacing w:after="0"/>
              <w:rPr>
                <w:rFonts w:ascii="Arial" w:cs="Arial" w:eastAsia="Arial" w:hAnsi="Arial"/>
                <w:sz w:val="18"/>
                <w:szCs w:val="18"/>
                <w:color w:val="0000EE"/>
              </w:rPr>
            </w:pPr>
            <w:hyperlink w:anchor="page109">
              <w:r>
                <w:rPr>
                  <w:rFonts w:ascii="Arial" w:cs="Arial" w:eastAsia="Arial" w:hAnsi="Arial"/>
                  <w:sz w:val="18"/>
                  <w:szCs w:val="18"/>
                  <w:color w:val="0000EE"/>
                </w:rPr>
                <w:t>Litigation and Contingencies</w:t>
              </w:r>
            </w:hyperlink>
          </w:p>
        </w:tc>
        <w:tc>
          <w:tcPr>
            <w:tcW w:w="67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108</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(19)</w:t>
              </w:r>
            </w:hyperlink>
          </w:p>
        </w:tc>
        <w:tc>
          <w:tcPr>
            <w:tcW w:w="4160" w:type="dxa"/>
            <w:vAlign w:val="bottom"/>
            <w:gridSpan w:val="19"/>
          </w:tcPr>
          <w:p>
            <w:pPr>
              <w:ind w:left="20"/>
              <w:spacing w:after="0"/>
              <w:rPr>
                <w:rFonts w:ascii="Arial" w:cs="Arial" w:eastAsia="Arial" w:hAnsi="Arial"/>
                <w:sz w:val="18"/>
                <w:szCs w:val="18"/>
                <w:color w:val="0000EE"/>
              </w:rPr>
            </w:pPr>
            <w:hyperlink w:anchor="page109">
              <w:r>
                <w:rPr>
                  <w:rFonts w:ascii="Arial" w:cs="Arial" w:eastAsia="Arial" w:hAnsi="Arial"/>
                  <w:sz w:val="18"/>
                  <w:szCs w:val="18"/>
                  <w:color w:val="0000EE"/>
                </w:rPr>
                <w:t>Commitments</w:t>
              </w:r>
            </w:hyperlink>
          </w:p>
        </w:tc>
        <w:tc>
          <w:tcPr>
            <w:tcW w:w="67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108</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(20)</w:t>
              </w:r>
            </w:hyperlink>
          </w:p>
        </w:tc>
        <w:tc>
          <w:tcPr>
            <w:tcW w:w="4160" w:type="dxa"/>
            <w:vAlign w:val="bottom"/>
            <w:gridSpan w:val="19"/>
          </w:tcPr>
          <w:p>
            <w:pPr>
              <w:ind w:left="20"/>
              <w:spacing w:after="0"/>
              <w:rPr>
                <w:rFonts w:ascii="Arial" w:cs="Arial" w:eastAsia="Arial" w:hAnsi="Arial"/>
                <w:sz w:val="18"/>
                <w:szCs w:val="18"/>
                <w:color w:val="0000EE"/>
              </w:rPr>
            </w:pPr>
            <w:hyperlink w:anchor="page110">
              <w:r>
                <w:rPr>
                  <w:rFonts w:ascii="Arial" w:cs="Arial" w:eastAsia="Arial" w:hAnsi="Arial"/>
                  <w:sz w:val="18"/>
                  <w:szCs w:val="18"/>
                  <w:color w:val="0000EE"/>
                </w:rPr>
                <w:t>Related Party Transactions</w:t>
              </w:r>
            </w:hyperlink>
          </w:p>
        </w:tc>
        <w:tc>
          <w:tcPr>
            <w:tcW w:w="674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109</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(21)</w:t>
              </w:r>
            </w:hyperlink>
          </w:p>
        </w:tc>
        <w:tc>
          <w:tcPr>
            <w:tcW w:w="4160" w:type="dxa"/>
            <w:vAlign w:val="bottom"/>
            <w:gridSpan w:val="19"/>
          </w:tcPr>
          <w:p>
            <w:pPr>
              <w:ind w:left="20"/>
              <w:spacing w:after="0"/>
              <w:rPr>
                <w:rFonts w:ascii="Arial" w:cs="Arial" w:eastAsia="Arial" w:hAnsi="Arial"/>
                <w:sz w:val="18"/>
                <w:szCs w:val="18"/>
                <w:color w:val="0000EE"/>
              </w:rPr>
            </w:pPr>
            <w:hyperlink w:anchor="page111">
              <w:r>
                <w:rPr>
                  <w:rFonts w:ascii="Arial" w:cs="Arial" w:eastAsia="Arial" w:hAnsi="Arial"/>
                  <w:sz w:val="18"/>
                  <w:szCs w:val="18"/>
                  <w:color w:val="0000EE"/>
                </w:rPr>
                <w:t>Selected Quarterly Data (Unaudited)</w:t>
              </w:r>
            </w:hyperlink>
          </w:p>
        </w:tc>
        <w:tc>
          <w:tcPr>
            <w:tcW w:w="6740" w:type="dxa"/>
            <w:vAlign w:val="bottom"/>
            <w:gridSpan w:val="4"/>
          </w:tcPr>
          <w:p>
            <w:pPr>
              <w:jc w:val="right"/>
              <w:spacing w:after="0"/>
              <w:rPr>
                <w:rFonts w:ascii="Arial" w:cs="Arial" w:eastAsia="Arial" w:hAnsi="Arial"/>
                <w:sz w:val="18"/>
                <w:szCs w:val="18"/>
                <w:color w:val="0000EE"/>
              </w:rPr>
            </w:pPr>
            <w:hyperlink w:anchor="page111">
              <w:r>
                <w:rPr>
                  <w:rFonts w:ascii="Arial" w:cs="Arial" w:eastAsia="Arial" w:hAnsi="Arial"/>
                  <w:sz w:val="18"/>
                  <w:szCs w:val="18"/>
                  <w:color w:val="0000EE"/>
                </w:rPr>
                <w:t>110</w:t>
              </w:r>
            </w:hyperlink>
          </w:p>
        </w:tc>
      </w:tr>
      <w:tr>
        <w:trPr>
          <w:trHeight w:val="939"/>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tcPr>
          <w:p>
            <w:pPr>
              <w:jc w:val="right"/>
              <w:ind w:right="515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2016 and 2015, and the related consolidated statements of income, comprehensive income, changes in equity, and cash flows for each of the years in the three-year period ended December 31, 2016. We also have audited the Company's internal control over financial reporting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2016 and 2015, and the results of their operations and their cash flows for each of the years in the three-year period ended December 31, 2016, in conformity with U.S. generally accepted accounting principles. Also in our opinion, Euronet Worldwide, Inc. and subsidiaries maintained, in all material respects, effective internal control over financial reporting as of December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acquired YourCash Europe Limited (YourCash) during 2016, and management excluded from its assessment of the effectiveness of the Company's internal control over financial reporting as of December 31, 2016, YourCash's internal control over financial reporting associated with total assets of $87.9 million and total revenue of $9.6 million, included in the consolidated financial statements of the Company as of and for the year ended December 31, 2016. Our audit of internal control over financial reporting of the Company also excluded an evaluation of the internal control over financial reporting of YourCash.</w:t>
      </w:r>
    </w:p>
    <w:p>
      <w:pPr>
        <w:spacing w:after="0" w:line="18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734,414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457,518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45,312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72,108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$18,369 at December 31, 2016 and $19,140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502,989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423,299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132,773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1,131,010</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$262,470 at December 31, 2016 and $242,111 at December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31, 2015</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202,145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157,368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685,178</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$150,347 at December 31, 2016 and $131,095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December 31, 2015</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165,331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167,972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$36,984 at December 31, 2016 and $32,434 at December 31, 2015</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51,186</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2,712,872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2,192,714</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456,159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615,153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382,873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12,060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35,887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903,932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561,663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405,472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33,924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19,311</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1,812,315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1,366,786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58,389,242 issued at December 31, 2016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57,961,043 issued at December 31, 2015</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1,023,254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5"/>
              </w:rPr>
              <w:t>Treasury stock, at cost, 6,085,841 shares at December 31, 2016 and 4,929,241 shares at December 31, 2015</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(138,750)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104,427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(165,528)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824,562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900,557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825,928</w:t>
            </w: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2,712,872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2,192,714</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109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095"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135"/>
        </w:trPr>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1,958,615</w:t>
            </w: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1,772,262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1,664,150</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1,174,545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1,033,479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288,420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259,162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243,220</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157,265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80,529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71,455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1,708,842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1,567,421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1,505,419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249,773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158,731</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Foreign currency exchange loss,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(5,646)</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(17,228)</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141,503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(40,015)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101,488</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Less: Net loss attributable to noncontrolling interests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174,415</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98,808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101,648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52,276,951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52,274,573</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51,757,867</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54,001,079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54,076,676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53,901,040</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174,098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101,488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(87,675)</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128,923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30,736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13,813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w:t>
            </w:r>
          </w:p>
        </w:tc>
      </w:tr>
      <w:tr>
        <w:trPr>
          <w:trHeight w:val="25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129,281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31,202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14,179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(Accumulated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50,626,242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101,648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914,371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1,262,654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convertible notes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(1,206,500)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51,596,767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955,715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743,782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53,031,802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1,023,254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104,427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174,415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14,983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(1,149,571)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52,303,401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1,045,663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278,842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Comprehensive Loss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638,455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101,488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56,554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convertible notes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64,351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(64,512)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98,492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(67,756)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825,928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174,098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(45,175)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14,983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(75,569)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900,557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125"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174,098</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12,902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(gains) losses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5,642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(21,266)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4,085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368,182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215,054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235,027</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(63,098)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sale of investment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(148,664)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11,099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(66,390)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2,648,093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1,321,622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2,184,153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(2,495,632)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(1,318,759)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(2,307,622)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borrowing from (repayments of) short-term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4,336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411,500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79,510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218,081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(41,892)</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276,896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258,184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457,518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209,826</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734,414</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457,518</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468,010</w:t>
            </w: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14,442</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43,178</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54,607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39,574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consideration received from sale of investment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7,549</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43,061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56,554</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27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271"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the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Inventory - PINs and other is valued at the lower of cost or market value and primarily represents prepaid personal identification number (“PIN”) inventory for prepaid mobile airtime related to the epay Segment. PIN inventory is generally managed on a specific identification basis that approximates first in, first out for the respective denomination of prepaid mobile airtime sold. Inventory also includes vouchers, merchandise for physical reward fulfillment and other electronic payment products. Additionally, from time to time, Inventory - PINs and other may include ATMS, POS terminals, and mobile phone handsets held by the Company for resale.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200" w:lineRule="exact"/>
        <w:rPr>
          <w:sz w:val="20"/>
          <w:szCs w:val="20"/>
          <w:color w:val="auto"/>
        </w:rPr>
      </w:pP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two-step quantitative impairment test (described below), otherwise no further analysis is required. An entity also may elect not to perform the qualitative assessment and, instead, proceed directly to the two-step quantitative impairment test. The Company has a policy for its annual review of goodwill to perform the qualitative assessment for all reporting units not subjected directly to the two-step quantitative impairment test.</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two-step quantitative impairment test completed for a reporting unit and compares, among other factors, the weighted average cost of capital ("WACC") between the current and prior years for each reporting unit.</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Under the two-step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the estimated fair value of a reporting unit is less than the carrying value, additional analysis is required. The additional analysis would compare the carrying amount of the reporting unit's goodwill with the implied fair value of that goodwill. The implied fair value of goodwill is the excess of the fair value of the reporting unit over the fair value amounts assigned to all of the assets and liabilities of that unit as if the reporting unit was acquired in a business combination and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fair value of the reporting unit represented the purchase price. If the carrying value of goodwill exceeds its implied fair value, an impairment loss equal to such excess would be recognized.</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completed its annual goodwill impairment test in the fourth quarter of 2016. It determined, after performing a qualitative review of each reporting unit, that it is more likely than not that the fair value of each of our reporting units exceeds the respective carrying amounts. Accordingly, there was no indication of impairment, and the two-step goodwill impairment test was not performed.</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Other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466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58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60" w:type="dxa"/>
            <w:vAlign w:val="bottom"/>
          </w:tcPr>
          <w:p>
            <w:pPr>
              <w:jc w:val="right"/>
              <w:spacing w:after="0"/>
              <w:rPr>
                <w:sz w:val="20"/>
                <w:szCs w:val="20"/>
                <w:color w:val="auto"/>
              </w:rPr>
            </w:pPr>
            <w:r>
              <w:rPr>
                <w:rFonts w:ascii="Arial" w:cs="Arial" w:eastAsia="Arial" w:hAnsi="Arial"/>
                <w:sz w:val="18"/>
                <w:szCs w:val="18"/>
                <w:color w:val="auto"/>
              </w:rPr>
              <w:t>6 - 20 years</w:t>
            </w:r>
          </w:p>
        </w:tc>
      </w:tr>
    </w:tbl>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No impairment of long-lived assets was recorded during 2016, 2015 or 2014.</w:t>
      </w:r>
    </w:p>
    <w:p>
      <w:pPr>
        <w:spacing w:after="0" w:line="46" w:lineRule="exact"/>
        <w:rPr>
          <w:sz w:val="20"/>
          <w:szCs w:val="20"/>
          <w:color w:val="auto"/>
        </w:rPr>
      </w:pPr>
    </w:p>
    <w:p>
      <w:pPr>
        <w:ind w:right="460"/>
        <w:spacing w:after="0" w:line="375" w:lineRule="auto"/>
        <w:rPr>
          <w:sz w:val="20"/>
          <w:szCs w:val="20"/>
          <w:color w:val="auto"/>
        </w:rPr>
      </w:pPr>
      <w:r>
        <w:rPr>
          <w:rFonts w:ascii="Arial" w:cs="Arial" w:eastAsia="Arial" w:hAnsi="Arial"/>
          <w:sz w:val="18"/>
          <w:szCs w:val="18"/>
          <w:color w:val="auto"/>
        </w:rPr>
        <w:t xml:space="preserve">See Note 8, Goodwill and Acquired Intangible Assets, Net, for additional information regarding the impairment of goodwill and other intangible assets. </w:t>
      </w:r>
      <w:r>
        <w:rPr>
          <w:rFonts w:ascii="Arial" w:cs="Arial" w:eastAsia="Arial" w:hAnsi="Arial"/>
          <w:sz w:val="18"/>
          <w:szCs w:val="18"/>
          <w:b w:val="1"/>
          <w:bCs w:val="1"/>
          <w:i w:val="1"/>
          <w:iCs w:val="1"/>
          <w:color w:val="auto"/>
        </w:rPr>
        <w:t>Other assets</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assets include investments in unconsolidated affiliates, capitalized software development costs and capitalized payments for new or renewed contracts, contract renewals and customer conversion costs.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accounts for investments in affiliates using the equity method of accounting when it has the ability to exercise significant influence over the affiliate, but does not have a controlling interest. Equity losses in affiliates are generally recognized until the Company's investment is zero. As of December 31, 2016 and 2015, the Company had no material investments in unconsolidated affiliates.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(“ASC 470”),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(“ASC 810”), which requires noncontrolling interests to be reported as a component of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most identifiable assets, liabilities, noncontrolling interests and goodwill acquired in a business combination to be recorded at “full fair value” at the acquisition date. Transaction-related costs are expensed in the period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expected to be recovered or settled. The effect on deferred tax assets and liabilities of a change in tax rates is recognized in income in the period that includes the enactment date.</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policy is to record estimated interest and penalties related to the underpayment of income taxes as income tax expense in the Consolidated Statements of Income. See Note 13, Taxes, for further discussion regarding these provisions.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The Company applies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for the required fair value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accounts for derivative instruments and hedging activities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Income.</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for further discussion of derivative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7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u w:val="single" w:color="auto"/>
          <w:color w:val="auto"/>
        </w:rPr>
        <w:t>EFT Processing</w:t>
      </w:r>
      <w:r>
        <w:rPr>
          <w:rFonts w:ascii="Arial" w:cs="Arial" w:eastAsia="Arial" w:hAnsi="Arial"/>
          <w:sz w:val="17"/>
          <w:szCs w:val="17"/>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w:t>
      </w:r>
    </w:p>
    <w:p>
      <w:pPr>
        <w:spacing w:after="0" w:line="5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Revenues from the sale of EFT software solutions represent software license fees, professional installation and customization fees, ongoing software maintenance fees, hardware sales and transaction fees. The Company recognizes professional service fee revenue in accordance with the provisions of ASC Topic 985,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(“ASC 985”) and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ASC 985 generally requires revenue earned on software arrangements involving multiple elements to be allocated to each element based on the relative fair values of those elements.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percentage-of-completion method, following the guidance in ASC 605, as prescribed by ASC 985. Software maintenance revenue is recognized over the contractual period or as the maintenance-related service is performed. Revenues from the sale of hardware are generally recognized when title passes to the customer.</w:t>
      </w:r>
    </w:p>
    <w:p>
      <w:pPr>
        <w:spacing w:after="0" w:line="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605, commissions received are recognized as revenue during the period in which the Company provides the service. The portion of the commission that is paid to retailers is generally recorded as a direct operating cost. However, in circumstances where the Company is not the primary obligor in the distribution of the electronic payment products, those commissions are recorded as a reduction of revenue. In selling certain products, the Company is the primary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605,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January 2017, the FASB issued Accounting Standards Update (“ASU”) 2017-04, </w:t>
      </w:r>
      <w:r>
        <w:rPr>
          <w:rFonts w:ascii="Arial" w:cs="Arial" w:eastAsia="Arial" w:hAnsi="Arial"/>
          <w:sz w:val="18"/>
          <w:szCs w:val="18"/>
          <w:i w:val="1"/>
          <w:iCs w:val="1"/>
          <w:color w:val="auto"/>
        </w:rPr>
        <w:t>Intangibles - 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The ASU simplifies how an entity is required to test goodwill for impairment by eliminating Step 2 from the goodwill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Step 2 measures a goodwill impairment loss by comparing the implied fair value of a reporting unit’s goodwill with the carrying amount. The amendments of this ASU are effective for reporting periods beginning after December 15, 2019. The Company does not expect the adoption of this ASU to have a significant impact on its consolidated financial statements and related disclosures.</w:t>
      </w:r>
    </w:p>
    <w:p>
      <w:pPr>
        <w:spacing w:after="0" w:line="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amendments in this ASU clarify the definition of a business with the objective of adding guidance to assist entities with evaluating whether transactions should be accounted for as acquisitions (or disposals) of assets or businesses. The amendments of this ASU are effective for reporting periods beginning after December 15, 2017, with early adoption permitted. The Company does not expect the adoption of this ASU to have a significant impact on its consolidated financial statements and related disclosures.</w:t>
      </w:r>
    </w:p>
    <w:p>
      <w:pPr>
        <w:spacing w:after="0" w:line="8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provides guidance on the presentation of restricted cash and restricted cash equivalents in the statement of cash flows. Restricted cash and restricted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flows presentation of restricted cash, the adoption of this ASU is not expected to have an impact on the Company’s consolidated financial statements.</w:t>
      </w:r>
    </w:p>
    <w:p>
      <w:pPr>
        <w:spacing w:after="0" w:line="1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The amendments in this ASU state that an entity should recognize the income tax consequences of an intra-entity transfer of an asset other than inventory, such as intellectual property and property and equipment, when the transfer occurs. This is a change from current GAAP, which requires companies to defer the income tax effects of intercompany transfers of assets until the asset has been sold to an outside party or otherwise recognized (i.e., depreciation, amortization, or impairment). The amendments of this ASU are effective for reporting periods beginning after December 15, 2017, with early adoption permitted. The Company does not expect the adoption of this ASU to have a significant impact on its consolidated financial statements and related disclosures.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addresses eight specific issues on how certain cash receipts and cash payments are presented and classified in the statement of cash flows with the objective of reducing existing diversity in practice with respect to these items. The amendments of this ASU are effective for reporting periods beginning after December 15, 2017, with early adoption permitted. The Company is evaluating the new guidance, but does not expect it to have a significant impact on its consolidated financial statements and related disclosures.</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does not expect the adoption of this ASU to have a significant impact on its consolidated financial statements and related disclosures.</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addresses how companies account for certain aspects of share-based payments to employees. Entities will be required to recognize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effects of awards in the statement of income when the awards vest or are settled, and to present excess tax benefits as an operating activity on the statement of cash flows rather than as a financing activity. The ASU also addresses such areas as an accounting policy election for forfeitures and the amount an employer can withhold to cover income taxes and still qualify for equity classification. The amendments in this ASU will be effective for annual periods beginning after December 15, 2016 and interim periods within those annual periods. Early adoption is permitted. The Company does not expect the adoption of this ASU to have a significant impact on its consolidated financial statements and related disclosures.</w:t>
      </w:r>
    </w:p>
    <w:p>
      <w:pPr>
        <w:spacing w:after="0" w:line="11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xml:space="preserve">. The new standard clarifies that an entity is required to assess whether the economic characteristics and risks of embedded put or call options are clearly and closely related to those of their debt hosts only in accordance with the four-step decision sequence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For contingently exercisable put or call options, an entity does not have to assess whether the event that triggers the ability to exercise a put or call option is related to interest rates or credit risk of the entity. The ASU does not change the existing criteria for determining when bifurcation of an embedded put or call option in a debt instrument is required. The amendments of this ASU are effective for annual periods beginning after December 15, 2016, with early adoption permitted. Entities are required to apply the guidance to existing debt instruments using a modified retrospective transition method as of the period of adoption. The Company does not expect the adoption of this ASU to have a significant impact on its consolidated financial statements and related disclosures.</w:t>
      </w:r>
    </w:p>
    <w:p>
      <w:pPr>
        <w:spacing w:after="0" w:line="1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March 2016, the FASB issued ASU 2016-04, </w:t>
      </w:r>
      <w:r>
        <w:rPr>
          <w:rFonts w:ascii="Arial" w:cs="Arial" w:eastAsia="Arial" w:hAnsi="Arial"/>
          <w:sz w:val="16"/>
          <w:szCs w:val="16"/>
          <w:i w:val="1"/>
          <w:iCs w:val="1"/>
          <w:color w:val="auto"/>
        </w:rPr>
        <w:t>Recognition of Breakage for Certain Prepaid Stored-Value Products</w:t>
      </w:r>
      <w:r>
        <w:rPr>
          <w:rFonts w:ascii="Arial" w:cs="Arial" w:eastAsia="Arial" w:hAnsi="Arial"/>
          <w:sz w:val="16"/>
          <w:szCs w:val="16"/>
          <w:color w:val="auto"/>
        </w:rPr>
        <w:t xml:space="preserve">. The new standard specifies that liabilities within its scope are considered to be financial liabilities, and amends the guidance in ASC 405-20, </w:t>
      </w:r>
      <w:r>
        <w:rPr>
          <w:rFonts w:ascii="Arial" w:cs="Arial" w:eastAsia="Arial" w:hAnsi="Arial"/>
          <w:sz w:val="16"/>
          <w:szCs w:val="16"/>
          <w:i w:val="1"/>
          <w:iCs w:val="1"/>
          <w:color w:val="auto"/>
        </w:rPr>
        <w:t>Extinguishments of Liabilities</w:t>
      </w:r>
      <w:r>
        <w:rPr>
          <w:rFonts w:ascii="Arial" w:cs="Arial" w:eastAsia="Arial" w:hAnsi="Arial"/>
          <w:sz w:val="16"/>
          <w:szCs w:val="16"/>
          <w:color w:val="auto"/>
        </w:rPr>
        <w:t>,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the new revenue standard. The ASU is effective for annual periods beginning after December 15, 2017, and is applied either using a modified retrospective transition method or retrospectively. Early adoption is permitted. The Company does not expect that the adoption of this standard will have a significant impact on its consolidated financial statements and related disclosures.</w:t>
      </w:r>
    </w:p>
    <w:p>
      <w:pPr>
        <w:spacing w:after="0" w:line="11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The new standard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2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which addresses certain aspects of recognition, measurement, presentation, and disclosure of financial instruments. ASU 2016-01 is effective for financial statements issued for annual periods beginning after December 15, 2017, and interim periods within those annual periods. The Company does not expect that the adoption of this standard will have a significant impact on its consolidated financial statements and related disclosures.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2018.The standard permits the use of either the full retrospective or modified retrospective transition method.</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versus Net)</w:t>
      </w:r>
      <w:r>
        <w:rPr>
          <w:rFonts w:ascii="Arial" w:cs="Arial" w:eastAsia="Arial" w:hAnsi="Arial"/>
          <w:sz w:val="17"/>
          <w:szCs w:val="17"/>
          <w:color w:val="auto"/>
        </w:rPr>
        <w:t>. In April 2016, the FASB issued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In May 2016, the FASB issued ASU 2016-11,</w:t>
      </w:r>
      <w:r>
        <w:rPr>
          <w:rFonts w:ascii="Arial" w:cs="Arial" w:eastAsia="Arial" w:hAnsi="Arial"/>
          <w:sz w:val="17"/>
          <w:szCs w:val="17"/>
          <w:i w:val="1"/>
          <w:iCs w:val="1"/>
          <w:color w:val="auto"/>
        </w:rPr>
        <w:t xml:space="preserve"> Revenue from Contracts with Customers (Topic 606) and Derivatives and Hedging (Topic 815) - Rescission of SEC Guidance Because of ASU 2014-09 and 2014-16, and ASU 2016-12, Revenue from Contracts with Customers (Topic 606) - Narrow Scope Improvements and Practical Expedient</w:t>
      </w:r>
      <w:r>
        <w:rPr>
          <w:rFonts w:ascii="Arial" w:cs="Arial" w:eastAsia="Arial" w:hAnsi="Arial"/>
          <w:sz w:val="17"/>
          <w:szCs w:val="17"/>
          <w:color w:val="auto"/>
        </w:rPr>
        <w:t>s. In December 2016, the FASB issued ASU 2016-20,</w:t>
      </w:r>
      <w:r>
        <w:rPr>
          <w:rFonts w:ascii="Arial" w:cs="Arial" w:eastAsia="Arial" w:hAnsi="Arial"/>
          <w:sz w:val="17"/>
          <w:szCs w:val="17"/>
          <w:i w:val="1"/>
          <w:iCs w:val="1"/>
          <w:color w:val="auto"/>
        </w:rPr>
        <w:t xml:space="preserve"> Technical Corrections and Improvements to Topic 606, Revenue from Contracts with Customers (Topic 606)</w:t>
      </w:r>
      <w:r>
        <w:rPr>
          <w:rFonts w:ascii="Arial" w:cs="Arial" w:eastAsia="Arial" w:hAnsi="Arial"/>
          <w:sz w:val="17"/>
          <w:szCs w:val="17"/>
          <w:color w:val="auto"/>
        </w:rPr>
        <w:t>. These ASUs clarify the implementation guidance on a few narrow areas, make minor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adds some practical expedients to the guidance in Topic 606.</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performed a review of the requirements of the new revenue standards and is in the process of reviewing customer contracts under the new standard. The Company plans to adopt these ASUs on January 1, 2018 and expects to apply the modified retrospective transition method, which would result in an adjustment to the opening balance of retained earnings for the cumulative effect, as appropriate, of initially applying the standards at the date of initial application.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currently evaluating what effect, if any, the new revenue standards will have on its consolidated financial statements and related disclosures.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30"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23495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52,276,951</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52,274,573</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51,757,867</w:t>
            </w:r>
          </w:p>
        </w:tc>
      </w:tr>
      <w:tr>
        <w:trPr>
          <w:trHeight w:val="27"/>
        </w:trPr>
        <w:tc>
          <w:tcPr>
            <w:tcW w:w="6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Incremental shares from assumed exercise of stock options and vesting of restricted stock</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1,705,224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1,783,199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2,143,173</w:t>
            </w: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18,904</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18,904</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54,001,079</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54,076,676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53,901,040</w:t>
            </w:r>
          </w:p>
        </w:tc>
      </w:tr>
      <w:tr>
        <w:trPr>
          <w:trHeight w:val="20"/>
        </w:trPr>
        <w:tc>
          <w:tcPr>
            <w:tcW w:w="6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2016, 2015 and 2014 of approximately 616,000, 568,000 and 585,000, respectively.</w:t>
      </w:r>
    </w:p>
    <w:p>
      <w:pPr>
        <w:spacing w:after="0" w:line="3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During 2016, 2015 and 2014, the Company had convertible notes outstanding that, if converted, could have a potentially dilutive effect on its Common Stock. At issuance, the Company stated its intent to settle any conversion of these notes by paying cash for the principal value and issuing Common Stock for any conversion value in excess of the principal value. As of December 31, 2016, and currently, the Company maintains the intent and ability to settle any conversion as stated. Accordingly, the convertible notes would only have a dilutive effect if the market price per share of Common Stock exceeds the conversion price per share of Common Stock.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 dilutive effect of the assumed conversion of the debentures was 18,904 shares for the year ended December 31, 2016 and 2015. The assumed conversion of the debentures was anti-dilutive for year ended December 31, 2014. See Note 10, Debt Obligations, for more information about the convertible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the Company to repurchase up to $100 million in value or 5.0 million shares of its common stock through December 10, 2017. For the year end December 31, 2016, the Company repurchased 1.1 million shares at a weighted average purchase price of $65.74 for a total value of $75.6 million under the 2016 Program.</w:t>
      </w:r>
    </w:p>
    <w:p>
      <w:pPr>
        <w:spacing w:after="0" w:line="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3.0 million shares of its common stock through June 14, 2018. Repurchases under the Repurchase Program may take place in the open market or in privately negotiated transactions, including derivative transactions, and may be made under a Rule 10b5-1 plan. No purchases have been made under this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Agreement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March 26, 2013, the Company entered into a Rights Agreement (the "Rights Agreement") with Computershare Trust Company, N.A., as Rights Agent. The Rights Agreement became effective at the close of business on April 3, 2013, immediately following the expiration of the prior rights agreement, and had a three year term, which expired on April 3,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2016 and 2015, accumulated other comprehensive loss consists entirely of foreign currency translation adjustments. For the years ended December 31, 2016, 2015 and 2014, the Company recorded foreign currency translation losses of $45.2 million, $67.8 million and $87.7 million, respectively. There were no reclassifications of foreign currency translation into the Consolidated Statements of Income for the years ending December 31, 2016 and 2014. During 2015, the Company reclassified $0.8 million of foreign currency translation into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YourCash</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3, 2016, the Company completed the acquisition of the capital stock of YourCash Europe Limited and its subsidiaries ("YourCash"), a U.K. based ATM operator with approximately 5,000 ATMs across the U.K., Netherlands, Belgium and Ireland. The acquisition provides the Company with additional experience and manpower in key Western European markets and a greater access to retailers in the U.K. and Netherlands.</w:t>
      </w:r>
    </w:p>
    <w:p>
      <w:pPr>
        <w:spacing w:after="0" w:line="5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purchase price for YourCash was approximately $62.6 million in cash. Approximately $7.2 million of the cash consideration was placed in escrow accounts to satisfy indemnification obligations of the seller, pursuant to the terms of the purchase agreement. In addition, the agreement calls for deferred consideration of $3.2 million payable over three years at a rate of one-third per year to employee shareholders of YourCash who remain employed with us. The deferred consideration is accounted for separately from the acquisition and will be recognized as compensation over the service period.</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purchase price was allocated to the assets acquired and liabilities assumed, including identifiable intangible assets, based on their respective fair values at the date of acquisition. The valuation of the acquired net assets remains preliminary while management completes its valuation, particularly the valuation of acquired intangible assets. The revenue and earnings of YourCash for the year ended December 31, 2016 were not material nor were the historical revenue and earnings of YourCash material for the purpose of presenting pro forma information for the current or prior-year periods.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4"/>
              </w:rPr>
              <w:t>As of October 3, 2016</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24,571</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(26,872)</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32,429</w:t>
            </w:r>
          </w:p>
        </w:tc>
        <w:tc>
          <w:tcPr>
            <w:tcW w:w="0" w:type="dxa"/>
            <w:vAlign w:val="bottom"/>
          </w:tcPr>
          <w:p>
            <w:pPr>
              <w:spacing w:after="0"/>
              <w:rPr>
                <w:sz w:val="1"/>
                <w:szCs w:val="1"/>
                <w:color w:val="auto"/>
              </w:rPr>
            </w:pPr>
          </w:p>
        </w:tc>
      </w:tr>
      <w:tr>
        <w:trPr>
          <w:trHeight w:val="297"/>
        </w:trPr>
        <w:tc>
          <w:tcPr>
            <w:tcW w:w="448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5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62,610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550"/>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8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YourCash are being amortized on a straight-line basis, and the estimated fair values consist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14 - 20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57"/>
        </w:trPr>
        <w:tc>
          <w:tcPr>
            <w:tcW w:w="8540" w:type="dxa"/>
            <w:vAlign w:val="bottom"/>
            <w:gridSpan w:val="2"/>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24,571</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of $32.4 million arising from the acquisition was included in the EFT Processing Segment and was attributable to expected growth opportunities in Europe. Goodwill and intangible assets associated with this acquisition are not deductible for tax purposes.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fourth quarter of 2016, the Company completed the acquisition of Tuatara Management Limited for an insignificant amount of cash consideration. The acquisition has been accounted for as a business combination in accordance with U.S. GAAP and the results of operations have been included from the date of acquisition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 Corporation</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July 2, 2015, the Company completed the acquisition of all of the capital stock of xe Corporation and its subsidiaries ("xe"). xe is a Canadian company which operates the xe.com and x-rates.com websites, providing currency-related data and international payments services. This acquisition provides Euronet an internationally recognized brand and a large Internet presence in which to offer its foreign currency products.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agreement, the xe sellers received purchase consideration of $79.9 million in cash, including working capital adjustments, and 642,912 shares of Euronet common stock, with a fair value at date of acquisition of $40.1 million. Half of the common stock portion of the purchase consideration was placed in escrow at closing as security for the xe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first quarter of 2016, the Company completed its valuation of the acquired assets and liabilities, which included an adjustment to goodwill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As of July 2, 2015</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22,937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109,460</w:t>
            </w:r>
          </w:p>
        </w:tc>
        <w:tc>
          <w:tcPr>
            <w:tcW w:w="0" w:type="dxa"/>
            <w:vAlign w:val="bottom"/>
          </w:tcPr>
          <w:p>
            <w:pPr>
              <w:spacing w:after="0"/>
              <w:rPr>
                <w:sz w:val="1"/>
                <w:szCs w:val="1"/>
                <w:color w:val="auto"/>
              </w:rPr>
            </w:pPr>
          </w:p>
        </w:tc>
      </w:tr>
      <w:tr>
        <w:trPr>
          <w:trHeight w:val="297"/>
        </w:trPr>
        <w:tc>
          <w:tcPr>
            <w:tcW w:w="448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5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119,976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357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4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xe are being amortized on a straight-line basis, and the estimated fair values consist of the following:</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19,269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intangible asset amounts are expected to be deductible for income tax purposes, but the goodwill amount is not. Pro-forma results of operations, assuming this acquisition was made at the beginning of the earliest period presented, have not been presented because the effect of this acquisition was not material to the Company's results of operations. The net assets of xe and its results of operations are included in the Money Transfer Segment's results.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17, 2015, the Company completed the acquisition of all of the capital stock of IME (M) Sdn Bhd and certain affiliated companies ("IME"). IME is a leading Malaysian-based money transfer provider and provides the Money Transfer Segment with immediate entry into the Asian and Middle East send markets.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purchase agreement, the sellers received purchase consideration of $78.9 million in cash, including estimated working capital adjustments, and 49,941 shares of Euronet common stock, with a fair value at date of acquisition of $3.0 million. A portion of the purchase consideration was placed in escrow at closing as security for the sellers' indemnification and other obligations under the purchase agreement. Any purchase consideration remaining in escrow will be released to the sellers at various defined dates over five years following the closing date, net of any pending indemnification or other claims under the purchase agreement.</w:t>
      </w:r>
    </w:p>
    <w:p>
      <w:pPr>
        <w:spacing w:after="0" w:line="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the first quarter of 2016, the Company adjusted the purchase price allocation to included a net adjustment to goodwill of $1.3 million, which resulted from a working capital adjustment and the finalization of the estimated fair value of the assets acquired and liabilities assumed as of the acquisition 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As of June 17, 2015</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96,422</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liabilities assumed</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31,443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81,895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980" w:type="dxa"/>
            <w:vAlign w:val="bottom"/>
            <w:vMerge w:val="restart"/>
          </w:tcPr>
          <w:p>
            <w:pPr>
              <w:jc w:val="right"/>
              <w:ind w:right="357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4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IME are being amortized on a straight-line basis, and the estimated fair values consist of the following:</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57"/>
        </w:trPr>
        <w:tc>
          <w:tcPr>
            <w:tcW w:w="8540" w:type="dxa"/>
            <w:vAlign w:val="bottom"/>
            <w:gridSpan w:val="2"/>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36,250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the Company's results of operations. Additionally, the cumulative effect of the IME acquisitions was not material to the Company's results of operations. The net assets of IME and its results of operations are included in the Money Transfer Segment's results.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2016 and 2015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37,121</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8,191</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77,674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45,312</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2016 and 2015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176,221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40,336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44,113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55,031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138,249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122,106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464,615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399,479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(242,111)</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202,145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157,368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2016, 2015 and 2014 was $48.5 million, $40.2 million and $42.0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2016 and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2016</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2015</w:t>
            </w:r>
          </w:p>
        </w:tc>
      </w:tr>
      <w:tr>
        <w:trPr>
          <w:trHeight w:val="156"/>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r>
      <w:tr>
        <w:trPr>
          <w:trHeight w:val="18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174,219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(96,144)</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53,396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55,706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(19,323)</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(13,820)</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315,678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299,067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(131,095)</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758,130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193,958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(75,059)</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167,972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685,178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853,150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63,792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165,331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689,713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855,044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performs its annual goodwill impairment test during the fourth quarter of each year. The annual goodwill impairment test completed during the fourth quarter of 2016 resulted in no impairment charges. 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8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Of the total goodwill balance of $689.7 million as of December 31, 2016, $454.1 million relates to the Money Transfer Segment, $153.5 million relates to the epay Segment and the remaining $82.1 million relates to the EFT Processing Segment. Amortization expense for intangible assets with finite lives was $25.5 million, $23.9 million and $24.4 million for the years ended December 31, 2016, 2015 and 2014, respectively. Estimated annual amortization expense, before income taxes, on intangible assets with finite lives as of December 31, 2016, is expected to total $23.7 million for 2017, $21.6 million for 2018, $20.7 million for 2019, $20.0 million for 2020 and $19.0 million for 2021.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2016 and 2015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125,366</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Accrued amounts due to mobile operators and other content providers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121,505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71,762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159,854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63,772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615,153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382,873</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Debt Obligations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Debt obligations consist of the following as of December 31, 2016 and 2015: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Term loan, due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67,031</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159,963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219,963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74,732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358,293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347,878</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gridSpan w:val="2"/>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602,148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428,341</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593,824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417,532</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561,663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405,472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December 31, 2016, aggregate annual maturities of long-term debt are $9.0 million in 2017, $14.2 million in 2018, $197.5 million in 2019, $402.5 million in 2020 and none thereafter. This maturity schedule reflects the term loan and revolving credit facilities maturing in 2019 and the convertible notes maturing in 2020, coinciding with the terms of the initial put option by holders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a revolving bank credit facility with a syndicate of financial institutions which expires April 9, 2019. The senior secured credit facility (the "Credit Facility") provides an aggregate amount of $675 million, consisting of a $590 million five-year revolving credit facility, a $10 million five-year India revolving credit facility and a $75 million five-year term loan which has been reduced to $60.0 million as of December 31, 2016 through principal amortization payments. The revolving credit facility allows for borrowings in U.S. dollars, euro, British pound sterling, Australian dollars and/or Indian rupees. The revolving credit facility contains a $200 million sublimit for the issuance of letters of credit and a $25 million sublimit for swingline loans.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the Company, with the applicable margin ranging from 1.375% to 2.375% (or 0.375% to 1.375% for base rate loans). The base rate is the highest of (i) the Bank of America prime rate, (ii) the Federal Funds rate plus 0.50% or (iii) the Fixed LIBOR rate plus 1.00%. The term loan is subject to scheduled quarterly amortization payments, as set forth in the amended and restated credit agreement. The maturity date for the Credit Facility is April 9, 2019, at which time the outstanding principal balance and all accrued interest will be due and payable in full. The weighted average interest rates of the Company's borrowings under the term loan and revolving credit facility were 2.1% and 2.4%, respectively, as of December 31, 2016, and 1.8% and 10.1%, respectively as of December 31, 2015. The weighted average interest rate under the revolving credit facility for 2015 was higher than the Term Loan A due to the higher borrowing rate related to the India credit facility.</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2016 and 2015, the Company had stand-by letters of credit/bank guarantees outstanding against the revolving credit facility of $44.9 million and $42.0 million, respectively. Stand-by letters of credit/bank guarantees reduce the Company's borrowing capacity under the revolving credit facility and are generally used to secure trade credit and performance obligations. The Company pays an interest rate for stand-by letters of credit/bank guarantees at a rate that may adjust each quarter based upon the Company's consolidated total leverage ratio. As of December 31, 2016 and 2015, the stand-by letters of credit interest charges was 1.4% per annum.</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amended and restated credit agreement contains customary affirmative and negative covenants, events of default and financial covenants, including: (i) a Consolidated Total Leverage Ratio not to exceed 4.0 to 1.0; and (ii) a Consolidated Fixed Charge Coverage Ratio of not less than 1.5 to 1.0. Subject to meeting certain leverage ratio and liquidity requirements as contained in the amended and restated credit agreement, the Company is permitted to pay dividends, repurchase common stock and repurchase subordinated debt.</w:t>
      </w:r>
    </w:p>
    <w:p>
      <w:pPr>
        <w:spacing w:after="0" w:line="18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 in capital of $66.1 million.</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Contractual interest expense was $6.0 million, $6.0 million and $0.9 million for the years ended December 31, 2016, 2015 and 2014, respectively. Discount accretion was $10.4 million, $9.9 million and $1.6 million for the years ended December 31, 2016, 2015 and 2014, respectively. As of December 31, 2016 and 2015, the unamortized discounts were $44.2 million and $54.6 million, respectively. The discount will be amortized through October 1, 2020. The effective interest rate was 4.7% for the years ended December 31,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Certain of the Company's subsidiaries have available lines of credit and overdraft credit facilities that generally provide for short-term borrowings that are used from time to time for working capital purposes. As of December 31, 2016 and 2015, borrowings under these arrangements were $23.9 million and $5.7 million, respectively. As of December 31, 2016, there was $23.3 million due in 2017 under these other obligation arrangements.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8"/>
          <w:szCs w:val="18"/>
          <w:i w:val="1"/>
          <w:iCs w:val="1"/>
          <w:color w:val="auto"/>
        </w:rPr>
        <w:t>,</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2016, the Company had foreign currency forward contracts outstanding in the U.S. with a notional value of $165.1 million, primarily in Australian dollars, Canadian dollars, British pounds, euros and Mexican pesos.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w:t>
      </w:r>
    </w:p>
    <w:p>
      <w:pPr>
        <w:spacing w:after="0" w:line="23" w:lineRule="exact"/>
        <w:rPr>
          <w:sz w:val="20"/>
          <w:szCs w:val="20"/>
          <w:color w:val="auto"/>
        </w:rPr>
      </w:pPr>
    </w:p>
    <w:p>
      <w:pPr>
        <w:jc w:val="both"/>
        <w:ind w:right="320"/>
        <w:spacing w:after="0" w:line="323" w:lineRule="auto"/>
        <w:rPr>
          <w:sz w:val="20"/>
          <w:szCs w:val="20"/>
          <w:color w:val="auto"/>
        </w:rPr>
      </w:pPr>
      <w:r>
        <w:rPr>
          <w:rFonts w:ascii="Arial" w:cs="Arial" w:eastAsia="Arial" w:hAnsi="Arial"/>
          <w:sz w:val="16"/>
          <w:szCs w:val="16"/>
          <w:color w:val="auto"/>
        </w:rPr>
        <w:t>foreign exchange rate fluctuations on certain short-term borrowings that are payable in currencies other than the U.S dollar. As of December 31, 2016, the Company had foreign currency forward contracts outstanding with a notional value of $106.5 million, primarily in British pounds, euros and Polish zloty.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$66.0 million, $62.8 million and $37.3 million for the years ended December 31, 2016, 2015 and 2014, respectively. All of the derivative contracts used in the Company' s HiFX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December 31, 2016 was approximately $1.3 billion. The significant majority of customer contracts are written in major currencies such as the euro, U.S. dollar, British pound, Australian dollar and New Zealand dollar.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75,307</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(63,772)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93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2016 and 2015 (in thousands):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19,786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summarize the location and amount of gains on derivatives in the Consolidated Statements of Income for the years ended December 31, 2016, 2015 and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 Derivative Contracts</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Location of Gain (Loss) Recognized in</w:t>
            </w: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leases certain of its ATMs, computer equipment and vehicles under capital lease agreements that expire between the years of 2017 and 2021 and bear interest at rates between 0.6% and 12.8%.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gross amount of the assets and related accumulated amortization recorded within property and equipment and subject to capital leases as of December 31, 2016 and 2015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10,307</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1,587</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11,894</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(4,618)</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7,276</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Non-cash financing and investing activities for the years ended December 31, 2016, 2015 and 2014 represented </w:t>
      </w:r>
      <w:r>
        <w:rPr>
          <w:rFonts w:ascii="Arial" w:cs="Arial" w:eastAsia="Arial" w:hAnsi="Arial"/>
          <w:sz w:val="18"/>
          <w:szCs w:val="18"/>
          <w:b w:val="1"/>
          <w:bCs w:val="1"/>
          <w:color w:val="auto"/>
        </w:rPr>
        <w:t>c</w:t>
      </w:r>
      <w:r>
        <w:rPr>
          <w:rFonts w:ascii="Arial" w:cs="Arial" w:eastAsia="Arial" w:hAnsi="Arial"/>
          <w:sz w:val="18"/>
          <w:szCs w:val="18"/>
          <w:color w:val="auto"/>
        </w:rPr>
        <w:t>apital lease obligations of $5.8 million, $6.4 million and $2.2 million, respectively, incurred when the Company entered into leases primarily for new ATMs, to upgrade ATMs or for data center computer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has non-cancelable operating leases that expire between the years of 2017 and 2031. Certain of these leases contain renewal options and escalation provisions. The Company recognizes rent expense under the straight-line method over the term of the lease. Rent expense for the years ended December 31, 2016, 2015 and 2014 amounted to $80.0 million, $63.0 million and $57.0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2017</w:t>
            </w:r>
          </w:p>
        </w:tc>
        <w:tc>
          <w:tcPr>
            <w:tcW w:w="38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3,917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49,947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44,409</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2019</w:t>
            </w:r>
          </w:p>
        </w:tc>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33,715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25,601</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2021</w:t>
            </w:r>
          </w:p>
        </w:tc>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16,022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15,877</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minimum lease payments</w:t>
            </w:r>
          </w:p>
        </w:tc>
        <w:tc>
          <w:tcPr>
            <w:tcW w:w="3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11,514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185,571</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5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vMerge w:val="restart"/>
          </w:tcPr>
          <w:p>
            <w:pPr>
              <w:jc w:val="right"/>
              <w:ind w:right="235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2016, 2015 and 2014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41,804</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10,686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7,337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191,089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130,408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134,166</w:t>
            </w: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income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232,893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141,094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141,503</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for the years ended December 31, 2016, 2015 and 2014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(2,886)</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44,780</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56,629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46,427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44,913</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42,602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40,015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is a reconciliation of the federal statutory income tax rate of 35% to the effective income tax rate for the years ended December 31, 2016, 2015 and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2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81,513</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49,526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Tax effect of:</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 expense (benefit) at statutory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3,482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4,943</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(5,563)</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(13,677)</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2,490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955</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4,357</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725</w:t>
            </w:r>
          </w:p>
        </w:tc>
      </w:tr>
      <w:tr>
        <w:trPr>
          <w:trHeight w:val="27"/>
        </w:trPr>
        <w:tc>
          <w:tcPr>
            <w:tcW w:w="49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2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58,795</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42,602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40,015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702"/>
        </w:trPr>
        <w:tc>
          <w:tcPr>
            <w:tcW w:w="4960" w:type="dxa"/>
            <w:vAlign w:val="bottom"/>
          </w:tcPr>
          <w:p>
            <w:pPr>
              <w:spacing w:after="0"/>
              <w:rPr>
                <w:sz w:val="24"/>
                <w:szCs w:val="24"/>
                <w:color w:val="auto"/>
              </w:rPr>
            </w:pPr>
          </w:p>
        </w:tc>
        <w:tc>
          <w:tcPr>
            <w:tcW w:w="2160" w:type="dxa"/>
            <w:vAlign w:val="bottom"/>
          </w:tcPr>
          <w:p>
            <w:pPr>
              <w:jc w:val="right"/>
              <w:ind w:right="12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34,858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38,335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15,826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6,723</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20,467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11,502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11,369</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133,838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126,205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(48,566)</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96,583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77,639</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Intangibles related to purchase accounting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(30,722)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(13,563)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(29,604)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(103,101)</w:t>
            </w: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(25,462)</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Subsequently recognized tax benefits relating to the valuation allowance for deferred tax assets as of December 31, 2016 are expected to be allocated to income taxes in the Consolidated Statements of Income with the following exception. A $37 million tax benefit of net operating losses generated from share-based compensation has been excluded from the amounts disclosed for tax loss carryforwards and valuation allowances to the extent the benefit would be recognized in equity if realized.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2016, and 2015, the Company's U.S. federal and foreign tax loss carryforwards were $231.9 million and $229.2 million, respectively, and U.S. state tax loss carryforwards were $88.1 million and $88.7 million, respectively.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as of December 31, 2016.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 Company had U.S. federal and foreign tax net operating loss carryforwards of $231.9 million, which will expire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59,988</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6,471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231,884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70,048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 carryforwards of $88.1 million will expire periodically from 2017 through 2036.</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 provision has been made in the accounts as of December 31, 2016 for U.S. federal and state income taxes which would be payable if the gross undistributed earnings of the foreign subsidiaries were distributed to the Company since management has determined that the earnings are permanently reinvested. Gross undistributed earnings reinvested indefinitely in foreign subsidiaries aggregated $997.7 million as of December 31, 2016. The determination of the amount of unrecognized deferred U.S. income tax liabilities and foreign tax credits, if any, is not practicable to calculate at this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2016 and 2015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3,620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Statute of limitations expiration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17,988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16,370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2016 and 2015, approximately $15.1 million and $11.5 million, respectively, of the unrecognized tax benefits would impact the Company's provision for income taxes and effective income tax rate, if recognized. Total estimated accrued interest and penalties related to the underpayment of income taxes was $2.1 million and $3.1 million as of December 31, 2016 and 2015, respectively. The following income tax years remain open in the Company's major jurisdictions as of December 31,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Periods</w:t>
            </w:r>
          </w:p>
        </w:tc>
      </w:tr>
      <w:tr>
        <w:trPr>
          <w:trHeight w:val="27"/>
        </w:trPr>
        <w:tc>
          <w:tcPr>
            <w:tcW w:w="1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44"/>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2013 through 2016</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Spain</w:t>
            </w:r>
          </w:p>
        </w:tc>
        <w:tc>
          <w:tcPr>
            <w:tcW w:w="7040" w:type="dxa"/>
            <w:vAlign w:val="bottom"/>
          </w:tcPr>
          <w:p>
            <w:pPr>
              <w:ind w:left="320"/>
              <w:spacing w:after="0"/>
              <w:rPr>
                <w:sz w:val="20"/>
                <w:szCs w:val="20"/>
                <w:color w:val="auto"/>
              </w:rPr>
            </w:pPr>
            <w:r>
              <w:rPr>
                <w:rFonts w:ascii="Arial" w:cs="Arial" w:eastAsia="Arial" w:hAnsi="Arial"/>
                <w:sz w:val="18"/>
                <w:szCs w:val="18"/>
                <w:color w:val="auto"/>
              </w:rPr>
              <w:t>2009 through 2016</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2010 through 2016</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U.K.</w:t>
            </w:r>
          </w:p>
        </w:tc>
        <w:tc>
          <w:tcPr>
            <w:tcW w:w="7040" w:type="dxa"/>
            <w:vAlign w:val="bottom"/>
          </w:tcPr>
          <w:p>
            <w:pPr>
              <w:ind w:left="320"/>
              <w:spacing w:after="0"/>
              <w:rPr>
                <w:sz w:val="20"/>
                <w:szCs w:val="20"/>
                <w:color w:val="auto"/>
              </w:rPr>
            </w:pPr>
            <w:r>
              <w:rPr>
                <w:rFonts w:ascii="Arial" w:cs="Arial" w:eastAsia="Arial" w:hAnsi="Arial"/>
                <w:sz w:val="18"/>
                <w:szCs w:val="18"/>
                <w:color w:val="auto"/>
              </w:rPr>
              <w:t>2009 through 2016</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43"/>
        </w:trPr>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2009 through 2016</w:t>
            </w:r>
          </w:p>
        </w:tc>
      </w:tr>
      <w:tr>
        <w:trPr>
          <w:trHeight w:val="27"/>
        </w:trPr>
        <w:tc>
          <w:tcPr>
            <w:tcW w:w="140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2016, 2015 and 2014: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22,079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11,156</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20,546</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are generally exercisable during the shorter of a ten-year term or the term of employment with the Company. With the exception of certain awards made to the Company's employees in Germany and Singapore, awards under the SCP are settled through the issuance of new shares under the provisions of the SCP. For Company employees in Germany and Singapore, certain awards are settled through the issuance of treasury shares, which also reduces the number of shares available for future issuance under the SCP. As of December 31, 2016, the Company has approximately 3.9 million in total shares remaining available for issuance under the SCP.</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Share-based compensation expense was $15.0 million, $12.8 million and $12.9 million for the years ended December 31, 2016, 2015 and 2014, respectively, and was recorded in salaries and benefits expense in the accompanying Consolidated Statements of Income. The Company recorded a tax benefit of $1.0 million, $0.7 million and $0.8 million during the years ended December 31, 2016, 2015 and 2014, respectively, for the portion of this expense that relates to foreign tax jurisdictions in which an income tax benefit is expected to be derived.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 (1,907,094 shares exercisable)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3,226,221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336,472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73.69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(215,378)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(36,339)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3,310,976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121,073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2016</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2,154,790</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108,910</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2016</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3,124,174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119,818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$4.1 million, $7.8 million and $9.1 million in connection with stock options exercised in the years ended December 31, 2016, 2015 and 2014, respectively. The intrinsic value of these options exercised was $12.3 million, $22.8 million and $18.2 million in the years ended December 31, 2016, 2015 and 2014, respectively. As of December 31, 2016, unrecognized compensation expense related to nonvested stock options that are expected to vest totaled $19.4 million and will be recognized over the next 5 years, with an overall weighted-average period of 3.8 years. The following table provides the fair value of options granted under the SCP during 2016, 2015 and 2014, together with a description of the assumptions used to calculate the fair value using the Black-Scholes-Merton option-pricing model: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 to 2.01%</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 to 1.75%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1.67% to 1.88%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6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5.5 years</w:t>
            </w: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5.4 years</w:t>
            </w:r>
          </w:p>
        </w:tc>
        <w:tc>
          <w:tcPr>
            <w:tcW w:w="2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5.5 years</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18.57</w:t>
            </w:r>
          </w:p>
        </w:tc>
      </w:tr>
      <w:tr>
        <w:trPr>
          <w:trHeight w:val="27"/>
        </w:trPr>
        <w:tc>
          <w:tcPr>
            <w:tcW w:w="6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60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572,828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6060" w:type="dxa"/>
            <w:vAlign w:val="bottom"/>
            <w:gridSpan w:val="2"/>
          </w:tcPr>
          <w:p>
            <w:pPr>
              <w:jc w:val="right"/>
              <w:ind w:right="48"/>
              <w:spacing w:after="0"/>
              <w:rPr>
                <w:sz w:val="20"/>
                <w:szCs w:val="20"/>
                <w:color w:val="auto"/>
              </w:rPr>
            </w:pPr>
            <w:r>
              <w:rPr>
                <w:rFonts w:ascii="Arial" w:cs="Arial" w:eastAsia="Arial" w:hAnsi="Arial"/>
                <w:sz w:val="18"/>
                <w:szCs w:val="18"/>
                <w:color w:val="auto"/>
              </w:rPr>
              <w:t>125,259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(190,511)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(12,708)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6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494,868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jc w:val="right"/>
              <w:ind w:right="2890"/>
              <w:spacing w:after="0"/>
              <w:rPr>
                <w:sz w:val="20"/>
                <w:szCs w:val="20"/>
                <w:color w:val="auto"/>
              </w:rPr>
            </w:pPr>
            <w:r>
              <w:rPr>
                <w:rFonts w:ascii="Arial" w:cs="Arial" w:eastAsia="Arial" w:hAnsi="Arial"/>
                <w:sz w:val="18"/>
                <w:szCs w:val="18"/>
                <w:color w:val="auto"/>
              </w:rPr>
              <w:t>100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shares vested in the years ended December 31, 2016, 2015 and 2014 was $13.3 million, $19.9 million and $14.9 million, respectively. As of December 31, 2016, there was $10.3 million of total unrecognized compensation cost related to unvested time-based restricted stock, which is expected to be recognized over a weighted-average period of 3.8 years. As of December 31, 2016, there was $8.6 million of total unrecognized compensation costs related to unvested performance-based restricted stock, which is expected to be recognized based on Company performance over a weighted-average period of 1.8 years. The weighted average grant date fair value of restricted stock granted during the years ended December 31, 2016, 2015 and 2014 was $73.86, $72.52 and $53.12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has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2016, 2015 and 2014, the Company issued 34,658, 54,421 and 50,470 rights, respectively, to purchase shares of Common Stock at a weighted average price per share of $59.69, $52.62 and $38.04, respectively. The grant date fair value of the option to purchase shares at the lower of the closing price at the beginning or end of the quarterly period, plus the actual total discount provided, are recorded as compensation expense. Total compensation expense recorded was $0.5 million, $0.7 million, and $0.5 million for the years ended December 31, 2016, 2015 and 2014, respectively. The following table provides the weighted-average fair value of the ESPP stock purchase rights during the years ended December 31, 2016, 2015 and 2014 and the assumptions used to calculate the fair value using the Black-Scholes-Merton option-pricing model: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43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20.0% to 50.1%</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25.9% to 41.9%</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26.6% to 43.4%</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0.22% to 0.29%</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0.00% to 0.03%</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0.02% to 0.05%</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1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9.16</w:t>
            </w:r>
          </w:p>
        </w:tc>
      </w:tr>
      <w:tr>
        <w:trPr>
          <w:trHeight w:val="729"/>
        </w:trPr>
        <w:tc>
          <w:tcPr>
            <w:tcW w:w="4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80" w:hanging="648"/>
        <w:spacing w:after="0" w:line="25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2016,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693,986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801,919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1,958,615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224,793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1,174,545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51,822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155,471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29,749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288,420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40,084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80,529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625,744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1,708,842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117,156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68,242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101,526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249,773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786,166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733,514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1,136,722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202,145</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1,772,262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542,747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45,364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49,752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137,077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26,969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259,162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1,567,421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94,394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78,658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204,841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469,351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646,000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1,040,737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36,626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157,368</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358,636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783,781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1,664,150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1,033,479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56,402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115,419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243,220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30,847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71,455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267,315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722,711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1,505,419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91,321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61,070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42,741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141,503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390,394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753,962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835,977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58,114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2,038,447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125,307</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2016, 2015 and 2014, and property and equipment and total assets as of December 31, 2016 and 2015,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548,877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529,467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440,166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373,303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350,583</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409,590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377,170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389,060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14,946</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404,733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347,893</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315,347</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115,269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105,129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113,837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60,027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57,287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187,686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106,691</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59,949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74,598</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77,198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77,643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89,430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2,434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82,377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89,538</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62,409</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58,970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110,888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88,683</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Malaysia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129,023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114,547</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56,735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32,967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203,300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163,574</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350,423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275,350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282,196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27,863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637,219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478,851</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1,409,738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1,242,795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1,223,984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176,308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132,675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2,339,569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1,842,131</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1,958,615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1,772,262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1,664,150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202,145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2,712,872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2,192,714</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left="660" w:right="3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75,307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r>
      <w:tr>
        <w:trPr>
          <w:trHeight w:val="399"/>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2015</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r>
      <w:tr>
        <w:trPr>
          <w:trHeight w:val="27"/>
        </w:trPr>
        <w:tc>
          <w:tcPr>
            <w:tcW w:w="35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252525"/>
        </w:rPr>
        <w:t xml:space="preserve">The carrying amounts of cash and cash equivalents, trade accounts receivable, trade accounts payable and short-term debt obligations approximate fair values due to their short maturities. The carrying values of the Company’s term loan due 2019 and revolving credit agreements approximate fair values because interest is based on the London Inter-Bank Offered Rate ("LIBOR") that resets at various intervals of less than one year. The Company estimates the fair value of the convertible notes using quoted prices in inactive markets for identical liabilities (Level 2). As of </w:t>
      </w:r>
      <w:r>
        <w:rPr>
          <w:rFonts w:ascii="Arial" w:cs="Arial" w:eastAsia="Arial" w:hAnsi="Arial"/>
          <w:sz w:val="16"/>
          <w:szCs w:val="16"/>
          <w:color w:val="000000"/>
        </w:rPr>
        <w:t>December 31, 2016 and 2015</w:t>
      </w:r>
      <w:r>
        <w:rPr>
          <w:rFonts w:ascii="Arial" w:cs="Arial" w:eastAsia="Arial" w:hAnsi="Arial"/>
          <w:sz w:val="16"/>
          <w:szCs w:val="16"/>
          <w:color w:val="252525"/>
        </w:rPr>
        <w:t>, the fair values of the convertible notes were $475.1 million and $509.7 million, respectively, with carrying values of $358.3 million and $347.9 million, respectively.</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125" w:right="2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 and Contingencies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2016, the Company had $68.2 million of stand-by letters of credit/bank guarantees issued on its behalf, of which $2.9 million are collateralized by cash deposits held by the respective issuing banks.</w:t>
      </w:r>
    </w:p>
    <w:p>
      <w:pPr>
        <w:spacing w:after="0" w:line="6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Under certain circumstances, the Company grants guarantees in support of obligations of subsidiaries. As of December 31, 2016, the Company granted off balance sheet guarantees for cash in various ATM networks amounting to $17.5 million over the terms of the cash supply agreements and performance guarantees amounting to approximately $4.3 million over the terms of the agreements with the customers. We have other guarantees with maximum future potential payment amounts totaling approximately $395.2 million, which consist primarily of payment guarantees and guarantees for trade credit.</w:t>
      </w:r>
    </w:p>
    <w:p>
      <w:pPr>
        <w:spacing w:after="0" w:line="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Each of the Company's subsidiaries, once they reach a certain size,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the Company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2016, the balance of cash used in the Company's ATM networks for which the Company was responsible was approximately $340.0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2016 or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leases airplanes from companies partially owned by Mr. Michael J. Brown, Euronet's Chief Executive Officer, President and Chairman of the Board of Directors. The airplanes are leased for business use on a per flight hour basis at competitive commercial rates with no minimum usage requirement. Euronet incurred expenses of $0.3 million, $0.3 million and $0.4 million during the years ended December 31, 2016, 2015 and 2014, respectively, for the use of these airplanes.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June 2014, the Company signed an ATM operating agreement with Rontec Ltd., a U.K. company in which Gerald Ronson holds a majority of the shares. Mr. Ronson is the father-in-law of Paul Althasen, one of the Company's directors. This is a commercial agreement under which the Company leases ATM sites from Rontec Ltd. at rates which it considers to be competitive commercial rates. The Company paid $0.1 million under this agreement in each of 2016, 2015 and 2014.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Data (Unaudited)</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2016</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437,894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476,867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524,025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519,829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58,106</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29,084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55,577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60,782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28,655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28,911</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0.54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2015</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395,162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425,148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481,373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470,579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55,224</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26,521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33,522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33,487</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0.61</w:t>
            </w:r>
          </w:p>
        </w:tc>
      </w:tr>
      <w:tr>
        <w:trPr>
          <w:trHeight w:val="756"/>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2016.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2016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 xml:space="preserve">Management of Euronet Worldwide, Inc. assessed the effectiveness of the Company's internal control over financial reporting as of December 31, 2016. In making this assessment, it used the criteria set forth by the Committee of Sponsoring Organizations of the Treadway Commission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(2013). Management has excluded YourCash Europe Limited ("YourCash") from our assessment of internal control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which was acquired in a purchase business combination during 2016. YourCash’s total assets were $87.9 million and total revenues were $9.6 million, which were included in the consolidated financial statements of the Company as of and for the year ended December 31, 2016. Based on these criteria and our assessment, we have determined that, as of December 31, 2016, the Company's internal control over financial reporting was effective.</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2016,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2017 Annual Meeting of Stockholders, which will be filed with the Securities and Exchange Commission no later than 120 days after December 31, 2016,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Investor Relations/Corporate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2017 Annual Meeting of Stockholders, which will be filed with the Securities and Exchange Commission no later than 120 days after December 31, 2016, is incorporated herein by reference.</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2017 Annual Meeting of Stockholders, which will be filed with the Securities and Exchange Commission no later than 120 days after December 31, 2016, is incorporated herein by reference. The information in Part II, Item 5, "Market for Registrant's Common Equity, Related Stockholder Matters and Issuer Purchase of Equity Securities - Equity Compensation Plan Table" is incorporated herein by reference.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2017 Annual Meeting of Stockholders, which will be filed with the Securities and Exchange Commission no later than 120 days after December 31, 2016,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2017 Annual Meeting of Stockholders, which will be filed with the Securities and Exchange Commission no later than 120 days after December 31, 2016,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5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Share Purchase Agreement, dated as of March 7, 2014, among Euronet Worldwide, Inc. and the Sellers referenced therein.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2.1 to the Company's Current Report on Form 8-K filed on March 11, 2014 (File No. 001-31648) and incorporated herein by reference). (4)</w:t>
            </w:r>
          </w:p>
        </w:tc>
      </w:tr>
      <w:tr>
        <w:trPr>
          <w:trHeight w:val="526"/>
        </w:trPr>
        <w:tc>
          <w:tcPr>
            <w:tcW w:w="104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Certificate of Incorporation of Euronet Worldwide, Inc., as amended (filed as Exhibit 3.2 to the Company's Current Report on Form 8-K filed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May 22, 2009 (File No. 001-31648)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Certificate of Amendment to Certificate of Incorporation of Euronet Worldwide, Inc. (filed as Exhibit 3.1 to the Company's Current Report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8-K filed on May 22, 2009 (File No. 001-31648)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Certificate of Designations, Preferences and Rights of Series A Junior Participating Preferred Stock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3.1 to the Company's Current Report on Form 8-K filed on March 29, 2013 (File No. 001-31648), and incorporated herein by reference)</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Amended and Restated Bylaws of Euronet Worldwide, Inc. (filed as Exhibit 3.2 to the Company's Current Report on Form 8-K filed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February 28, 2017 (File No. 001-31648), and incorporated herein by reference)</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Indenture, dated November 5, 2014, between the Company and U.S. Bank National Association, as trustee (filed as Exhibit 4.1 to the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November 5, 2014 (File No. 001-31648), and incorporated herein by reference)</w:t>
            </w:r>
          </w:p>
        </w:tc>
      </w:tr>
      <w:tr>
        <w:trPr>
          <w:trHeight w:val="594"/>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1.50% Convertible Senior Note due 2044 (included as Exhibit A to Exhibit 4.1 above)</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Form of Employee Restricted Stock Grant Agreement pursuant to Euronet Worldwide, Inc. 2006 Stock Incentive Plan (filed as Exhibit 10.8</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to the Company's Quarterly Report on Form 10-Q filed on August 4, 2006 (File No. 001-31648), and incorporated by reference herein) (2)</w:t>
            </w:r>
          </w:p>
        </w:tc>
      </w:tr>
      <w:tr>
        <w:trPr>
          <w:trHeight w:val="810"/>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Arial" w:cs="Arial" w:eastAsia="Arial" w:hAnsi="Arial"/>
                <w:sz w:val="18"/>
                <w:szCs w:val="18"/>
                <w:color w:val="auto"/>
              </w:rPr>
              <w:t>113</w:t>
            </w:r>
          </w:p>
        </w:tc>
      </w:tr>
    </w:tbl>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Plan (filed as Exhibit 10.39 to the Company's Annual Report on Form 10- K filed February 28, 2007 (File No. 001-31648), and incorporated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Employment Agreement dated June 19, 2007 between Euronet Worldwide, Inc. and Kevin J. Caponecchi (filed as Exhibit 10.1 to the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25, 2007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Amended and Restated Employment Agreement dated April 10, 2008 between Euronet Worldwide, Inc. and Michael J. Brown, Chairman</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and Chief Executive Officer (filed as Exhibit 10.3 to the Company's Quarterly Report on Form 10-Q filed on May 9, 2008 (File No. 001-</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Rick L. Weller,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President and Chief Financial Officer (filed as Exhibit 10.4 to the Company's Quarterly Report on Form 10-Q filed on May 9, 2008 (File No.</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Amended and Restated Employment Agreement dated April 10, 2008 between Euronet Worldwide, Inc. and Juan C. Bianchi,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President and Managing Director, Money Transfer Segment (filed as Exhibit 10.6 to the Company's Quarterly Report on Form 10-Q filed on</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May 9, 2008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(filed as Exhibit 10.1 to the Company's Current Report on Form 8-K filed on December 22, 2008 (File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Euronet Worldwide, Inc. 2006 Stock Incentive Plan, as amended and restated (filed as Appendix A to the Company's Definitive Proxy</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filed on April 15, 2013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Unit Agreement, as amended, pursuant to Euronet Worldwide, Inc. 2006 Stock Incentive Plan (filed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Exhibit 10.1 to the Company's Quarterly Report on Form 10-Q filed on May 7, 2010 (File No. 001-31648) and incorporated by reference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Form of Nonqualified Stock Option Agreement, as amended, pursuant to Euronet Worldwide, Inc. 2006 Stock Incentive Plan (filed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Exhibit 10.2 to the Company's Quarterly Report on Form 10-Q filed on May 7, 2010 (File No. 001-31648) and incorporated by reference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Employment Agreement dated February 24, 2011 between Euronet Card Services SA and Nikos Fountas, Senior Vice President - Managing</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Director, Europe EFT Processing Segment (filed as Exhibit 10.25 to the Company's Annual Report on Form 10-K filed on February 25, 2011</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Bonus Compensation Agreement between Euronet Worldwide, Inc. and Nikos Fountas, Senior Vice President - Managing Director, Europe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EFT Processing Segment (filed as Exhibit 10.26 to the Company's Annual Report on Form 10-K filed on February 25, 2011 (File No. 001-</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Euronet Worldwide, Inc. Employee Stock Purchase Plan, as amended (filed as Exhibit 10.18 to the Company's Annual Report on Form 10-K</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filed on February 26, 2016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Euronet Worldwide, Inc. Executive Annual Incentive Plan, as amended and restated (filed as Appendix B to the Company's Definitive Proxy</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on Form DEF 14A filed on April 8, 2016 (File No. 001-31648) and incorporated by reference herein) (2)</w:t>
            </w:r>
          </w:p>
        </w:tc>
      </w:tr>
      <w:tr>
        <w:trPr>
          <w:trHeight w:val="810"/>
        </w:trPr>
        <w:tc>
          <w:tcPr>
            <w:tcW w:w="780" w:type="dxa"/>
            <w:vAlign w:val="bottom"/>
          </w:tcPr>
          <w:p>
            <w:pPr>
              <w:spacing w:after="0"/>
              <w:rPr>
                <w:sz w:val="24"/>
                <w:szCs w:val="24"/>
                <w:color w:val="auto"/>
              </w:rPr>
            </w:pPr>
          </w:p>
        </w:tc>
        <w:tc>
          <w:tcPr>
            <w:tcW w:w="10520" w:type="dxa"/>
            <w:vAlign w:val="bottom"/>
          </w:tcPr>
          <w:p>
            <w:pPr>
              <w:ind w:left="4760"/>
              <w:spacing w:after="0"/>
              <w:rPr>
                <w:sz w:val="20"/>
                <w:szCs w:val="20"/>
                <w:color w:val="auto"/>
              </w:rPr>
            </w:pPr>
            <w:r>
              <w:rPr>
                <w:rFonts w:ascii="Arial" w:cs="Arial" w:eastAsia="Arial" w:hAnsi="Arial"/>
                <w:sz w:val="18"/>
                <w:szCs w:val="18"/>
                <w:color w:val="auto"/>
              </w:rPr>
              <w:t>114</w:t>
            </w:r>
          </w:p>
        </w:tc>
      </w:tr>
    </w:tbl>
    <w:p>
      <w:pPr>
        <w:sectPr>
          <w:pgSz w:w="11900" w:h="16838" w:orient="portrait"/>
          <w:cols w:equalWidth="0" w:num="1">
            <w:col w:w="11340"/>
          </w:cols>
          <w:pgMar w:left="240" w:top="125" w:right="3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Amended and Restated Credit Agreement dated as of August 18, 2011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Affiliates, as Borrowers, certain Subsidiaries and Affiliates as Guarantors, the Lenders Party Hereto, Bank of America, N.A., as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Administrative Agent and Collateral Agent, U.S. Bank National Association, as Syndication Agent and Bank of Montreal, BBVA Compass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Bank, Keybank National Association, as Co-Documentation Agents (filed as Exhibit 10.1 to the Company's Current Report on Form 8-K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23, 2011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Commitment Increase Agreement, dated as of October 11, 2012 by and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Affiliates, as Borrowers under the Master Revolving Commitments, certain Subsidiaries and Affiliates as Guarantors, the Incremental</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Commitment Lenders, and Bank of America, N.A., as Administrative Agent (filed as Exhibit 10.1 to the Company's Current Report on Form</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8-K filed on October 15, 2012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Amendment No. 1 dated April 9, 2014, to the Amended and Restated Credit Agreement dated as of August 18, 2011 among Euronet</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Worldwide, Inc., and certain Subsidiaries and Affiliates, as Borrowers, certain Subsidiaries and Affiliates as Guarantors, the Lenders, Bank</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9"/>
              </w:rPr>
              <w:t>of America, N.A., as Administrative Agent and Collateral Agent, U.S. Bank National Association, BMO Capital Markets and BBVA</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Compass Bank, as Syndication Agent and Wells Fargo as Documentation Agent (filed as Exhibit 10.1 to the Company's Annual Report 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Form 10-Q filed on May 2, 2014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Purchase Agreement, dated October 30, 2014, among the Company and Merrill Lynch, Pierce, Fenner &amp; Smith Incorporated and Wells Fargo</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Securities, LLC, for themselves and on behalf of several initial purchasers named therein (filed as Exhibit 10.1 to the Company's Current</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Report on Form 8-K filed on November 5, 2014 (File No. 001-31648), and incorporated by reference herein)</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360"/>
              <w:spacing w:after="0"/>
              <w:rPr>
                <w:sz w:val="20"/>
                <w:szCs w:val="20"/>
                <w:color w:val="auto"/>
              </w:rPr>
            </w:pPr>
            <w:r>
              <w:rPr>
                <w:rFonts w:ascii="Arial" w:cs="Arial" w:eastAsia="Arial" w:hAnsi="Arial"/>
                <w:sz w:val="18"/>
                <w:szCs w:val="18"/>
                <w:color w:val="auto"/>
              </w:rPr>
              <w:t>Subsidiaries of the Registrant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Executive Officer (3)</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Financial Officer (3)</w:t>
            </w:r>
          </w:p>
        </w:tc>
      </w:tr>
    </w:tbl>
    <w:p>
      <w:pPr>
        <w:spacing w:after="0" w:line="310" w:lineRule="exact"/>
        <w:rPr>
          <w:sz w:val="20"/>
          <w:szCs w:val="20"/>
          <w:color w:val="auto"/>
        </w:rPr>
      </w:pPr>
    </w:p>
    <w:p>
      <w:pPr>
        <w:ind w:left="1180" w:right="120" w:hanging="1145"/>
        <w:spacing w:after="0" w:line="255"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2016, formatted in XBRL (eXtensible Business Reporting Language): (i) Consolidated Balance Sheets at December 31, 2016 and 2015, (ii) Consolidated Statements of Income for the years ended December 31, 2016, 2015 and 2014, (iii) Consolidated Statements of Comprehensive Income for the years ended December 31, 2016, 2015 and 2014, (iv) Consolidated Statements of Changes in Equity for the years ended December 31, 2016, 2015 and 2014, (v) Consolidated Statements of Cash Flows for the years ended December 31, 2016, 2015 and 2014, and (vi) Notes to the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117" w:lineRule="exact"/>
        <w:rPr>
          <w:rFonts w:ascii="Arial" w:cs="Arial" w:eastAsia="Arial" w:hAnsi="Arial"/>
          <w:sz w:val="18"/>
          <w:szCs w:val="18"/>
          <w:color w:val="auto"/>
        </w:rPr>
      </w:pPr>
    </w:p>
    <w:p>
      <w:pPr>
        <w:ind w:left="400" w:right="100" w:hanging="378"/>
        <w:spacing w:after="0" w:line="277" w:lineRule="auto"/>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Portions of this document have been redacted and are subject to an order granting confidential treatment under the Securities Exchange Act of 1934, as amended (File No. 1-31648 - CF#30821). Redacted portions are indicated with the notation [***].</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125"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3721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10"/>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22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4"/>
          </w:tcPr>
          <w:p>
            <w:pPr>
              <w:jc w:val="center"/>
              <w:ind w:right="94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6"/>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1"/>
              </w:rPr>
              <w:t>Chairman of the Board of Directors, Chief Executive Officer, President and</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 (principal executive officer)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1"/>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8"/>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2620" w:type="dxa"/>
            <w:vAlign w:val="bottom"/>
            <w:gridSpan w:val="17"/>
          </w:tcPr>
          <w:p>
            <w:pPr>
              <w:jc w:val="center"/>
              <w:ind w:right="800"/>
              <w:spacing w:after="0"/>
              <w:rPr>
                <w:sz w:val="20"/>
                <w:szCs w:val="20"/>
                <w:color w:val="auto"/>
              </w:rPr>
            </w:pPr>
            <w:r>
              <w:rPr>
                <w:rFonts w:ascii="Arial" w:cs="Arial" w:eastAsia="Arial" w:hAnsi="Arial"/>
                <w:sz w:val="18"/>
                <w:szCs w:val="18"/>
                <w:color w:val="auto"/>
                <w:w w:val="93"/>
              </w:rPr>
              <w:t>/s/ Andrzej Olechowski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12"/>
          </w:tcPr>
          <w:p>
            <w:pPr>
              <w:jc w:val="center"/>
              <w:ind w:right="60"/>
              <w:spacing w:after="0"/>
              <w:rPr>
                <w:sz w:val="20"/>
                <w:szCs w:val="20"/>
                <w:color w:val="auto"/>
              </w:rPr>
            </w:pPr>
            <w:r>
              <w:rPr>
                <w:rFonts w:ascii="Arial" w:cs="Arial" w:eastAsia="Arial" w:hAnsi="Arial"/>
                <w:sz w:val="18"/>
                <w:szCs w:val="18"/>
                <w:b w:val="1"/>
                <w:bCs w:val="1"/>
                <w:color w:val="auto"/>
                <w:w w:val="91"/>
              </w:rPr>
              <w:t>Andrzej Olechowski</w:t>
            </w:r>
          </w:p>
        </w:tc>
        <w:tc>
          <w:tcPr>
            <w:tcW w:w="860" w:type="dxa"/>
            <w:vAlign w:val="bottom"/>
            <w:gridSpan w:val="3"/>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2"/>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7"/>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8"/>
                <w:szCs w:val="18"/>
                <w:color w:val="auto"/>
                <w:w w:val="91"/>
              </w:rPr>
              <w:t>/s/ Thomas A. Schmitt</w:t>
            </w:r>
          </w:p>
        </w:tc>
        <w:tc>
          <w:tcPr>
            <w:tcW w:w="880" w:type="dxa"/>
            <w:vAlign w:val="bottom"/>
            <w:gridSpan w:val="4"/>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7"/>
          </w:tcPr>
          <w:p>
            <w:pPr>
              <w:jc w:val="center"/>
              <w:ind w:right="800"/>
              <w:spacing w:after="0"/>
              <w:rPr>
                <w:sz w:val="20"/>
                <w:szCs w:val="20"/>
                <w:color w:val="auto"/>
              </w:rPr>
            </w:pPr>
            <w:r>
              <w:rPr>
                <w:rFonts w:ascii="Arial" w:cs="Arial" w:eastAsia="Arial" w:hAnsi="Arial"/>
                <w:sz w:val="18"/>
                <w:szCs w:val="18"/>
                <w:b w:val="1"/>
                <w:bCs w:val="1"/>
                <w:color w:val="auto"/>
                <w:w w:val="92"/>
              </w:rPr>
              <w:t>Thomas A. McDonnell</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13"/>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1900" w:type="dxa"/>
            <w:vAlign w:val="bottom"/>
            <w:tcBorders>
              <w:bottom w:val="single" w:sz="8" w:color="auto"/>
            </w:tcBorders>
            <w:gridSpan w:val="17"/>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2660" w:type="dxa"/>
            <w:vAlign w:val="bottom"/>
            <w:gridSpan w:val="18"/>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4"/>
          </w:tcPr>
          <w:p>
            <w:pPr>
              <w:jc w:val="center"/>
              <w:ind w:right="960"/>
              <w:spacing w:after="0"/>
              <w:rPr>
                <w:sz w:val="20"/>
                <w:szCs w:val="20"/>
                <w:color w:val="auto"/>
              </w:rPr>
            </w:pPr>
            <w:r>
              <w:rPr>
                <w:rFonts w:ascii="Arial" w:cs="Arial" w:eastAsia="Arial" w:hAnsi="Arial"/>
                <w:sz w:val="18"/>
                <w:szCs w:val="18"/>
                <w:color w:val="auto"/>
                <w:w w:val="93"/>
              </w:rPr>
              <w:t>/s/ Mark R. Callegari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Mark R. Callegari</w:t>
            </w:r>
          </w:p>
        </w:tc>
        <w:tc>
          <w:tcPr>
            <w:tcW w:w="960" w:type="dxa"/>
            <w:vAlign w:val="bottom"/>
            <w:gridSpan w:val="6"/>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2017</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180"/>
          </w:cols>
          <w:pgMar w:left="240" w:top="125" w:right="47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232,893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141,549</w:t>
            </w:r>
          </w:p>
        </w:tc>
        <w:tc>
          <w:tcPr>
            <w:tcW w:w="0" w:type="dxa"/>
            <w:vAlign w:val="bottom"/>
          </w:tcPr>
          <w:p>
            <w:pPr>
              <w:spacing w:after="0"/>
              <w:rPr>
                <w:sz w:val="1"/>
                <w:szCs w:val="1"/>
                <w:color w:val="auto"/>
              </w:rPr>
            </w:pP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Dividends received</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269,349</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172,371</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160,190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36,456</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ectPr>
          <w:pgSz w:w="11900" w:h="16838" w:orient="portrait"/>
          <w:cols w:equalWidth="0" w:num="1">
            <w:col w:w="10300"/>
          </w:cols>
          <w:pgMar w:left="136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Euronet's wholly owned subsidiaries were:</w:t>
      </w:r>
    </w:p>
    <w:p>
      <w:pPr>
        <w:spacing w:after="0" w:line="252" w:lineRule="exact"/>
        <w:rPr>
          <w:sz w:val="20"/>
          <w:szCs w:val="20"/>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YourCash Belgium N.V., incorporated in Belgium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XE Corporation,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XE Money Transfers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X-Rates.com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XE.com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Prepaid Hellas Ltd.,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Asia Holdings Limited,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YourCash Ireland Limited, incorporated in Ireland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Pure Commerce Korea YH, incorporated in Korea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epay Mexico, S. de R. L. de C.V., incorporated in Mexico</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EFT Services Holding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Hanco Automated Teller Machines Holdings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Hanco Automated Teller Machines Netherlands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Netherlands</w:t>
      </w:r>
    </w:p>
    <w:p>
      <w:pPr>
        <w:sectPr>
          <w:pgSz w:w="11900" w:h="16838" w:orient="portrait"/>
          <w:cols w:equalWidth="0" w:num="1">
            <w:col w:w="11420"/>
          </w:cols>
          <w:pgMar w:left="240" w:top="580" w:right="239" w:bottom="775" w:gutter="0" w:footer="0" w:header="0"/>
        </w:sectPr>
      </w:pPr>
    </w:p>
    <w:bookmarkStart w:id="120" w:name="page121"/>
    <w:bookmarkEnd w:id="120"/>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Netherlands Holding B.V., incorporated in Netherlands</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Online Limited, incorporated in New Zealand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DFX Limited, incorporated in New Zealand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RIA Financial Services New Zealand Limited, incorporated in New Zealand</w:t>
      </w:r>
    </w:p>
    <w:p>
      <w:pPr>
        <w:spacing w:after="0" w:line="61" w:lineRule="exact"/>
        <w:rPr>
          <w:rFonts w:ascii="Arial" w:cs="Arial" w:eastAsia="Arial" w:hAnsi="Arial"/>
          <w:sz w:val="17"/>
          <w:szCs w:val="17"/>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Euronet Elektronik Islem Hizmetleri Limited Sirketi, incorporated in Turkey</w:t>
      </w:r>
    </w:p>
    <w:p>
      <w:pPr>
        <w:spacing w:after="0" w:line="61" w:lineRule="exact"/>
        <w:rPr>
          <w:rFonts w:ascii="Arial" w:cs="Arial" w:eastAsia="Arial" w:hAnsi="Arial"/>
          <w:sz w:val="17"/>
          <w:szCs w:val="17"/>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Turkey Ödeme Kuruluºu Anonim ªirketi, incorporated in Turkey</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ATX Software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HiFX Europe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Omega Logic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Ltd,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YourCash Europe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YourCash Solutions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YourCash Holdings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YourCash ATM Systems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YourCash Limited, incorporated in United Kingdom</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Kansas,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PaySpot, Inc., incorporated in Kansas,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Envia, Inc., incorporated in Kansas, U.S.A.</w:t>
      </w:r>
    </w:p>
    <w:p>
      <w:pPr>
        <w:spacing w:after="0" w:line="49" w:lineRule="exact"/>
        <w:rPr>
          <w:rFonts w:ascii="Arial" w:cs="Arial" w:eastAsia="Arial" w:hAnsi="Arial"/>
          <w:sz w:val="18"/>
          <w:szCs w:val="18"/>
          <w:color w:val="auto"/>
        </w:rPr>
      </w:pPr>
    </w:p>
    <w:p>
      <w:pPr>
        <w:ind w:left="704" w:hanging="704"/>
        <w:spacing w:after="0"/>
        <w:tabs>
          <w:tab w:leader="none" w:pos="7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RIA Telecommunications of New York, Inc., incorporated in New York, U.S.A.</w:t>
      </w:r>
    </w:p>
    <w:p>
      <w:pPr>
        <w:spacing w:after="0" w:line="72" w:lineRule="exact"/>
        <w:rPr>
          <w:rFonts w:ascii="Arial" w:cs="Arial" w:eastAsia="Arial" w:hAnsi="Arial"/>
          <w:sz w:val="16"/>
          <w:szCs w:val="16"/>
          <w:color w:val="auto"/>
        </w:rPr>
      </w:pPr>
    </w:p>
    <w:p>
      <w:pPr>
        <w:ind w:left="704" w:hanging="704"/>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ectPr>
          <w:pgSz w:w="11900" w:h="16838" w:orient="portrait"/>
          <w:cols w:equalWidth="0" w:num="1">
            <w:col w:w="9563"/>
          </w:cols>
          <w:pgMar w:left="896" w:top="611" w:right="1440" w:bottom="1440" w:gutter="0" w:footer="0" w:header="0"/>
        </w:sectPr>
      </w:pPr>
    </w:p>
    <w:bookmarkStart w:id="121" w:name="page122"/>
    <w:bookmarkEnd w:id="121"/>
    <w:p>
      <w:pPr>
        <w:ind w:left="4"/>
        <w:spacing w:after="0"/>
        <w:rPr>
          <w:sz w:val="20"/>
          <w:szCs w:val="20"/>
          <w:color w:val="auto"/>
        </w:rPr>
      </w:pPr>
      <w:r>
        <w:rPr>
          <w:rFonts w:ascii="Arial" w:cs="Arial" w:eastAsia="Arial" w:hAnsi="Arial"/>
          <w:sz w:val="18"/>
          <w:szCs w:val="18"/>
          <w:color w:val="auto"/>
        </w:rPr>
        <w:t>As of December 31, 2016, Euronet also had shareholdings in the following companies that are not wholly owned: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44" w:hanging="644"/>
        <w:spacing w:after="0"/>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644" w:right="180" w:hanging="644"/>
        <w:spacing w:after="0" w:line="250"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75% is owned by Euronet Asia Holdings Limited</w:t>
      </w:r>
    </w:p>
    <w:p>
      <w:pPr>
        <w:ind w:left="644" w:hanging="644"/>
        <w:spacing w:after="0"/>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PT G4S Euronet Nusantara, incorporated in Indonesia, of which 47.02% is owned by EFT Services Holding B.V.</w:t>
      </w:r>
    </w:p>
    <w:p>
      <w:pPr>
        <w:spacing w:after="0" w:line="9" w:lineRule="exact"/>
        <w:rPr>
          <w:rFonts w:ascii="Arial" w:cs="Arial" w:eastAsia="Arial" w:hAnsi="Arial"/>
          <w:sz w:val="18"/>
          <w:szCs w:val="18"/>
          <w:color w:val="auto"/>
        </w:rPr>
      </w:pPr>
    </w:p>
    <w:p>
      <w:pPr>
        <w:ind w:left="644" w:hanging="644"/>
        <w:spacing w:after="0" w:line="257"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Pakistan (Pvt.) Limited, incorporated in Pakistan, incorporated in Pakistan, of which 70% is owned by Euronet Pakistan Holdings, Inc.</w:t>
      </w:r>
    </w:p>
    <w:p>
      <w:pPr>
        <w:spacing w:after="0" w:line="1" w:lineRule="exact"/>
        <w:rPr>
          <w:rFonts w:ascii="Arial" w:cs="Arial" w:eastAsia="Arial" w:hAnsi="Arial"/>
          <w:sz w:val="18"/>
          <w:szCs w:val="18"/>
          <w:color w:val="auto"/>
        </w:rPr>
      </w:pPr>
    </w:p>
    <w:p>
      <w:pPr>
        <w:ind w:left="704" w:hanging="704"/>
        <w:spacing w:after="0"/>
        <w:tabs>
          <w:tab w:leader="none" w:pos="7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80% is owned by Euronet Telerecarga S.L.U.</w:t>
      </w:r>
    </w:p>
    <w:p>
      <w:pPr>
        <w:spacing w:after="0" w:line="23" w:lineRule="exact"/>
        <w:rPr>
          <w:rFonts w:ascii="Arial" w:cs="Arial" w:eastAsia="Arial" w:hAnsi="Arial"/>
          <w:sz w:val="18"/>
          <w:szCs w:val="18"/>
          <w:color w:val="auto"/>
        </w:rPr>
      </w:pPr>
    </w:p>
    <w:p>
      <w:pPr>
        <w:ind w:left="644" w:hanging="644"/>
        <w:spacing w:after="0"/>
        <w:tabs>
          <w:tab w:leader="none" w:pos="6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Universal Solution Providers FZ-LLC, incorporated in United Arab Emirates, of which 51% is owned by EFT Services Holding B.V.</w:t>
      </w:r>
    </w:p>
    <w:p>
      <w:pPr>
        <w:sectPr>
          <w:pgSz w:w="11900" w:h="16838" w:orient="portrait"/>
          <w:cols w:equalWidth="0" w:num="1">
            <w:col w:w="10644"/>
          </w:cols>
          <w:pgMar w:left="896" w:top="584" w:right="3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333-117948 and 333-128228), Form S-4 (No. 333-116938) and Form S-8 (Nos. 333-24539, 333-83555, 333-44890, 333-64634, 333-71766, 333-98013, 333-102875, 333-116920, 333-136485, 333-161245, 333-176238 and 333-190337) of Euronet Worldwide, Inc. and subsidiaries (the Company) of our report dated March 1, 2017, with respect to the consolidated balance sheets of the Company as of December 31, 2016 and 2015, and the related consolidated statements of income, comprehensive income, changes in equity and cash flows for each of the years in the three-year period ended December 31, 2016, and the effectiveness of internal control over financial reporting as of December 31, 2016, which report appears in the December 31, 2016 annual report on Form 10-K of Euronet Worldwide, Inc.</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acquired YourCash Europe Limited (YourCash) during 2016, and management excluded from its assessment of the effectiveness of the Company's internal control over financial reporting as of December 31, 2016, YourCash's internal control over financial reporting associated with total assets of $87.9 million and total revenue of $9.6 million, included in the consolidated financial statements of the Company as of and for the year ended December 31, 2016. Our audit of internal control over financial reporting of the Company also excluded an evaluation of the internal control over financial reporting of YourCash.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1"/>
    </w:lvl>
    <w:lvl w:ilvl="1">
      <w:lvlJc w:val="left"/>
      <w:lvlText w:val="%2."/>
      <w:numFmt w:val="decimal"/>
      <w:start w:val="1"/>
    </w:lvl>
  </w:abstractNum>
  <w:abstractNum w:abstractNumId="23">
    <w:nsid w:val="2CA88611"/>
    <w:multiLevelType w:val="hybridMultilevel"/>
    <w:lvl w:ilvl="0">
      <w:lvlJc w:val="left"/>
      <w:lvlText w:val="%1"/>
      <w:numFmt w:val="decimal"/>
      <w:start w:val="101"/>
    </w:lvl>
  </w:abstractNum>
  <w:abstractNum w:abstractNumId="24">
    <w:nsid w:val="836C40E"/>
    <w:multiLevelType w:val="hybridMultilevel"/>
    <w:lvl w:ilvl="0">
      <w:lvlJc w:val="left"/>
      <w:lvlText w:val="(%1)"/>
      <w:numFmt w:val="decimal"/>
      <w:start w:val="1"/>
    </w:lvl>
    <w:lvl w:ilvl="1">
      <w:lvlJc w:val="left"/>
      <w:lvlText w:val="(%2)"/>
      <w:numFmt w:val="decimal"/>
      <w:start w:val="2"/>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2019-12-29T06:59:45Z</dcterms:created>
  <dcterms:modified xsi:type="dcterms:W3CDTF">2019-12-29T06:59:45Z</dcterms:modified>
</cp:coreProperties>
</file>