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July 29, 2016, Euronet Worldwide, Inc. had 52,095,086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June 30, 2016 and December 31, 2015</w:t>
              </w:r>
            </w:hyperlink>
          </w:p>
        </w:tc>
        <w:tc>
          <w:tcPr>
            <w:tcW w:w="48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3"/>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Income for the Three and Six Months Ended June 30, 2016 and 2015</w:t>
              </w:r>
            </w:hyperlink>
          </w:p>
        </w:tc>
        <w:tc>
          <w:tcPr>
            <w:tcW w:w="332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(Loss) for the Three and Six Months Ended June 30, 2016 and 2015</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Cash Flows for the Six Months Ended June 30, 2016 and 2015</w:t>
              </w:r>
            </w:hyperlink>
          </w:p>
        </w:tc>
        <w:tc>
          <w:tcPr>
            <w:tcW w:w="192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74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2">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457,518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45,312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72,108</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$18,352 at June, 30 2016 and $19,140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2015</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371,348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423,299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184,295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132,773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1,333,802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1,131,010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$256,131 at June, 30 2016 and $242,111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176,297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688,889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685,178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$142,921 at June 30, 2016 and $131,095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$35,632 at June 30, 2016 and $32,434 at December 31, 2015</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51,186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2,420,487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336,395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456,159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382,873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908,121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903,932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1,567,807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1,366,786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$0.02 par value. 90,000,000 shares authorized; 58,180,273 issued at June 30, 2016 and 57,961,043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at 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1,034,965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1,023,254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6,086,853 shares at June 30, 2016 and 4,929,241 shares at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189,198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104,427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(165,528)</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851,392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824,562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852,680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825,928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2,420,487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914,761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820,310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258,079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509,436</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73,838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64,760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141,075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125,088</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72,650</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33,793</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417,557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377,968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740,967</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59,310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47,180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101,199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79,343</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1,103</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(18,056)</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(28,357)</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(17,340)</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33,646</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341</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26,809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84,771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33,987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Earnings per share attributable to Euronet Worldwide, Inc. stockholders: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0.52</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0.66</w:t>
            </w:r>
          </w:p>
        </w:tc>
      </w:tr>
      <w:tr>
        <w:trPr>
          <w:trHeight w:val="251"/>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52,061,158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51,935,757</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52,373,462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51,804,459</w:t>
            </w:r>
          </w:p>
        </w:tc>
      </w:tr>
      <w:tr>
        <w:trPr>
          <w:trHeight w:val="251"/>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53,781,606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53,658,504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54,039,576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53,492,580</w:t>
            </w:r>
          </w:p>
        </w:tc>
      </w:tr>
      <w:tr>
        <w:trPr>
          <w:trHeight w:val="20"/>
        </w:trPr>
        <w:tc>
          <w:tcPr>
            <w:tcW w:w="59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33,646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20,400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(34,940)</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91,334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456</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27,683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47,160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91,412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2015</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33,646</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6,415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Gain on sale of investment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19,359</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22,012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42,704</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(14,726)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(33,814)</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29,909</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(29,264)</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(34,396)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Proceeds from sale of investment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(66,208)</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4,629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1,348,493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119,580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(116,790)</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Borrowings from short-term debt obligations,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1,474</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118,864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(20,853)</w:t>
            </w:r>
          </w:p>
        </w:tc>
      </w:tr>
      <w:tr>
        <w:trPr>
          <w:trHeight w:val="243"/>
        </w:trPr>
        <w:tc>
          <w:tcPr>
            <w:tcW w:w="87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222,549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70,065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468,010</w:t>
            </w:r>
          </w:p>
        </w:tc>
      </w:tr>
      <w:tr>
        <w:trPr>
          <w:trHeight w:val="230"/>
        </w:trPr>
        <w:tc>
          <w:tcPr>
            <w:tcW w:w="8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680,067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538,075</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5,050</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consideration received from sale of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Equity issued in connection with acquisitions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2,962</w:t>
            </w:r>
          </w:p>
        </w:tc>
      </w:tr>
      <w:tr>
        <w:trPr>
          <w:trHeight w:val="243"/>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408"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40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2015, including the notes thereto, set forth in the Company’s 2015 Annual Report on Form 10-K. Certain amounts in prior years have been reclassified to conform to the current year's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2016, the FASB issued Accounting Standards Update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is currently evaluating the impact that the standard will have on its consolidated financial statements and related disclosures.</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addresses how companies account for certain aspects of share-based payments to employees. Entities will be required to recognize the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effects of awards in the statement of income when the awards vest or are settled, and to present excess tax benefits as an operating activity on the statement of cash flows rather than as a financing activity. The ASU also addresses such areas as an accounting policy election for forfeitures and the amount an employer can withhold to cover income taxes and still qualify for equity classification. The amendments in this ASU will be effective for annual periods beginning after December 15, 2016 and interim periods within those annual periods. Early adoption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is permitted. The Company is currently evaluating the impact of the adoption of this standard on its consolidated financial statements and related disclosures.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March 2016, the FASB issued ASU 2016-06, </w:t>
      </w:r>
      <w:r>
        <w:rPr>
          <w:rFonts w:ascii="Arial" w:cs="Arial" w:eastAsia="Arial" w:hAnsi="Arial"/>
          <w:sz w:val="18"/>
          <w:szCs w:val="18"/>
          <w:i w:val="1"/>
          <w:iCs w:val="1"/>
          <w:color w:val="auto"/>
        </w:rPr>
        <w:t>Derivatives and Hedging (Topic 815), Contingent Put and Call Options in Debt Instruments</w:t>
      </w:r>
      <w:r>
        <w:rPr>
          <w:rFonts w:ascii="Arial" w:cs="Arial" w:eastAsia="Arial" w:hAnsi="Arial"/>
          <w:sz w:val="18"/>
          <w:szCs w:val="18"/>
          <w:color w:val="auto"/>
        </w:rPr>
        <w:t xml:space="preserve">. The new standard clarifies that an entity is required to assess whether the economic characteristics and risks of embedded put or call options are clearly and closely related to those of their debt hosts only in accordance with the four-step decision sequence in Accounting Standards Codification ("ASC")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For contingently exercisable put or call options, an entity does not have to assess whether the event that triggers the ability to exercise a put or</w:t>
      </w:r>
      <w:r>
        <w:rPr>
          <w:rFonts w:ascii="Arial" w:cs="Arial" w:eastAsia="Arial" w:hAnsi="Arial"/>
          <w:sz w:val="18"/>
          <w:szCs w:val="18"/>
          <w:i w:val="1"/>
          <w:iCs w:val="1"/>
          <w:color w:val="auto"/>
        </w:rPr>
        <w:t xml:space="preserve"> </w:t>
      </w:r>
      <w:r>
        <w:rPr>
          <w:rFonts w:ascii="Arial" w:cs="Arial" w:eastAsia="Arial" w:hAnsi="Arial"/>
          <w:sz w:val="18"/>
          <w:szCs w:val="18"/>
          <w:color w:val="auto"/>
        </w:rPr>
        <w:t>call option is related to interest rates or credit risk of the entity. The ASU does not change the existing criteria for determining when bifurcation of an embedded put or call option in a debt instrument is required. The amendments of this ASU are effective for annual periods beginning after December 15, 2016, with early adoption permitted. Entities are required to apply the guidance to existing debt instruments using a modified retrospective transition method as of the period of adoption. The Company does not expect the adoption of this ASU to have a significant impact on its consolidated financial statements and related disclosures.</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March 2016, the FASB issued ASU 2016-04, </w:t>
      </w:r>
      <w:r>
        <w:rPr>
          <w:rFonts w:ascii="Arial" w:cs="Arial" w:eastAsia="Arial" w:hAnsi="Arial"/>
          <w:sz w:val="16"/>
          <w:szCs w:val="16"/>
          <w:i w:val="1"/>
          <w:iCs w:val="1"/>
          <w:color w:val="auto"/>
        </w:rPr>
        <w:t>Recognition of Breakage for Certain Prepaid Stored-Value Products</w:t>
      </w:r>
      <w:r>
        <w:rPr>
          <w:rFonts w:ascii="Arial" w:cs="Arial" w:eastAsia="Arial" w:hAnsi="Arial"/>
          <w:sz w:val="16"/>
          <w:szCs w:val="16"/>
          <w:color w:val="auto"/>
        </w:rPr>
        <w:t xml:space="preserve">. The new standard specifies that liabilities within its scope are considered to be financial liabilities, and amends the guidance in ASC 405-20, </w:t>
      </w:r>
      <w:r>
        <w:rPr>
          <w:rFonts w:ascii="Arial" w:cs="Arial" w:eastAsia="Arial" w:hAnsi="Arial"/>
          <w:sz w:val="16"/>
          <w:szCs w:val="16"/>
          <w:i w:val="1"/>
          <w:iCs w:val="1"/>
          <w:color w:val="auto"/>
        </w:rPr>
        <w:t>Extinguishments of Liabilities</w:t>
      </w:r>
      <w:r>
        <w:rPr>
          <w:rFonts w:ascii="Arial" w:cs="Arial" w:eastAsia="Arial" w:hAnsi="Arial"/>
          <w:sz w:val="16"/>
          <w:szCs w:val="16"/>
          <w:color w:val="auto"/>
        </w:rPr>
        <w:t>,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the new revenue standard. The ASU is effective for annual periods beginning after December 15, 2017, and is applied either using a modified retrospective transition method or retrospectively. Early adoption is permitted. The Company is currently evaluating the expected impact of the adoption of this standard on its consolidated financial statements and related disclosures.</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4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which addresses certain aspects of recognition, measurement, presentation, and disclosure of financial instruments. ASU 2016-01 is effective for financial statements issued for annual periods beginning after December 15, 2017, and interim periods within those annual periods. The Company does not expect that the adoption of this standard will have a significant impact on its consolidated financial statements and related disclosures.</w:t>
      </w:r>
    </w:p>
    <w:p>
      <w:pPr>
        <w:spacing w:after="0" w:line="117"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w:t>
      </w:r>
    </w:p>
    <w:p>
      <w:pPr>
        <w:ind w:right="480"/>
        <w:spacing w:after="0" w:line="261" w:lineRule="auto"/>
        <w:rPr>
          <w:sz w:val="20"/>
          <w:szCs w:val="20"/>
          <w:color w:val="auto"/>
        </w:rPr>
      </w:pPr>
      <w:r>
        <w:rPr>
          <w:rFonts w:ascii="Arial" w:cs="Arial" w:eastAsia="Arial" w:hAnsi="Arial"/>
          <w:sz w:val="18"/>
          <w:szCs w:val="18"/>
          <w:color w:val="auto"/>
        </w:rPr>
        <w:t>The new standard will become effective for the Company on January 1, 2018 and the Company has the option to adopt it effective January 1, 2017. The standard permits the use of either the retrospective or cumulative effect transition method.</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2016, the FASB issued ASU 2016-08, </w:t>
      </w:r>
      <w:r>
        <w:rPr>
          <w:rFonts w:ascii="Arial" w:cs="Arial" w:eastAsia="Arial" w:hAnsi="Arial"/>
          <w:sz w:val="18"/>
          <w:szCs w:val="18"/>
          <w:i w:val="1"/>
          <w:iCs w:val="1"/>
          <w:color w:val="auto"/>
        </w:rPr>
        <w:t>Revenue from Contracts with Customers (Topic 606),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versus Net)</w:t>
      </w:r>
      <w:r>
        <w:rPr>
          <w:rFonts w:ascii="Arial" w:cs="Arial" w:eastAsia="Arial" w:hAnsi="Arial"/>
          <w:sz w:val="18"/>
          <w:szCs w:val="18"/>
          <w:color w:val="auto"/>
        </w:rPr>
        <w:t>. In April 2016, the FASB issued ASU 2016-10,</w:t>
      </w:r>
      <w:r>
        <w:rPr>
          <w:rFonts w:ascii="Arial" w:cs="Arial" w:eastAsia="Arial" w:hAnsi="Arial"/>
          <w:sz w:val="18"/>
          <w:szCs w:val="18"/>
          <w:i w:val="1"/>
          <w:iCs w:val="1"/>
          <w:color w:val="auto"/>
        </w:rPr>
        <w:t xml:space="preserve"> Revenue from Contracts with Customers (Topic 606), Identifying Performance Obligations and Licensing</w:t>
      </w:r>
      <w:r>
        <w:rPr>
          <w:rFonts w:ascii="Arial" w:cs="Arial" w:eastAsia="Arial" w:hAnsi="Arial"/>
          <w:sz w:val="18"/>
          <w:szCs w:val="18"/>
          <w:color w:val="auto"/>
        </w:rPr>
        <w:t>. In May 2016, the FASB issued ASU 2016-11,</w:t>
      </w:r>
      <w:r>
        <w:rPr>
          <w:rFonts w:ascii="Arial" w:cs="Arial" w:eastAsia="Arial" w:hAnsi="Arial"/>
          <w:sz w:val="18"/>
          <w:szCs w:val="18"/>
          <w:i w:val="1"/>
          <w:iCs w:val="1"/>
          <w:color w:val="auto"/>
        </w:rPr>
        <w:t xml:space="preserve"> Revenue from Contracts with Customers (Topic 606) and Derivatives and Hedging (Topic 815) - Rescission of SEC Guidance Because of ASU 2014-09 and 2014-16, and ASU 2016-12, Revenue from Contracts with Customers (Topic 606) - Narrow Scope Improvements and Practical Expedient</w:t>
      </w:r>
      <w:r>
        <w:rPr>
          <w:rFonts w:ascii="Arial" w:cs="Arial" w:eastAsia="Arial" w:hAnsi="Arial"/>
          <w:sz w:val="18"/>
          <w:szCs w:val="18"/>
          <w:color w:val="auto"/>
        </w:rPr>
        <w:t>s. These ASUs clarify the implementation guidance on a few narrow areas and adds some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expedients to the guidance Topic 606.</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evaluating the effect the ASUs will have on its consolidated financial statements and related disclosures. The Company has not yet selected a transition method nor has it determined the effect of these standards on its ongoing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6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52,061,158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51,935,757</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52,373,462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51,804,459</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1,720,448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1,722,747</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1,666,114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1,688,121</w:t>
            </w:r>
          </w:p>
        </w:tc>
      </w:tr>
      <w:tr>
        <w:trPr>
          <w:trHeight w:val="257"/>
        </w:trPr>
        <w:tc>
          <w:tcPr>
            <w:tcW w:w="596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53,781,606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3"/>
              </w:rPr>
              <w:t>53,658,504</w:t>
            </w:r>
          </w:p>
        </w:tc>
        <w:tc>
          <w:tcPr>
            <w:tcW w:w="2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54,039,576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53,492,580</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table includes the impact of all stock options and restricted stock that are dilutive to the Company’s weighted average common shares outstanding during the three and six months ended June 30, 2016 and 2015. The calculation of diluted earnings per share excludes stock options or shares of restricted stock that are anti-dilutive to the Company’s weighted average common shares outstanding of approximately 636,000 and 637,000 for the three and six months ended June 30, 2016, respectively, and approximately 620,000 and 888,000 for the three and six months ended June 30, 2015, respectively.</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During 2016 and 2015, the Company had convertible notes outstanding that, if converted, could have had a potentially dilutive effect on its common stock. At issuance, the Company stated its intent to settle any conversion of these notes by paying cash for the principal value and issuing common stock for any conversion value in excess of the principal value. As of June 30, 2016, and currently, the Company maintains the intent and ability to settle any conversion as stated. Accordingly, the convertible notes would only have a dilutive effect if the market price per share of common stock exceeds the conversion price per share of common stock. Therefore, according to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these notes were not dilutive to earnings per share for the three and six months ended June 30, 2016 and 2015. See Note 6, Debt Obligations, for more information about the convertible notes.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Accumulated other comprehensive loss consists entirely of foreign currency translation adjustments. The Company recorded a foreign currency translation loss of $28.0 million and a gain of $6.7 million for the three and six months ended June 30, 2016, respectively, and gain of $20.4 million and a loss of $34.9 million for the three and six months ended June 30, 2015, respectively. There were no reclassifications of foreign currency translation into the consolidated statements of income for the three and six months ended June 30, 2016 and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7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the Company to repurchase up to $100 million in value or 5 million shares of its common stock through December 10, 2017. During the six months ended June 30, 2016, the Company repurchased 1.1 million shares at a weighted average purchase price of $65.74 for a total value of $75.6 million under the 2016 Program.</w:t>
      </w:r>
    </w:p>
    <w:p>
      <w:pPr>
        <w:spacing w:after="0" w:line="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 million shares of its common stock through June 14, 2018. Repurchases under the Repurchase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2016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853,150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(12,781)</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159,610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688,889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848,499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2016, the Company completed its valuation of the acquired assets and liabilities of the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acquisitions of XE Corporation (“XE”) and IME(M) Sdn Bhd (“IME”), which included an adjustment to goodwill and acquired intangible assets.</w:t>
      </w:r>
    </w:p>
    <w:p>
      <w:pPr>
        <w:spacing w:after="0" w:line="10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June 30, 2016, is expected to total $12.4 million for the remainder of 2016, $22.9 million for 2017, $20.6 million for 2018, $19.9 million for 2019, $19.3 million for 2020 and $18.3 million for 2021.</w:t>
      </w:r>
    </w:p>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2015 resulted in no impairment charge.</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2015 annual impairment test could change, which may result in the Company recording material non-cash impairment charges during the year in which these changes take place.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June 30, 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122,443</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125,366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Money transfer settlement obligations</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209,925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159,854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71,762</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489,335</w:t>
            </w:r>
          </w:p>
        </w:tc>
        <w:tc>
          <w:tcPr>
            <w:tcW w:w="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382,873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due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63,750</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67,031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198,957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7,701</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262,707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353,018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347,878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5,731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626,215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428,341</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616,630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417,532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598,886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405,472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2016, the Company had a $675 million senior secured credit facility (the "Credit Facility") consisting of a $600 million revolving credit facility and a $75 million term loan ("Term Loan A"), which had been reduced to $63.8 million through principal amortization payments. The Credit Facility expires April 9, 2019.</w:t>
      </w:r>
    </w:p>
    <w:p>
      <w:pPr>
        <w:spacing w:after="0" w:line="12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1.88% and 1.84%, respectively, as of June 30,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Convertible Senior Notes due 2044 (“Convertible Notes”) had a principal amount outstanding of $402.5 million as of June 30, 2016. Contractual interest expense was $1.5 million and $3.0 million for the three and six months ended June 30, 2016 and 2015, respectively. Accretion expense was $2.5 million and $5.1 million for the three and six months ended June 30, 2016, respectively, and $2.5 million and $4.9 million for the three and six months ended June 30, 2015, respectively. The effective interest rate was 4.7% for the three and six months ended June 30, 2016. As of June 30, 2016, the unamortized discount was $49.5 million, and will be amortized through October 1,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primarily due to either the relatively short duration of the contract term or the effects of fluctuations in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being reflected concurrently in earnings for both the derivative instrument and the transaction and having an offsetting effect.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13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June 30, 2016, the Company had foreign currency forward contracts outstanding in the U.S. with a notional value of $180 million, primarily in Australian dollars, Canadian dollars, British pounds, euros and Mexican pesos.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$18.7 million and $33.9 million for the three and six months ended June 30, 2016, respectively, and $15.9 million and $31.6 million for the three and six months ended June 30, 2015, respectively.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11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June 30, 2016 was approximately $1.4 billion. The majority of customer contracts are written in major currencies such as the U.S. dollar, euro, New Zealand dollar, British pound, and Australian dollar.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0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June 30, 2016</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82,764</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2016 and December 31, 2015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2016</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82,764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82,764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45,613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19,786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three and six months ended June 30,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Amount of Gain (Loss) Recognized in Income on Derivative Contracts (a)</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3"/>
                <w:szCs w:val="13"/>
                <w:color w:val="auto"/>
              </w:rPr>
            </w:pPr>
          </w:p>
        </w:tc>
        <w:tc>
          <w:tcPr>
            <w:tcW w:w="2320" w:type="dxa"/>
            <w:vAlign w:val="bottom"/>
            <w:gridSpan w:val="3"/>
          </w:tcPr>
          <w:p>
            <w:pPr>
              <w:jc w:val="center"/>
              <w:ind w:right="179"/>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 -</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gain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(1,080)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As of June 30, 2016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82,764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82,764</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37,034</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June 30, 2016 and December 31, 2015, the fair values of the Convertible Notes were $503.0 million and $509.7 million, respectively, with carrying values of $353.0 million and $347.9 million,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20" w:hanging="648"/>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which are executed by a third party.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160,614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201,480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476,867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281,759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73,838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19,515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144,543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175,611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417,557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27,888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25,869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59,310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166,824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425,148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11,598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33,301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64,760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147,897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377,968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16,180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17,754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47,180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2016</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330,719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383,053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914,761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553,385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24,647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76,217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15,511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141,075</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38,803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298,833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335,658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18,533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813,562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41,158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31,886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47,395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101,199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342,749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820,310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509,436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22,604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125,088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5,805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310,996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740,967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33,408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31,753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31,558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79,343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Property and Equipment, net as of</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June 30, 2016</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703,019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469,351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23,708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572,561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646,000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1,123,592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1,040,737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21,315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36,626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176,297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2,420,487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Company's effective income tax rates were 21.5% and 22.3% for the three and six months ended </w:t>
      </w:r>
      <w:r>
        <w:rPr>
          <w:rFonts w:ascii="Arial" w:cs="Arial" w:eastAsia="Arial" w:hAnsi="Arial"/>
          <w:sz w:val="18"/>
          <w:szCs w:val="18"/>
          <w:color w:val="252525"/>
        </w:rPr>
        <w:t>June 30, 2016</w:t>
      </w:r>
      <w:r>
        <w:rPr>
          <w:rFonts w:ascii="Arial" w:cs="Arial" w:eastAsia="Arial" w:hAnsi="Arial"/>
          <w:sz w:val="18"/>
          <w:szCs w:val="18"/>
          <w:color w:val="auto"/>
        </w:rPr>
        <w:t>, respectively, compared to 28.1% and 34.0% for the three and six months ended June 30, 2015, respectively. The effective income tax rate for the six months ended June 30, 2015 was significantly influenced by foreign currency exchange losses, most of which are not currently deductible for income tax purposes, resulting in a higher effective income tax rate when compared to the same period of 2016.</w:t>
      </w:r>
    </w:p>
    <w:p>
      <w:pPr>
        <w:spacing w:after="0" w:line="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Company's effective income tax rates for the three and six months ended June 30, 2016 and 2015, as adjusted for foreign currency exchange gains and losses,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2016, the Company had $69.6 million of stand-by letters of credit/bank guarantees issued on its behalf, of which $45.3 million are outstanding under the revolving credit facility. The remaining stand-by letters of credit/bank guarantees are collateralized by $3.3 million of cash deposits held by the respective issuing banks.</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2016, the Company had granted off balance sheet guarantees for cash in various ATM networks amounting to $15.6 million over the terms of the cash supply agreements and performance guarantees amounting to approximately $24.1 million over the terms of agreements with the customers.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80" w:right="100" w:hanging="329"/>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June 30, 2016, the balance of cash used in the Company's ATM networks for which the Company was responsible was approximately $458 million. The Company maintains insurance policies to mitigate this exposure;</w:t>
      </w:r>
    </w:p>
    <w:p>
      <w:pPr>
        <w:spacing w:after="0" w:line="78" w:lineRule="exact"/>
        <w:rPr>
          <w:rFonts w:ascii="Arial" w:cs="Arial" w:eastAsia="Arial" w:hAnsi="Arial"/>
          <w:sz w:val="18"/>
          <w:szCs w:val="18"/>
          <w:color w:val="auto"/>
        </w:rPr>
      </w:pPr>
    </w:p>
    <w:p>
      <w:pPr>
        <w:ind w:left="580" w:right="12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580" w:right="18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2016 or December 31,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markets for our products and services; our ability to successfully introduce new products and services; foreign currency exchange rate fluctuations; the effects of any breach of our computer systems, including our financial processing networks;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2015. Our Annual Report on Form 10-K is available on the SEC's EDGAR website at www.sec.gov, and a copy may also be obtained by contacting the Company. All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80" w:hanging="648"/>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25,912 ATMs and approximately 143,000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10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657,000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20" w:hanging="648"/>
        <w:spacing w:after="0" w:line="26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(www.riamoneytransfer.com and www.imeremit.com), disbursing money transfers through a worldwide correspondent network that includes approximately 316,000 locations. XE is a provider of foreign currency exchange information and offers money transfer services on its currency data websites (www.xe.com and www.x-rates.com), which are executed by a third party.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75" w:lineRule="exact"/>
        <w:rPr>
          <w:sz w:val="20"/>
          <w:szCs w:val="20"/>
          <w:color w:val="auto"/>
        </w:rPr>
      </w:pPr>
    </w:p>
    <w:p>
      <w:pPr>
        <w:ind w:left="60" w:right="4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32 principal offices in Europe, 12 in Asia Pacific, eight in North America, three in the Middle East, two in South America and one in Africa. Our executive offices are located in Leawood, Kansas, USA. With approximately 71%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24% and 22% of total consolidated revenues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and first half of 2016,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34% and 36% of total consolidated revenues for the second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first half of 2016, respectively, are primarily derived from commissions or processing fees received from mobile phone operators for the processing and distribution of prepaid mobile airtime and commissions earned from the distribution of other electronic payment products, vouchers, and physical gifts. The proportion of our revenues earned from the distribution of prepaid mobile phone time as compared with other electronic products has decreased over time, and non-mobile content now produces approximately 45% of our revenues.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 Agreements with mobile operators and prepaid content providers are important to the success of our business and these agreements permit us to distribute prepaid mobile airtime and other electronic payment products to retailers.</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42% of total consolidated revenues for both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and first half of 2016,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our websites www.riamoneytransfer.com, www.hifx.co.uk, www.hifx.com.au, www.imeremit.com, www.xe.com and www.x-rates.com,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has an initial term of three years from the launch date of April 2014, which will automatically renew for an additional two year term and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0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5"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all mobile operators' products) remain present.</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and six months ended June 30, 2016 and 2015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11"/>
          </w:tcPr>
          <w:p>
            <w:pPr>
              <w:ind w:left="120"/>
              <w:spacing w:after="0"/>
              <w:rPr>
                <w:sz w:val="20"/>
                <w:szCs w:val="20"/>
                <w:color w:val="auto"/>
              </w:rPr>
            </w:pPr>
            <w:r>
              <w:rPr>
                <w:rFonts w:ascii="Arial" w:cs="Arial" w:eastAsia="Arial" w:hAnsi="Arial"/>
                <w:sz w:val="14"/>
                <w:szCs w:val="14"/>
                <w:b w:val="1"/>
                <w:bCs w:val="1"/>
                <w:color w:val="auto"/>
              </w:rPr>
              <w:t>Revenues for the Three Months</w:t>
            </w:r>
          </w:p>
        </w:tc>
        <w:tc>
          <w:tcPr>
            <w:tcW w:w="120" w:type="dxa"/>
            <w:vAlign w:val="bottom"/>
          </w:tcPr>
          <w:p>
            <w:pPr>
              <w:spacing w:after="0"/>
              <w:rPr>
                <w:sz w:val="14"/>
                <w:szCs w:val="14"/>
                <w:color w:val="auto"/>
              </w:rPr>
            </w:pPr>
          </w:p>
        </w:tc>
        <w:tc>
          <w:tcPr>
            <w:tcW w:w="192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Year-over-Year Change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gridSpan w:val="10"/>
          </w:tcPr>
          <w:p>
            <w:pPr>
              <w:jc w:val="center"/>
              <w:ind w:right="60"/>
              <w:spacing w:after="0"/>
              <w:rPr>
                <w:sz w:val="20"/>
                <w:szCs w:val="20"/>
                <w:color w:val="auto"/>
              </w:rPr>
            </w:pPr>
            <w:r>
              <w:rPr>
                <w:rFonts w:ascii="Arial" w:cs="Arial" w:eastAsia="Arial" w:hAnsi="Arial"/>
                <w:sz w:val="14"/>
                <w:szCs w:val="14"/>
                <w:b w:val="1"/>
                <w:bCs w:val="1"/>
                <w:color w:val="auto"/>
                <w:w w:val="92"/>
              </w:rPr>
              <w:t>Revenues for the Six Months Ended June</w:t>
            </w:r>
          </w:p>
        </w:tc>
        <w:tc>
          <w:tcPr>
            <w:tcW w:w="140" w:type="dxa"/>
            <w:vAlign w:val="bottom"/>
          </w:tcPr>
          <w:p>
            <w:pPr>
              <w:spacing w:after="0"/>
              <w:rPr>
                <w:sz w:val="14"/>
                <w:szCs w:val="14"/>
                <w:color w:val="auto"/>
              </w:rPr>
            </w:pPr>
          </w:p>
        </w:tc>
        <w:tc>
          <w:tcPr>
            <w:tcW w:w="1920" w:type="dxa"/>
            <w:vAlign w:val="bottom"/>
            <w:gridSpan w:val="4"/>
            <w:vMerge w:val="restart"/>
          </w:tcPr>
          <w:p>
            <w:pPr>
              <w:jc w:val="right"/>
              <w:ind w:right="22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Ended June 30,</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40" w:type="dxa"/>
            <w:vAlign w:val="bottom"/>
          </w:tcPr>
          <w:p>
            <w:pPr>
              <w:jc w:val="center"/>
              <w:ind w:right="25"/>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115,127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93,075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22,052</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24 %</w:t>
            </w:r>
          </w:p>
        </w:tc>
        <w:tc>
          <w:tcPr>
            <w:tcW w:w="4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201,696</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167,755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33,941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ind w:right="30"/>
              <w:spacing w:after="0"/>
              <w:rPr>
                <w:sz w:val="20"/>
                <w:szCs w:val="20"/>
                <w:color w:val="auto"/>
              </w:rPr>
            </w:pPr>
            <w:r>
              <w:rPr>
                <w:rFonts w:ascii="Arial" w:cs="Arial" w:eastAsia="Arial" w:hAnsi="Arial"/>
                <w:sz w:val="18"/>
                <w:szCs w:val="18"/>
                <w:color w:val="auto"/>
              </w:rPr>
              <w:t>160,614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36"/>
              <w:spacing w:after="0"/>
              <w:rPr>
                <w:sz w:val="20"/>
                <w:szCs w:val="20"/>
                <w:color w:val="auto"/>
              </w:rPr>
            </w:pPr>
            <w:r>
              <w:rPr>
                <w:rFonts w:ascii="Arial" w:cs="Arial" w:eastAsia="Arial" w:hAnsi="Arial"/>
                <w:sz w:val="18"/>
                <w:szCs w:val="18"/>
                <w:color w:val="auto"/>
              </w:rPr>
              <w:t>166,824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(6,210)</w:t>
            </w:r>
          </w:p>
        </w:tc>
        <w:tc>
          <w:tcPr>
            <w:tcW w:w="20" w:type="dxa"/>
            <w:vAlign w:val="bottom"/>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330,719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342,749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(12,030)</w:t>
            </w: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201,480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165,651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35,829</w:t>
            </w: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383,053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310,457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72,596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477,221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425,550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51,671</w:t>
            </w:r>
          </w:p>
        </w:tc>
        <w:tc>
          <w:tcPr>
            <w:tcW w:w="20" w:type="dxa"/>
            <w:vAlign w:val="bottom"/>
            <w:tcBorders>
              <w:top w:val="single" w:sz="8" w:color="auto"/>
            </w:tcBorders>
          </w:tcPr>
          <w:p>
            <w:pPr>
              <w:spacing w:after="0"/>
              <w:rPr>
                <w:sz w:val="20"/>
                <w:szCs w:val="20"/>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915,468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820,961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94,507</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8"/>
              </w:rPr>
              <w:t>eliminations and other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57"/>
        </w:trPr>
        <w:tc>
          <w:tcPr>
            <w:tcW w:w="19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476,867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425,148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51,719</w:t>
            </w:r>
          </w:p>
        </w:tc>
        <w:tc>
          <w:tcPr>
            <w:tcW w:w="20" w:type="dxa"/>
            <w:vAlign w:val="bottom"/>
            <w:tcBorders>
              <w:top w:val="single" w:sz="8" w:color="auto"/>
              <w:bottom w:val="single" w:sz="8" w:color="auto"/>
            </w:tcBorders>
          </w:tcPr>
          <w:p>
            <w:pPr>
              <w:spacing w:after="0"/>
              <w:rPr>
                <w:sz w:val="22"/>
                <w:szCs w:val="22"/>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12 %</w:t>
            </w:r>
          </w:p>
        </w:tc>
        <w:tc>
          <w:tcPr>
            <w:tcW w:w="2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914,761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820,310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94,451</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gridSpan w:val="11"/>
          </w:tcPr>
          <w:p>
            <w:pPr>
              <w:ind w:left="40"/>
              <w:spacing w:after="0"/>
              <w:rPr>
                <w:sz w:val="20"/>
                <w:szCs w:val="20"/>
                <w:color w:val="auto"/>
              </w:rPr>
            </w:pPr>
            <w:r>
              <w:rPr>
                <w:rFonts w:ascii="Arial" w:cs="Arial" w:eastAsia="Arial" w:hAnsi="Arial"/>
                <w:sz w:val="14"/>
                <w:szCs w:val="14"/>
                <w:b w:val="1"/>
                <w:bCs w:val="1"/>
                <w:color w:val="auto"/>
                <w:w w:val="97"/>
              </w:rPr>
              <w:t>Operating Income (Expense) for</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80" w:type="dxa"/>
            <w:vAlign w:val="bottom"/>
            <w:gridSpan w:val="8"/>
            <w:vMerge w:val="restart"/>
          </w:tcPr>
          <w:p>
            <w:pPr>
              <w:jc w:val="right"/>
              <w:ind w:right="200"/>
              <w:spacing w:after="0"/>
              <w:rPr>
                <w:sz w:val="20"/>
                <w:szCs w:val="20"/>
                <w:color w:val="auto"/>
              </w:rPr>
            </w:pPr>
            <w:r>
              <w:rPr>
                <w:rFonts w:ascii="Arial" w:cs="Arial" w:eastAsia="Arial" w:hAnsi="Arial"/>
                <w:sz w:val="14"/>
                <w:szCs w:val="14"/>
                <w:b w:val="1"/>
                <w:bCs w:val="1"/>
                <w:color w:val="auto"/>
                <w:w w:val="95"/>
              </w:rPr>
              <w:t>Operating Income (Expense) for the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11"/>
          </w:tcPr>
          <w:p>
            <w:pPr>
              <w:ind w:left="100"/>
              <w:spacing w:after="0" w:line="149" w:lineRule="exact"/>
              <w:rPr>
                <w:sz w:val="20"/>
                <w:szCs w:val="20"/>
                <w:color w:val="auto"/>
              </w:rPr>
            </w:pPr>
            <w:r>
              <w:rPr>
                <w:rFonts w:ascii="Arial" w:cs="Arial" w:eastAsia="Arial" w:hAnsi="Arial"/>
                <w:sz w:val="14"/>
                <w:szCs w:val="14"/>
                <w:b w:val="1"/>
                <w:bCs w:val="1"/>
                <w:color w:val="auto"/>
              </w:rPr>
              <w:t>the Three Months Ended June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restart"/>
          </w:tcPr>
          <w:p>
            <w:pPr>
              <w:jc w:val="right"/>
              <w:ind w:right="348"/>
              <w:spacing w:after="0"/>
              <w:rPr>
                <w:sz w:val="20"/>
                <w:szCs w:val="20"/>
                <w:color w:val="auto"/>
              </w:rPr>
            </w:pPr>
            <w:r>
              <w:rPr>
                <w:rFonts w:ascii="Arial" w:cs="Arial" w:eastAsia="Arial" w:hAnsi="Arial"/>
                <w:sz w:val="14"/>
                <w:szCs w:val="14"/>
                <w:b w:val="1"/>
                <w:bCs w:val="1"/>
                <w:color w:val="auto"/>
                <w:w w:val="91"/>
              </w:rPr>
              <w:t>Year-over-Year Change</w:t>
            </w:r>
          </w:p>
        </w:tc>
        <w:tc>
          <w:tcPr>
            <w:tcW w:w="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8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vMerge w:val="restart"/>
          </w:tcPr>
          <w:p>
            <w:pPr>
              <w:jc w:val="right"/>
              <w:ind w:right="325"/>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2"/>
              </w:rPr>
              <w:t>30,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93"/>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94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(dollar amounts in thousands)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(Decrease)Amount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27,888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22,038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5,850</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16,071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16,180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31,886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31,753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25,869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17,754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8,115</w:t>
            </w:r>
          </w:p>
        </w:tc>
        <w:tc>
          <w:tcPr>
            <w:tcW w:w="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69,828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55,972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13,856</w:t>
            </w:r>
          </w:p>
        </w:tc>
        <w:tc>
          <w:tcPr>
            <w:tcW w:w="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120,439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96,719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23,720</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8"/>
              </w:rPr>
              <w:t>eliminations and other</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(8,792)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(1,864)</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19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59,310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47,180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12,130</w:t>
            </w:r>
          </w:p>
        </w:tc>
        <w:tc>
          <w:tcPr>
            <w:tcW w:w="2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0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101,199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79,343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21,856</w:t>
            </w: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vMerge w:val="restart"/>
          </w:tcPr>
          <w:p>
            <w:pPr>
              <w:jc w:val="right"/>
              <w:ind w:right="528"/>
              <w:spacing w:after="0"/>
              <w:rPr>
                <w:sz w:val="20"/>
                <w:szCs w:val="20"/>
                <w:color w:val="auto"/>
              </w:rPr>
            </w:pPr>
            <w:r>
              <w:rPr>
                <w:rFonts w:ascii="Arial" w:cs="Arial" w:eastAsia="Arial" w:hAnsi="Arial"/>
                <w:sz w:val="18"/>
                <w:szCs w:val="18"/>
                <w:color w:val="auto"/>
              </w:rPr>
              <w:t>24</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On average, the U.S. dollar was stronger relative to most foreign currencies in the markets where we conduct our business as compared to the same periods of the prior year. Considering the results by country and the associated functional currency, we estimate that our reported consolidated operating income was 1% more for the second quarter and 1% less for the first half of 2016, due to the changes in foreign currency exchange rates when compared to the same periods of 2015.</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Average Translation Rate</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34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gridSpan w:val="5"/>
          </w:tcPr>
          <w:p>
            <w:pPr>
              <w:jc w:val="center"/>
              <w:ind w:right="420"/>
              <w:spacing w:after="0" w:line="145" w:lineRule="exact"/>
              <w:rPr>
                <w:sz w:val="20"/>
                <w:szCs w:val="20"/>
                <w:color w:val="auto"/>
              </w:rPr>
            </w:pPr>
            <w:r>
              <w:rPr>
                <w:rFonts w:ascii="Arial" w:cs="Arial" w:eastAsia="Arial" w:hAnsi="Arial"/>
                <w:sz w:val="14"/>
                <w:szCs w:val="14"/>
                <w:b w:val="1"/>
                <w:bCs w:val="1"/>
                <w:color w:val="auto"/>
                <w:w w:val="93"/>
              </w:rPr>
              <w:t>Three Months Ended June 30,</w:t>
            </w:r>
          </w:p>
        </w:tc>
        <w:tc>
          <w:tcPr>
            <w:tcW w:w="1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600" w:type="dxa"/>
            <w:vAlign w:val="bottom"/>
            <w:gridSpan w:val="4"/>
          </w:tcPr>
          <w:p>
            <w:pPr>
              <w:jc w:val="right"/>
              <w:ind w:right="532"/>
              <w:spacing w:after="0" w:line="145" w:lineRule="exact"/>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restart"/>
          </w:tcPr>
          <w:p>
            <w:pPr>
              <w:jc w:val="right"/>
              <w:ind w:right="139"/>
              <w:spacing w:after="0" w:line="13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65"/>
        </w:trPr>
        <w:tc>
          <w:tcPr>
            <w:tcW w:w="2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0.7455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0.7771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0.7338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0.7817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1.4341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1.5327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1.4334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1.5238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0.0036</w:t>
            </w:r>
          </w:p>
        </w:tc>
        <w:tc>
          <w:tcPr>
            <w:tcW w:w="100" w:type="dxa"/>
            <w:vAlign w:val="bottom"/>
          </w:tcPr>
          <w:p>
            <w:pPr>
              <w:spacing w:after="0"/>
              <w:rPr>
                <w:sz w:val="21"/>
                <w:szCs w:val="21"/>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0.0036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0.0159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New Zealand dollar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0.6904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0.7317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0.6773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0.7416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0.2708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0.2558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0.2699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67"/>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2016 and 2015 for our EFT Processing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115,127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167,755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33,941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18,915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24,647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9,412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3,101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87,239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16,202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134,347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27,888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22,038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5,850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41,158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33,408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7,750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ATMs as of June 30,</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21,980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3,932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25,912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3,932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25,581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EFT Processing Segment total revenues for the three and six months ended June 30, 2016 were $115.1 million and $201.7 million, respectively, an increase of $22.1 million or 24% and $33.9 million or 20% as compared to the same periods in 2015. The increases in total revenues for the three and six months ended June 30, 2016 were primarily due to an increase in the number of ATMs under management, primarily in Europe and India, partially offset by the impact of the U.S. dollar strengthening against key foreign currencies. Foreign currency movements reduced total revenues by approximately $0.7 million and $4.4 million for the three and six months ended June 30, 2016, respectively, compared to the same periods in 2015. Specifically, the increase in the number of ATMs contributed to increases in the number of transactions processed, including dynamic currency conversion ("DCC") transactions, primarily in Europe.</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EFT Processing business has also been affected by the ongoing economic crisis in Greece and the related capital controls implemented by the Greek government. In mid-2015, the Greek government implemented restrictions on the transfer of funds and cash withdrawals, which shifted the consumer behavior towards POS card payments. As result, there was an increase in transactions processed on our network of POS devices in Greece, which contributed to an increase in POS revenues. For the three and six months ended June 30, 2016, revenues were also higher than the same periods in the prior year as a result of a higher volume of sales of POS devices in Greece.</w:t>
      </w:r>
    </w:p>
    <w:p>
      <w:pPr>
        <w:spacing w:after="0" w:line="8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Average monthly revenues per ATM were $1,500 for the second quarter and $1,343 for the first half of 2016 compared to $1,433 for the second quarter and $1,323 for the first half of 2015. The increases were primarily due to an increase in ATMs under management in Europe and DCC transactions processed, partly offset by the strengthening of the U.S. dollar against key foreign currencies. Revenues per transaction were $0.25 for the second quarter and $0.23 for the first half of 2016 and 2015, respectively, which is primarily the result of revenue growth from DCC transactions, which earns higher revenues per transaction than other ATM or card based services offset by ATM and transaction growth in India where we earn lower revenues per transaction along with the impact of the U.S. dollar strengthening against key foreign currencies.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EFT Processing Segment direct operating costs were $56.4 million and $103.1 million for the three and six months ended June 30, 2016, respectively, an increase of $11.3 million or 25% and $18.9 million or 22% as compared to the same periods in 2015.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and six months of 2016 were primarily due to an increase in the number of ATMs under management, partly offset by the impact of the U.S. dollar strengthening against key foreign currencies.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Gross profit, which is calculated as revenues less direct operating costs, was $58.8 million and $98.6 million for the three and six months ended June 30, 2016, respectively, compared to $48.0 million and $83.6 million for the three and six months ended June 30, 2015, respectively. The increases in gross profits were primarily due to the growth in revenues from the increases in ATMs under management and DCC transactions processed. Gross profit as a percentage of revenues (“gross margin”) were 51.0% and 48.9% for the three and six months ended June 30, 2016, respectively, compared to 51.6% and 49.8% for the three and six months ended June 30, 2015, respectively. The decreases in gross profits as a percentage of revenue were primarily due to the increase in operating costs exceeding the growth in total revenues due to the expansion of our ATM network, which includes fixed costs for our independent ATMs and increased site rental cost as we negotiate new locations and contracts, along with growth in the India market where we earn lower revenue per transaction.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Salaries and benefits increased $1.6 million or 14%, and $2.0 million or 9% for the three and six months ended June 30, 2016, respectively, compared to the same periods in 2015. These increases in salaries and benefits were primarily attributable to additional headcount to support an increase in the number of ATMs and POS devices under management. As a percentage of revenues, these costs decreased to 11.5% for the second quarter and 12.2% for the first half of 2016 from 12.5% for second quarter and 13.5% for the first half of 2015. The decreases were primarily due to the growth in revenues earned from DCC and other value added service transactions on our ATMs under management, which require minimal incremental support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Selling, general and administrative expenses for the three and six months ended June 30, 2016 were $8.2 million and $14.5 million, respectively, an increase of $1.6 million or 24% and $2.1 million or 17% as compared to the same periods in 2015. The increases were primarily due to the additional support costs as a result of the increase in the number of ATMs under management, partly offset by the impact of the U.S. dollar strengthening against key foreign currencies. As a percentage of revenues, selling, general and administrative expenses were 7% for both of the three and six months ended June 30, 2016 and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Depreciation and amortization expense increased $1.7 million and $3.1 million for the three and six months ended June 30, 2016, respectively, compared to the same periods in 2015. The increases were primarily attributable to the deployment of additional ATMs under management, including more expensive cash recycling ATMs, and software assets. As a percentage of revenues, depreciation and amortization expense were essentially flat at 8.2% for the second quarter and 9.1% for the first half of 2016 as compared to 8.3% and 9.0% for the same periods of 2015.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EFT Processing Segment operating income for the three and six months ended June 30, 2016 was $27.9 million and $41.2 million, respectively, an increase of $5.9 million or 27% and $7.8 million or 23% as compared to the same periods of 2015. EFT Processing Segment operating income for the three and six months ended June 30, 2016 increased primarily from higher operating revenues due to the additional number of ATMs under management and growth in revenues earned from DCC and other value added service transactions.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as a percentage of revenues (“operating margin”) was 24.2% for the second quarter and 20.4% for the first half of 2016 compared to 23.7% for the second quarter and 19.9% for the first half of 2015. Operating margins increased for the three and six months ended June 30, 2016 when compared to the same periods in 2015 which is primarily attributable to higher operating revenues being partially offset by variable expenses incurred to support the increased revenues and additional ATMs under management. Operating income per transaction was $0.06 for both the second quarter of 2016 and 2015 and $0.05 for both the first half of 2016 and 2015.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2016 and 2015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160,614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166,824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330,719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342,749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121,049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126,519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263,736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24,700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24,427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144,543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150,644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298,833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310,996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31,886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31,753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epay Segment total revenues for the three and six months ended June 30, 2016 were $160.6 million and $330.7 million, respectively, a decrease of $6.2 million or 4% and $12.0 million or 4% as compared to the same periods in 2015. The decrease in total revenues for the three and six months ended June 30, 2016 were primarily due to the impact of the U.S. dollar strengthening against key foreign currencies and a decrease in prepaid mobile transactions processed in the U.S. and U.K due to competitive pressures on prepaid mobile carriers. Foreign currency movements reduced total revenues by approximately $1.6 million and $9.4 million for the three and six months ended June 30, 2016, respectively, compared to the same periods in 2015. The decreases were partially offset by the transaction growth of non-mobile products processed in Germany. For the three and six months ended June 30, 2016, decreased revenues were also partially offset by an unexpected high volume of non-mobile transactions in an emerging market which is uncertain to recur.</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per transaction were $0.51 for the second quarter and $0.52 for the first half of 2016 compared to $0.49 for the second quarter and $0.52 for the first half of 2015. The increase in revenues per transaction for the second quarter was driven by the increase in the number of non-mobile transactions processed, for which we generally earn higher revenues per transaction than mobile transactions partially offset by the impact of the U.S. dollar strengthening against key foreign currencies.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epay Segment direct operating costs were $121.0 million and $251.2 million for the three and six months ended June 30, 2016, respectively, a decrease of $5.5 million or 4% and $12.5 million or 5% as compared to the same periods in 2015. 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decreases in direct operating costs for the three and six months ended June 30, 2016 were primarily due to the net impact of the U.S. dollar strengthening against key foreign currencies and the decrease in prepaid mobile transactions processed in the U.S. and U.K.. The decreases were partly offset by additional cost to support the transaction growth of our non-mobile products in Germany and certain emerging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three and six months ended June 30, 2016, gross profits were essentially flat compared to the same periods in the prior year. Gross profits were $39.6 million and $79.5 million for the three and six months ended June 30, 2016, respectively, as compared to $40.3 million and $79.0 million for the three and six months ended June 30, 2015, respectively.</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Gross margins were 25% and 24% for the three and six months ended June 30, 2016, respectively, compared to 24% and 23% for the same periods in 2015. The increases were primarily due to the increase in non-mobile transactions processed, for which we generally earn higher revenues per transaction than mobile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Salaries and benefits expense were essentially flat for the three and six months ended June 30, 2016 compared to the same periods in 2015. This was primarily due to the U.S. dollar strengthening against key foreign currencies, partly offset by an increase in salaries, benefits and bonus expense, which was mainly to support the growth in non-mobile products in Germany.</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percentage of revenues, salaries and benefits increased to 8% for both the second quarter and the first half of 2016 as compared to 7% for the same periods of 2015, primarily due to headcount growth exceeding transaction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general and administrative expenses for the three and six months ended June 30, 2016 were $8.2 million and $17.2 million, respectively, a decrease of 9% and an increase of 1% as compared to the same periods in 2015. Selling, general and administrative expenses for the three months ended June 30, 2016 decreased as a result of the net impact of the U.S. dollar strengthening against key foreign currencies and due to management of cost. Selling, general and administrative expenses for the six months ended June 30, 2016 increased as a result of additional overhead to support development and growth of non-mobile products and an increase in bad debt expense, partially offset by the impact of the U.S. dollar strengthening against key foreign currencies and due to management of cost. As a percentage of revenues, selling, general and administrative expenses were 5% for the three and six months ended June 30, 2016 and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Depreciation and amortization expense primarily represents depreciation of POS terminals we place in retail stores and the amortization of acquired intangible assets. Depreciation and amortization expenses were flat for the three and six months ended June 30, 2016 compared to the same periods in 2015. As a percentage of revenues, depreciation and amortization expenses were 2% for the three and six months ended June 30, 2016 and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epay Segment operating income for the three and six months ended June 30, 2016 were $16.1 million and $31.9 million, respectively, a decrease of $0.1 million and an increase of $0.1 million as compared to the same periods in 2015. epay Segment operating income for the three and six months ended June 30, 2016 were essentially flat when compared to 2015 as the result of lower revenues largely offset by lower support costs, and the net impact of the U.S. dollar strengthening against key foreign currencies.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margin increased to 10.0% for the second quarter and the first half of 2016 from 9.7% and 9.3% for the same periods in 2015. Operating income per transaction were $0.05 for the three and six months ended June 30, 2016 and 2015.</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2016 and 2015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201,480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165,651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35,829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383,053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310,457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72,596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162,080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37,682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39,374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33,301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6,073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76,217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64,394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11,823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5,273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5,964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1,389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1,981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175,611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147,897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335,658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278,899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56,759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25,869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17,754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8,115</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47,395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15,837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Money Transfer Segment total revenues for the three and six months ended June 30, 2016 were $201.5 million and $383.1 million, respectively, an increase of $35.8 million or 22% and $72.6 million or 23% as compared to the same periods in 2015. The increases in total revenues for the three and six months ended June 30, 2016 were primarily due to increases in the number of money transfers processed, driven by growth in our U.S and foreign agent and correspondent payout networks. The IME (M) Sdn Bhd ("IME") acquisition completed during the second quarter of 2015 and its Malaysian money transfer operation accounted for a significant portion of the growth during these periods, along with our domestic Walmart-2-Walmart money transfer service and organic growth accounting for the remaining growth. The impacts of the July 2015 acquisition of XE Corporation and organic growth of HiFX also contributed to the increase in total revenues for the three and six months ended June 30, 2016. The increases were partly offset by the U.S. dollar strengthening against key foreign currencies.</w:t>
      </w:r>
    </w:p>
    <w:p>
      <w:pPr>
        <w:spacing w:after="0" w:line="8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Revenues per transaction decreased to $9.83 for the second quarter and $9.77 for the first half of 2016 from $10.04 for the second quarter and $10.21 for the first half of 2015, primarily due to the impact of the U.S. dollar strengthening against key foreign currencies and the increase in volume from our Walmart money transfer product, which earns lower revenues per transaction than other money transfer services. Partly offsetting the decreases in revenues per transaction was the impact of the HiFX transactions which earn higher revenues per transaction than other money transfer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Money Transfer Segment direct operating costs were $104.7 million and $199.8 million for the three and six months ended June 30, 2016, respectively, an increase of $17.8 million or 21% and $37.7 million or 23% as compared to the same periods in 2015.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six months of 2016 were primarily due to growth in the number of money transfer transactions processed in both the U.S. and foreign markets and the impact of the acquisition of IME. Partly offsetting the increases in direct operating costs was the impact of the U.S. dollar strengthening against key foreign currencies.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Gross profits were $96.8 million and $183.3 million for the three and six months ended June 30, 2016, respectively, as compared to $78.8 million and $148.4 million for the three and six months ended June 30, 2015, respectively. The increases in gross profits were primarily due to growth in the number of money transfer transactions processed in both the U.S. and foreign markets and the impact of our acquisitions of IME and XE.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and six months ended June 30, 2016, gross margins were essentially flat at 48.0% and 47.9% for the three and six months ended June 30, 2016, respectively, compared to 47.6% and 47.8% for the three and six months ended June 30, 2015,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Salaries and benefits increased $6.1 million or 18% and $11.8 million or 18% for the three and six months ended June 30, 2016, respectively, compared to the same periods in 2015. The increases in salaries and benefits were primarily due to the impact of our acquisitions of IME and XE and expansion of our operations in foreign markets. As a percentage of revenues, salaries and benefits improved to 19.5% for the second quarter and 19.9% for the first half of 2016 from 20.1% for the second quarter and 20.7% for the first half of 2015, primarily due to the increases in the number of money transfers processed, which did not require similar increases in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Selling, general and administrative expenses for the three and six months ended June 30, 2016 were $24.2 million and $45.0 million, respectively, an increase of $2.4 million or 11% and $5.3 million or 13% as compared to the same periods in 2015. The increases were primarily due to the impact of our acquisitions of IME and XE and expenses incurred to support the expansion of our money transfer products in both the U.S. and foreign markets.</w:t>
      </w:r>
    </w:p>
    <w:p>
      <w:pPr>
        <w:spacing w:after="0" w:line="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decreased to 12.0% for the second quarter and 11.7% for the first half of 2016 from 13.1% and 12.8% for the same periods of 2015, respectively. The decreases were primarily due to increases in the number of money transfers processed, which did not require similar increases in support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Depreciation and amortization primarily represents amortization of acquired intangible assets and depreciation of money transfer terminals, computers and software, leasehold improvements and office equipment. Depreciation and amortization expense increased 23% and 16% for the three and six months ended June 30, 2016, respectively, compared to the same periods in 2015. The increases were primarily due to the amortization of intangible assets related to the acquisitions of IME and XE and investments made to support the growth in the business. Partly offsetting these increases was the reduction in expenses associated with certain intangible assets that became fully amortized in the first quarter of 2015.</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revenues, depreciation and amortization was 3.6% for the second quarter and 3.8% for the first half of 2016 as compared to 3.6% and</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4.1% for the same periods of 2015, respectively. The decrease related to the first half of the year was primarily due to certain intangible assets becoming fully amortized and the effect of revenues earned from our Walmart money transfer product, which requires less capital investment than other money transfer products.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Money Transfer Segment operating income for the three and six months ended June 30, 2016 were $25.9 million and $47.4 million, respectively, an increase of $8.1 million or 46% and $15.8 million or 50% as compared to the same periods of 2015. Money Transfer Segment operating income for the three and six months ended June 30, 2016 increased primarily due to the growth in the number of money transfers processed, growth in transactions processed by HiFX as a result of currency volatility from the Brexit vote, and the impact of our acquisitions of IME and XE. The increases were partly offset by the additional salaries and benefits and other costs incurred to support the growth in the business and the impact of the U.S. dollar strengthening against key foreign currencies.</w:t>
      </w:r>
    </w:p>
    <w:p>
      <w:pPr>
        <w:spacing w:after="0" w:line="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percentage of revenues, operating margins increased to 12.8% for the second quarter and 12.4% for the first half of 2016 from 10.7% and 10.2% for same periods of 2015. Operating income per transaction increased to $1.26 for the second quarter and $1.21 for the first half of 2016 from $1.08 and $1.04 for the same periods in 2015. Operating margin and operating income per transaction improved primarily due to the increases in the number of money transfers processed, which did not require similar increases in support costs, partly offset by the impact of the U.S. dollar strengthening against key foreign currencies.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2016 and 2015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1,848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602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10,518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8,792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19,240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4"/>
              </w:rPr>
              <w:t>17,376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1,864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Overall, operating expenses for Corporate Services were $10.5 million and $19.2 million for the three and six months ended June 30, 2016, respectively, an increase of 20% and 11% as compared to the same periods in 2015. The increases in salaries and benefits were primarily due to an increase in bonus expense related to the Company's improved performance. The increase in selling, general and administrative expenses for the second quarter of 2016 was primarily attributable to the favorable settlement of a contingency in the prior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6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2280" w:type="dxa"/>
            <w:vAlign w:val="bottom"/>
            <w:gridSpan w:val="3"/>
            <w:vMerge w:val="restart"/>
          </w:tcPr>
          <w:p>
            <w:pPr>
              <w:jc w:val="right"/>
              <w:ind w:right="41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 (loss), net</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(18,056)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18,284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Other gains</w:t>
            </w:r>
          </w:p>
        </w:tc>
        <w:tc>
          <w:tcPr>
            <w:tcW w:w="2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19,515</w:t>
            </w:r>
          </w:p>
        </w:tc>
        <w:tc>
          <w:tcPr>
            <w:tcW w:w="100" w:type="dxa"/>
            <w:vAlign w:val="bottom"/>
          </w:tcPr>
          <w:p>
            <w:pPr>
              <w:spacing w:after="0"/>
              <w:rPr>
                <w:sz w:val="21"/>
                <w:szCs w:val="21"/>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19,515</w:t>
            </w:r>
          </w:p>
        </w:tc>
        <w:tc>
          <w:tcPr>
            <w:tcW w:w="100" w:type="dxa"/>
            <w:vAlign w:val="bottom"/>
          </w:tcPr>
          <w:p>
            <w:pPr>
              <w:spacing w:after="0"/>
              <w:rPr>
                <w:sz w:val="21"/>
                <w:szCs w:val="21"/>
                <w:color w:val="auto"/>
              </w:rPr>
            </w:pPr>
          </w:p>
        </w:tc>
        <w:tc>
          <w:tcPr>
            <w:tcW w:w="134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11,444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(10,316)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21,760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(28,357)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36,139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decreases in interest income for the three and six months ended June 30, 2016 compared to the same periods of 2015 were primarily due to a decrease in interest earned on funds held in Poland and Russia and the impact of the U.S. dollar strengthening against key foreign currencies.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increases in interest expense for the three and six months ended June 30, 2016 compared to the same periods of 2015 were primarily related to the additional borrowings under the revolving credit facility to fund the operating cash for our IAD networks.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recorded a net foreign currency exchange loss of $1.9 million and gain of $0.2 million for the three and six months ended June 30, 2016, respectively, as compared to net foreign currency exchange losses of $5.1 million and $18.1 million for the same periods in 2015. These realized and unrealized net foreign currency exchange gains and losses reflect the fluctuation in the value of the U.S. dollar against the currencies of the countries in which we operated during the respective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results for the second quarter of 2016 included an investment gain of $19.4 million which is the result of our membership in Visa Europe Limited ("Visa Europe") which was sold to Visa, Inc. ("Visa") on June 21, 2016. Visa closed the transaction and paid to the members of Visa Europe, cash consideration of approximately €12.19 billion, issued (a) 2,480,466 shares of Series B Convertible Participating Preferred Stock, and (b) 3,156,823 shares of Series C Convertible Participating Preferred Stock, and agreed to make an additional cash payment of €1.12 billion on the third anniversary of closing, to Visa Europe members. Our portion of the consideration consisted of cash of $11.9 million, Visa Series B Preferred Shares which are convertible into Visa common shares with an approximate value of $6.4 million, and a long-term receivable of approximately $1.1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The Company's effective income tax rates were 21.5% and 22.3% for the three and six months ended </w:t>
      </w:r>
      <w:r>
        <w:rPr>
          <w:rFonts w:ascii="Arial" w:cs="Arial" w:eastAsia="Arial" w:hAnsi="Arial"/>
          <w:sz w:val="17"/>
          <w:szCs w:val="17"/>
          <w:color w:val="252525"/>
        </w:rPr>
        <w:t>June 30, 2016</w:t>
      </w:r>
      <w:r>
        <w:rPr>
          <w:rFonts w:ascii="Arial" w:cs="Arial" w:eastAsia="Arial" w:hAnsi="Arial"/>
          <w:sz w:val="17"/>
          <w:szCs w:val="17"/>
          <w:color w:val="auto"/>
        </w:rPr>
        <w:t>, respectively, compared to 28.1% and 34.0% for the three and six months ended June 30, 2015, respectively. The effective income tax rates for the three and six months ended June 30, 2015 were significantly influenced by foreign currency exchange losses. Excluding this item from pre-tax income, as well as the related tax effect, the effective income tax rates were 25.5% and 25.9% for the three and six months ended June 30, 2015, respectively.</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effective income tax rates for the three and six months ended June 30, 2016 and 2015, as adjusted for foreign currency exchange gains and losses,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Other than the impact of foreign currency exchange losses for the 2015 periods, there was no material change in the effective income tax rates for the three and six months ended June 30, 2016 compared to the same periods of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 Providers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Net income attributable to Euronet was $55.7 million and $84.8 million for the three and six months ended June 30, 2016, respectively, an increase of $28.9 million and $50.8 million as compared to the same periods in 2015. The increase in net income for the first half of 2016 was primarily due to an increase in operating income of $21.9 million, an increase of $18.3 million in net foreign currency exchange gains, and increase in investment income of $19.4 million. The increases were partly offset by an increase in income tax expense of $7.0 million, an increase in interest expense of $1.5 million and a decrease in other non-operating costs of $0.3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2016 and December 31, 2015, we had working capital, which is calculated as the difference between total current assets and total current liabilities, of $425.7 million and $227.1 million, respectively. Our ratio of current assets to current liabilities at June 30, 2016 and December 31, 2015 was 1.47 and 1.25, respectively.</w:t>
      </w:r>
    </w:p>
    <w:p>
      <w:pPr>
        <w:spacing w:after="0" w:line="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facility and cash flows from operations. As of June 30, 2016, we had approximately $320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had cash and cash equivalents of $680.1 million at June 30, 2016, of which $594.9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six-month periods ended June 30, 2016 and 2015 (in thousands):</w:t>
      </w:r>
    </w:p>
    <w:p>
      <w:pPr>
        <w:spacing w:after="0" w:line="117"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134,466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156,928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222,549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70,065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Cash flows provided by operating activities were $134.5 million for the first half of 2016 compared to $156.9 million for the first half of 2015. The decrease is primarily due to fluctuations in working capital mainly associated with the timing of the settlement processes with content providers in the epay Segment and with correspondents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flows used in investing activities were $34.9 million for the first half of 2016 compared to $66.2 million for the first half of 2015. The decrease is primarily due to capital spending related to the IME acquisition in 2015 and the proceeds of $11.9 million received for the sale of our ownership interest in Visa Europe, partially offset by increased capital expenditures related to our ATM network expansion. During the first half of 2016, we used $42.1 million for purchases of property and equipment compared to $34.4 million during the first half of 2015. Cash used for software development and other investing activities totaled $2.5 million for both the first half of 2016 and 2015.</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Cash flows provided by financing activities were $118.9 million for the first half of 2016 compared to $0.2 million for the first half of 2015. Our financing activities for the first half of 2016 consisted of net borrowings of $192.9 million compared to net debt borrowings of $1.9 million for the first half of 2015. The increase in net borrowings for the first half of 2016 compared to the same period of 2015 was the result of additional borrowings under the revolving credit facility to fund the operating cash of our IAD networks and finance the repurchase of $75.6 million of our stock in the open market. Additionally, we used $1.2 million and $1.7 million during the first half of 2016 and 2015, respectively, for capital lease repayments. During the first half of 2016, we paid $0.9 million for the amount of payroll taxes represented by the common stock withheld on restricted stock vestings and stock option exercises compared to $5.0 million for the same period of 2015. We received proceeds from stock option exercises of $3.2 million and $4.6 million for the first half of 2016 and 2015,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June 30, 2016, we had a $675 million senior secured credit facility that matures on April 9, 2019 (the "Credit Facility") consisting of a $590 million revolving credit facility, a $10 million India revolving credit facility and a $75 million term loan ("Term Loan A"), which had been reduced to $63.8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2016,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2016, we had borrowings of $63.8 million outstanding under the term loan. We had $199.0 million of borrowings and $45.3 million of stand-by letters of credit outstanding under the revolving credit facility as of June 30, 2016. The remaining $355.7 million under the revolving credit facility was available for borrowing. As of June 30, 2016, the weighted average interest rates under the revolving credit facility and Term Loan A were 1.88% and 1.84%, respectively, excluding amortization of deferred financing costs.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Short-term debt obligations as of June 30, 2016 were primarily comprised of $8.0 million of payments due in the next twelve months under the Term Loan A. Certain of our subsidiaries also have available credit lines and overdraft facilities to generally supplement short-term working capital requirements. As of June 30, 2016, there was $10.5 million outstanding under these facilities.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half of 2016 were $43.4 million. These capital expenditures were made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2016 are currently estimated to range from approximately $90.0 million to $100.0 million.</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January 2016, we announced that our Board of Directors had authorized a stock repurchase program ("2016 Program") allowing us to repurchase up to</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 million in value or 5 million shares of our common stock through December 10, 2017. We purchased 1.1 million shares at a weighted average purchase price of $65.74 for a total value of $75.6 million during the first half of 2016. The remaining $24.4 million of value authorized under the 2016 Program remains available for share repurchases.</w:t>
      </w:r>
    </w:p>
    <w:p>
      <w:pPr>
        <w:spacing w:after="0" w:line="1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June 2016, the Board of Directors authorized an additional stock repurchase program ("Repurchase Program") with an effective date of July 28, 2016, allowing Euronet to repurchase up to $125 million in value or 3 million shares of its common stock through June 14,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2016, there were no material changes from the disclosure in our Annual Report on Form 10-K for the year ended December 31, 2015. To date, we are not aware of any significant claims made by the indemnified parties or parties to whom we have provided guarantees on behalf of our subsidiaries and, accordingly, no liabilities have been recorded as of June 30, 2016.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2016, our future contractual obligations have not changed significantly from the amounts reported within our 2015 Form 10-K, other than those resulting from changes in the amount of outstanding debt discussed in the Liquidity and Capital Resources section.</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100"/>
        <w:spacing w:after="0" w:line="254" w:lineRule="auto"/>
        <w:rPr>
          <w:sz w:val="20"/>
          <w:szCs w:val="20"/>
          <w:color w:val="auto"/>
        </w:rPr>
      </w:pPr>
      <w:r>
        <w:rPr>
          <w:rFonts w:ascii="Arial" w:cs="Arial" w:eastAsia="Arial" w:hAnsi="Arial"/>
          <w:sz w:val="18"/>
          <w:szCs w:val="18"/>
          <w:color w:val="auto"/>
        </w:rPr>
        <w:t>As of June 30, 2016, our total debt outstanding was $626.2 million. Of this amount, $353.0 million, or 56% of our total debt obligations, relates to our Convertible Notes that have a fixed coupon rate. Our $402.5 million principal amount of Convertible Notes, issued in October 2014, accrue cash interest at a rate of 1.5% of the principal amount per annum. Based on quoted market prices, as of June 30, 2016, the fair value of our fixed rate Convertible Notes was $503.0 million, compared to a carrying value of $353.0 million. Interest expense for these notes, including accretion and amortization of deferred debt issuance costs, has a weighted average interest rate of 4.7% annually. Additionally, $262.7 million, or 42% of our total debt obligations relates to debt borrowings under our Credit Facility. If we were to maximize the potential borrowings available under the revolving credit facility and maintain these borrowings for one year, a 1% (100 basis points) increase in the applicable interest rate would result in additional annual interest expense to the Company of approximately $6.2 million.</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remaining $10.5 million, or 2%,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Additionally, as of June 30, 2016, we had approximately $7.3 million of capitalized leases with fixed payment and interest terms that expire between 2016 and 2020.</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first half of 2016, approximately 71%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and Hungarian forint. As of June 30, 2016, we estimate that a 10% fluctuation in these foreign currency exchange rates would have the combined annualized effect on reported net income and working capital of approximately $65 million to $70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$90 million to</w:t>
      </w:r>
    </w:p>
    <w:p>
      <w:pPr>
        <w:spacing w:after="0"/>
        <w:rPr>
          <w:sz w:val="20"/>
          <w:szCs w:val="20"/>
          <w:color w:val="auto"/>
        </w:rPr>
      </w:pPr>
      <w:r>
        <w:rPr>
          <w:rFonts w:ascii="Arial" w:cs="Arial" w:eastAsia="Arial" w:hAnsi="Arial"/>
          <w:sz w:val="16"/>
          <w:szCs w:val="16"/>
          <w:color w:val="auto"/>
        </w:rPr>
        <w:t>$95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gain (loss), net on Consolidated Statements of Income. As of June 30, 2016, we had foreign currency derivative contracts outstanding with a notional value of $180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For derivative instruments our HiFX operations write for customers, we aggregate the foreign currency exposure arising from customer contracts, and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resulting net currency risks by entering into offsetting contracts with established financial institution counterparties as part of a broader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portfolio. The changes in fair value related to the total portfolio of positions are recorded in Revenues on the Consolidated Statements of Income.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2016, we held foreign currency derivative contracts outstanding with a notional value of $1.4 billion, primarily in U.S. dollars, euros, British pounds,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Australian dollars and New Zealand dollars, that were not designated as hedges and for which the majority mature within the next twelve months.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See Note 7,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2016.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2016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Except as otherwise described herein, </w:t>
      </w:r>
      <w:r>
        <w:rPr>
          <w:rFonts w:ascii="Arial" w:cs="Arial" w:eastAsia="Arial" w:hAnsi="Arial"/>
          <w:sz w:val="18"/>
          <w:szCs w:val="18"/>
          <w:color w:val="252525"/>
        </w:rPr>
        <w:t>there were no material changes to the risk factors previously disclosed in our Annual Report on Form 10-K for the year</w:t>
      </w:r>
      <w:r>
        <w:rPr>
          <w:rFonts w:ascii="Arial" w:cs="Arial" w:eastAsia="Arial" w:hAnsi="Arial"/>
          <w:sz w:val="18"/>
          <w:szCs w:val="18"/>
          <w:color w:val="auto"/>
        </w:rPr>
        <w:t xml:space="preserve"> </w:t>
      </w:r>
      <w:r>
        <w:rPr>
          <w:rFonts w:ascii="Arial" w:cs="Arial" w:eastAsia="Arial" w:hAnsi="Arial"/>
          <w:sz w:val="18"/>
          <w:szCs w:val="18"/>
          <w:color w:val="252525"/>
        </w:rPr>
        <w:t xml:space="preserve">ended </w:t>
      </w:r>
      <w:r>
        <w:rPr>
          <w:rFonts w:ascii="Arial" w:cs="Arial" w:eastAsia="Arial" w:hAnsi="Arial"/>
          <w:sz w:val="18"/>
          <w:szCs w:val="18"/>
          <w:color w:val="000000"/>
        </w:rPr>
        <w:t>December 31,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The United Kingdom's referendum vote in favor of leaving the European Union could adversely affect us.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252525"/>
        </w:rPr>
        <w:t>On June 23, 2016, the United Kingdom ("U.K.") held a referendum in which voters approved an exit from the European Union ("E.U."), commonly referred to as Brexit. The announcement of the results of the referendum resulted in significant volatility in global stock markets and currency exchange rate fluctuations that resulted in the strengthening of the U.S. dollar against foreign currencies in which we conduct business. The strengthening of the U.S. dollar relative to other currencies negatively impacts the amount of our reported earnings outside the U.S. because foreign currencies translate into fewer U.S. dollars.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252525"/>
        </w:rPr>
        <w:t>As a result of the referendum, it is expected that the British government will begin negotiating the terms of the U.K.’s future relationship with the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52525"/>
        </w:rPr>
        <w:t>E.U. Although it is unknown what those terms will be, it is possible that there will be greater restrictions on the terms of trade between the U.K. and E.U. countries, and increased regulatory complexities. The effects of Brexit will depend on any agreements the U.K. makes to retain access to E.U. markets either during a transitional period or more permanently.</w:t>
      </w:r>
    </w:p>
    <w:p>
      <w:pPr>
        <w:spacing w:after="0" w:line="1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52525"/>
        </w:rPr>
        <w:t>Our EFT Processing Segment and our Money Transfer Segment operate subsidiaries that are licensed in the U.K. as payment institutions and have passported their licenses under the Electronic Money Directive and Payment Services Directive, respectively, across the E.U. If the U.K. negotiates to leave the E.U. single market, then U.K. payment institutions may lose their passporting rights. These measures could potentially disrupt the markets we serve and cause us to use one of our other E.U. licenses or obtain new licenses in another E.U. member state to continue operating in the markets throughout the E.U. Obtaining such additional licenses would require additional investment of time and money, but would not be expected to materially and adversely affect our business or financial results.</w:t>
      </w:r>
    </w:p>
    <w:p>
      <w:pPr>
        <w:spacing w:after="0" w:line="1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52525"/>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1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a computer security breach, and we cannot exclude the possibility of additional breaches in the future.</w:t>
      </w:r>
    </w:p>
    <w:p>
      <w:pPr>
        <w:spacing w:after="0" w:line="11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 new form of attack whereby the security of the ATM is breached electronically by transmitting a command to the ATM to dispense cash without a card being present. We constantly monitor ATM security and take measures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protect our systems from such attacks and other breaches, but we cannot be certain that our measures will be effective faced with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The following materials from Euronet Worldwide, Inc.’s Quarterly Report on Form 10-Q for the quarter ended June 30, 2016, formatted in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XBRL (eXtensible Business Reporting Language): (i) Consolidated Balance Sheets at June 30, 2016 (unaudited) and December 31, 2015,</w:t>
            </w:r>
          </w:p>
        </w:tc>
      </w:tr>
    </w:tbl>
    <w:p>
      <w:pPr>
        <w:ind w:left="1180" w:right="20"/>
        <w:spacing w:after="0" w:line="287" w:lineRule="auto"/>
        <w:rPr>
          <w:sz w:val="20"/>
          <w:szCs w:val="20"/>
          <w:color w:val="auto"/>
        </w:rPr>
      </w:pPr>
      <w:r>
        <w:rPr>
          <w:rFonts w:ascii="Arial" w:cs="Arial" w:eastAsia="Arial" w:hAnsi="Arial"/>
          <w:sz w:val="16"/>
          <w:szCs w:val="16"/>
          <w:color w:val="auto"/>
        </w:rPr>
        <w:t>(ii) Consolidated Statements of Income (unaudited) for the three and six months ended June 30, 2016 and 2015, (iii) Consolidated Statements of Comprehensive Income (Loss) (unaudited) for the three and six months ended June 30, 2016 and 2015, (iv) Consolidated Statements of Cash Flows (unaudited) for the six months ended June 30, 2016 and 2015, and (v) Notes to the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125" w:right="3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2015</w:t>
            </w:r>
          </w:p>
        </w:tc>
      </w:tr>
      <w:tr>
        <w:trPr>
          <w:trHeight w:val="22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36,864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108,981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50,986</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15,142</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80,091</w:t>
            </w: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44,749</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126,560</w:t>
            </w: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66,128</w:t>
            </w:r>
          </w:p>
        </w:tc>
      </w:tr>
      <w:tr>
        <w:trPr>
          <w:trHeight w:val="23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6,094</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11,792</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17,579</w:t>
            </w: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15,142</w:t>
            </w:r>
          </w:p>
        </w:tc>
      </w:tr>
      <w:tr>
        <w:trPr>
          <w:trHeight w:val="230"/>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2019-12-29T11:39:07Z</dcterms:created>
  <dcterms:modified xsi:type="dcterms:W3CDTF">2019-12-29T11:39:07Z</dcterms:modified>
</cp:coreProperties>
</file>