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860" w:hanging="48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200" w:lineRule="exact"/>
        <w:rPr>
          <w:sz w:val="24"/>
          <w:szCs w:val="24"/>
          <w:color w:val="auto"/>
        </w:rPr>
      </w:pPr>
    </w:p>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340"/>
        <w:spacing w:after="0" w:line="207" w:lineRule="exact"/>
        <w:tabs>
          <w:tab w:leader="none" w:pos="2720" w:val="left"/>
          <w:tab w:leader="none" w:pos="5300" w:val="left"/>
          <w:tab w:leader="none" w:pos="8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4"/>
          <w:szCs w:val="14"/>
          <w:color w:val="auto"/>
        </w:rPr>
        <w:t>o</w:t>
      </w:r>
    </w:p>
    <w:p>
      <w:pPr>
        <w:spacing w:after="0" w:line="100" w:lineRule="exact"/>
        <w:rPr>
          <w:sz w:val="24"/>
          <w:szCs w:val="24"/>
          <w:color w:val="auto"/>
        </w:rPr>
      </w:pPr>
    </w:p>
    <w:p>
      <w:pPr>
        <w:jc w:val="center"/>
        <w:ind w:left="300"/>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pacing w:after="0" w:line="2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October 27, 2016, Euronet Worldwide, Inc. had 52,206,145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535"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7"/>
        </w:trPr>
        <w:tc>
          <w:tcPr>
            <w:tcW w:w="292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I—FINANCIAL INFORMATION</w:t>
              </w:r>
            </w:hyperlink>
          </w:p>
        </w:tc>
        <w:tc>
          <w:tcPr>
            <w:tcW w:w="7780" w:type="dxa"/>
            <w:vAlign w:val="bottom"/>
            <w:gridSpan w:val="9"/>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Arial" w:cs="Arial" w:eastAsia="Arial" w:hAnsi="Arial"/>
                <w:sz w:val="16"/>
                <w:szCs w:val="16"/>
                <w:color w:val="auto"/>
              </w:rPr>
              <w:t>Item 1.</w:t>
            </w: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60" w:type="dxa"/>
            <w:vAlign w:val="bottom"/>
            <w:gridSpan w:val="10"/>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Consolidated Balance Sheets as of September 30, 2016 and December 31, 2015</w:t>
              </w:r>
            </w:hyperlink>
          </w:p>
        </w:tc>
        <w:tc>
          <w:tcPr>
            <w:tcW w:w="4460" w:type="dxa"/>
            <w:vAlign w:val="bottom"/>
            <w:gridSpan w:val="5"/>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Income for the Three and Nine Months Ended September 30, 2016 and 2015</w:t>
              </w:r>
            </w:hyperlink>
          </w:p>
        </w:tc>
        <w:tc>
          <w:tcPr>
            <w:tcW w:w="3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Comprehensive Income for the Three and Nine Months Ended September 30, 2016 and 2015</w:t>
              </w:r>
            </w:hyperlink>
          </w:p>
        </w:tc>
        <w:tc>
          <w:tcPr>
            <w:tcW w:w="340" w:type="dxa"/>
            <w:vAlign w:val="bottom"/>
            <w:gridSpan w:val="3"/>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40" w:type="dxa"/>
            <w:vAlign w:val="bottom"/>
            <w:gridSpan w:val="14"/>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Statements of Cash Flows for the Nine Months Ended September 30, 2016 and 2015</w:t>
              </w:r>
            </w:hyperlink>
          </w:p>
        </w:tc>
        <w:tc>
          <w:tcPr>
            <w:tcW w:w="178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60" w:type="dxa"/>
            <w:vAlign w:val="bottom"/>
            <w:gridSpan w:val="12"/>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the Unaudited Consolidated Financial Statements</w:t>
              </w:r>
            </w:hyperlink>
          </w:p>
        </w:tc>
        <w:tc>
          <w:tcPr>
            <w:tcW w:w="3260" w:type="dxa"/>
            <w:vAlign w:val="bottom"/>
            <w:gridSpan w:val="3"/>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19">
              <w:r>
                <w:rPr>
                  <w:rFonts w:ascii="Arial" w:cs="Arial" w:eastAsia="Arial" w:hAnsi="Arial"/>
                  <w:sz w:val="16"/>
                  <w:szCs w:val="16"/>
                  <w:color w:val="0000EE"/>
                  <w:w w:val="91"/>
                </w:rPr>
                <w:t>Management's Discussion and Analysis of Financial Condition and Results of Operations</w:t>
              </w:r>
            </w:hyperlink>
          </w:p>
        </w:tc>
        <w:tc>
          <w:tcPr>
            <w:tcW w:w="3820" w:type="dxa"/>
            <w:vAlign w:val="bottom"/>
            <w:gridSpan w:val="4"/>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19">
              <w:r>
                <w:rPr>
                  <w:rFonts w:ascii="Arial" w:cs="Arial" w:eastAsia="Arial" w:hAnsi="Arial"/>
                  <w:sz w:val="17"/>
                  <w:szCs w:val="17"/>
                  <w:color w:val="0000EE"/>
                </w:rPr>
                <w:t>19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3.</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w w:val="92"/>
              </w:rPr>
            </w:pPr>
            <w:hyperlink w:anchor="page37">
              <w:r>
                <w:rPr>
                  <w:rFonts w:ascii="Arial" w:cs="Arial" w:eastAsia="Arial" w:hAnsi="Arial"/>
                  <w:sz w:val="16"/>
                  <w:szCs w:val="16"/>
                  <w:color w:val="0000EE"/>
                  <w:w w:val="92"/>
                </w:rPr>
                <w:t>Quantitative and Qualitative Disclosures About Market Risk</w:t>
              </w:r>
            </w:hyperlink>
          </w:p>
        </w:tc>
        <w:tc>
          <w:tcPr>
            <w:tcW w:w="1900" w:type="dxa"/>
            <w:vAlign w:val="bottom"/>
            <w:gridSpan w:val="2"/>
          </w:tcPr>
          <w:p>
            <w:pPr>
              <w:spacing w:after="0"/>
              <w:rPr>
                <w:sz w:val="20"/>
                <w:szCs w:val="20"/>
                <w:color w:val="auto"/>
              </w:rPr>
            </w:pPr>
          </w:p>
        </w:tc>
        <w:tc>
          <w:tcPr>
            <w:tcW w:w="3820" w:type="dxa"/>
            <w:vAlign w:val="bottom"/>
            <w:gridSpan w:val="4"/>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720" w:type="dxa"/>
            <w:vAlign w:val="bottom"/>
            <w:tcBorders>
              <w:left w:val="single" w:sz="8" w:color="0000EE"/>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4.</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Controls and Procedures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38</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PART II—OTHER INFORMATION</w:t>
              </w:r>
            </w:hyperlink>
          </w:p>
        </w:tc>
        <w:tc>
          <w:tcPr>
            <w:tcW w:w="804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Legal Proceedings</w:t>
              </w:r>
            </w:hyperlink>
          </w:p>
        </w:tc>
        <w:tc>
          <w:tcPr>
            <w:tcW w:w="8420" w:type="dxa"/>
            <w:vAlign w:val="bottom"/>
            <w:gridSpan w:val="11"/>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38</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9620" w:type="dxa"/>
            <w:vAlign w:val="bottom"/>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Risk Factors</w:t>
              </w:r>
            </w:hyperlink>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6.</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Exhibits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6"/>
                <w:szCs w:val="16"/>
                <w:color w:val="0000EE"/>
                <w:w w:val="86"/>
              </w:rPr>
            </w:pPr>
            <w:hyperlink w:anchor="page41">
              <w:r>
                <w:rPr>
                  <w:rFonts w:ascii="Arial" w:cs="Arial" w:eastAsia="Arial" w:hAnsi="Arial"/>
                  <w:sz w:val="16"/>
                  <w:szCs w:val="16"/>
                  <w:color w:val="0000EE"/>
                  <w:w w:val="86"/>
                </w:rPr>
                <w:t>Signatures</w:t>
              </w:r>
            </w:hyperlink>
          </w:p>
        </w:tc>
        <w:tc>
          <w:tcPr>
            <w:tcW w:w="8940" w:type="dxa"/>
            <w:vAlign w:val="bottom"/>
            <w:gridSpan w:val="13"/>
          </w:tcPr>
          <w:p>
            <w:pPr>
              <w:spacing w:after="0"/>
              <w:rPr>
                <w:sz w:val="24"/>
                <w:szCs w:val="24"/>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41</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4"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661,296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457,518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55,689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45,312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72,108</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1"/>
              </w:rPr>
              <w:t>Trade accounts receivable, net of allowances for doubtful accounts of $18,864 at September 30, 2016 and $19,140</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at December 31, 2015</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377,339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423,299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204,024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132,773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1,346,249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1,131,010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net of accumulated depreciation of $270,941 at September 30, 2016 and $242,111 at December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31, 2015</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187,617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687,947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685,178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$148,766 at September 30, 2016 and $131,095 at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2015</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151,881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167,972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3"/>
              </w:rPr>
              <w:t>Other assets, net of accumulated amortization of $37,191 at September 30, 2016 and $32,434 at December 31, 2015</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63,779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51,186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2,437,473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2,192,714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326,576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456,159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382,873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31,766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14,962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35,887</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936,677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903,932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405,472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4,865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33,924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19,629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19,311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1,511,443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1,366,786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Common Stock, $0.02 par value. 90,000,000 shares authorized; 58,286,616 issued at September 30, 2016 and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57,961,043 issued at December 31, 2015</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1,040,593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1,023,254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Treasury stock, at cost, 6,084,115 shares at September 30, 2016 and 4,929,241 shares at December 31, 2015</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(138,750)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249,931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104,427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(165,528)</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924,678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824,562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926,030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825,928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2,437,473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2,192,714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3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4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240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4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481,373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1,438,786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1,301,683</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300,159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282,313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791,749</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71,899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67,070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212,974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192,158</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43,723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116,373</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17,993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58,923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51,786</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433,557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411,099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1,247,119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1,152,066</w:t>
            </w: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90,468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70,274</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191,667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149,617</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1,642</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(18,482)</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Foreign currency exchange loss, net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(34,066)</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(losses) gains</w:t>
            </w: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r>
      <w:tr>
        <w:trPr>
          <w:trHeight w:val="237"/>
        </w:trPr>
        <w:tc>
          <w:tcPr>
            <w:tcW w:w="546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(22,234)</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(50,591)</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48,040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99,026</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(16,716)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(34,056)</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31,324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64,970</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Net (income) loss attributable to noncontrolling interests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351</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60,733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31,334</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145,504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65,321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Earnings per share attributable to Euronet Worldwide, Inc. stockholders:</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04"/>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0.60</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w:t>
            </w:r>
          </w:p>
        </w:tc>
      </w:tr>
      <w:tr>
        <w:trPr>
          <w:trHeight w:val="251"/>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04"/>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52,134,500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52,617,245</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52,293,808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52,075,388</w:t>
            </w:r>
          </w:p>
        </w:tc>
      </w:tr>
      <w:tr>
        <w:trPr>
          <w:trHeight w:val="251"/>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54,523,211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54,544,763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54,641,388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53,944,248</w:t>
            </w:r>
          </w:p>
        </w:tc>
      </w:tr>
      <w:tr>
        <w:trPr>
          <w:trHeight w:val="20"/>
        </w:trPr>
        <w:tc>
          <w:tcPr>
            <w:tcW w:w="596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gridSpan w:val="8"/>
          </w:tcPr>
          <w:p>
            <w:pPr>
              <w:jc w:val="center"/>
              <w:ind w:left="253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5460" w:type="dxa"/>
            <w:vAlign w:val="bottom"/>
          </w:tcPr>
          <w:p>
            <w:pPr>
              <w:spacing w:after="0"/>
              <w:rPr>
                <w:sz w:val="24"/>
                <w:szCs w:val="24"/>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60,782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31,324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145,443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64,970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6,849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13,522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(55,265)</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67,631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10,999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158,965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9,705</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462</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Euronet Worldwide,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67,567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11,005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158,979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10,167</w:t>
            </w: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2015</w:t>
            </w: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64,970</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51,786</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9,265</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foreign exchange loss,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34,066</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9,154</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Gain on sale of investment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working capital, net of amounts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16,006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(14,165)</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21,843</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23,180</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31,982</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(76,594)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(28,264)</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(30,707)</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(1,990)</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135,431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63,350</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Changes in noncurrent assets and liabilities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(2,983)</w:t>
            </w: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217,491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231,518</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(113,969)</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(55,305)</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other long-term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Proceeds from sale of investment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(173,112)</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Proceeds from issuance of shares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6,747</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of shares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Borrowings from revolving credit agreements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1,961,814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751,813</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revolving credit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(1,855,053)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(715,437)</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Repayments of long-term debt obligations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Borrowings from (repayments of) short-term debt obligations,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31,250</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(28,832)</w:t>
            </w:r>
          </w:p>
        </w:tc>
      </w:tr>
      <w:tr>
        <w:trPr>
          <w:trHeight w:val="243"/>
        </w:trPr>
        <w:tc>
          <w:tcPr>
            <w:tcW w:w="8780" w:type="dxa"/>
            <w:vAlign w:val="bottom"/>
          </w:tcPr>
          <w:p>
            <w:pPr>
              <w:ind w:left="600"/>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203,778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60,824</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468,010</w:t>
            </w:r>
          </w:p>
        </w:tc>
      </w:tr>
      <w:tr>
        <w:trPr>
          <w:trHeight w:val="230"/>
        </w:trPr>
        <w:tc>
          <w:tcPr>
            <w:tcW w:w="87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57"/>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661,296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528,834</w:t>
            </w:r>
          </w:p>
        </w:tc>
      </w:tr>
      <w:tr>
        <w:trPr>
          <w:trHeight w:val="20"/>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8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12,598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7,091</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taxes paid during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43,210</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Non-cash consideration received from sale of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Equity issued in connection with acquisitions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43,061</w:t>
            </w:r>
          </w:p>
        </w:tc>
      </w:tr>
      <w:tr>
        <w:trPr>
          <w:trHeight w:val="243"/>
        </w:trPr>
        <w:tc>
          <w:tcPr>
            <w:tcW w:w="8780" w:type="dxa"/>
            <w:vAlign w:val="bottom"/>
          </w:tcPr>
          <w:p>
            <w:pPr>
              <w:ind w:left="296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408"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408"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and cash flows for the interim periods. The unaudited consolidated financial statements should be read in conjunction with the audited consolidated financial statements of the Company for the year ended December 31, 2015, including the notes thereto, set forth in the Company’s 2015 Annual Report on Form 10-K. Certain amounts in prior years have been reclassified to conform to the current year's presentation.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Euronet’s EFT Processing Segment experiences its heaviest demand for dynamic currency conversion ("DCC") services during the third quarter of the fiscal year, coinciding with tourism season. Additionally, the EFT Processing and epay Segments are impacted by seasonality during the fourth quarter and the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August 2016, the FASB issued Accounting Standards Update ("ASU") 2016-15, </w:t>
      </w:r>
      <w:r>
        <w:rPr>
          <w:rFonts w:ascii="Arial" w:cs="Arial" w:eastAsia="Arial" w:hAnsi="Arial"/>
          <w:sz w:val="17"/>
          <w:szCs w:val="17"/>
          <w:i w:val="1"/>
          <w:iCs w:val="1"/>
          <w:color w:val="auto"/>
        </w:rPr>
        <w:t>Statement of Cash Flows (Topic 230): Classification of Certain Cash</w:t>
      </w:r>
      <w:r>
        <w:rPr>
          <w:rFonts w:ascii="Arial" w:cs="Arial" w:eastAsia="Arial" w:hAnsi="Arial"/>
          <w:sz w:val="17"/>
          <w:szCs w:val="17"/>
          <w:color w:val="auto"/>
        </w:rPr>
        <w:t xml:space="preserve"> </w:t>
      </w:r>
      <w:r>
        <w:rPr>
          <w:rFonts w:ascii="Arial" w:cs="Arial" w:eastAsia="Arial" w:hAnsi="Arial"/>
          <w:sz w:val="17"/>
          <w:szCs w:val="17"/>
          <w:i w:val="1"/>
          <w:iCs w:val="1"/>
          <w:color w:val="auto"/>
        </w:rPr>
        <w:t>Receipts and Cash Payments</w:t>
      </w:r>
      <w:r>
        <w:rPr>
          <w:rFonts w:ascii="Arial" w:cs="Arial" w:eastAsia="Arial" w:hAnsi="Arial"/>
          <w:sz w:val="17"/>
          <w:szCs w:val="17"/>
          <w:color w:val="auto"/>
        </w:rPr>
        <w:t>, which addresses eight specific issues on how certain cash receipts and cash payments are presented and classified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of cash flows with the objective of reducing existing diversity in practice with respect to these items. The amendments of this ASU are effective for reporting periods beginning after December 15, 2017, with early adoption permitted. The Company does not expect the adoption of this ASU to have a significant impact on its consolidated financial statements and related disclosures.</w:t>
      </w:r>
    </w:p>
    <w:p>
      <w:pPr>
        <w:spacing w:after="0" w:line="6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The Company is currently evaluating the impact that the standard will have on its consolidated financial statements and related disclosures.</w:t>
      </w:r>
    </w:p>
    <w:p>
      <w:pPr>
        <w:spacing w:after="0" w:line="12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addresses how companies account for certain aspects of share-based payments to</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employees. Entities will be required to recognize the income tax effects of awards in the statement of income when the awards vest or are settled, and to present excess tax benefits as an operating activity on the statement of cash flows rather than as a financing activity. The ASU also addresses such areas as an accounting policy election for forfeitures and the amount an employer can withhold to cover income taxes and still qualify for equity classification. The amendments in this ASU will be effective for annual periods beginning after December 15, 2016 and interim periods within those annual periods. Early adoption is permitted. The Company does not expect the adoption of this ASU to have a significant impact on its consolidated financial statements and related disclosures.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In March 2016, the FASB issued ASU 2016-06, </w:t>
      </w:r>
      <w:r>
        <w:rPr>
          <w:rFonts w:ascii="Arial" w:cs="Arial" w:eastAsia="Arial" w:hAnsi="Arial"/>
          <w:sz w:val="18"/>
          <w:szCs w:val="18"/>
          <w:i w:val="1"/>
          <w:iCs w:val="1"/>
          <w:color w:val="auto"/>
        </w:rPr>
        <w:t>Derivatives and Hedging (Topic 815), Contingent Put and Call Options in Debt Instruments</w:t>
      </w:r>
      <w:r>
        <w:rPr>
          <w:rFonts w:ascii="Arial" w:cs="Arial" w:eastAsia="Arial" w:hAnsi="Arial"/>
          <w:sz w:val="18"/>
          <w:szCs w:val="18"/>
          <w:color w:val="auto"/>
        </w:rPr>
        <w:t xml:space="preserve">. The new standard clarifies that an entity is required to assess whether the economic characteristics and risks of embedded put or call options are clearly and closely related to those of their debt hosts only in accordance with the four-step decision sequence in Accounting Standards Codification ("ASC") 815,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For contingently exercisable put or call options, an entity does not have to assess whether the event that triggers the ability to exercise a put or</w:t>
      </w:r>
      <w:r>
        <w:rPr>
          <w:rFonts w:ascii="Arial" w:cs="Arial" w:eastAsia="Arial" w:hAnsi="Arial"/>
          <w:sz w:val="18"/>
          <w:szCs w:val="18"/>
          <w:i w:val="1"/>
          <w:iCs w:val="1"/>
          <w:color w:val="auto"/>
        </w:rPr>
        <w:t xml:space="preserve"> </w:t>
      </w:r>
      <w:r>
        <w:rPr>
          <w:rFonts w:ascii="Arial" w:cs="Arial" w:eastAsia="Arial" w:hAnsi="Arial"/>
          <w:sz w:val="18"/>
          <w:szCs w:val="18"/>
          <w:color w:val="auto"/>
        </w:rPr>
        <w:t>call option is related to interest rates or credit risk of the entity. The ASU does not change the existing criteria for determining when bifurcation of an embedded put or call option in a debt instrument is required. The amendments of this ASU are effective for annual periods beginning after December 15, 2016, with early adoption permitted. Entities are required to apply the guidance to existing debt instruments using a modified retrospective transition method as of the period of adoption. The Company does not expect the adoption of this ASU to have a significant impact on its consolidated financial statements and related disclosures.</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March 2016, the FASB issued ASU 2016-04, </w:t>
      </w:r>
      <w:r>
        <w:rPr>
          <w:rFonts w:ascii="Arial" w:cs="Arial" w:eastAsia="Arial" w:hAnsi="Arial"/>
          <w:sz w:val="16"/>
          <w:szCs w:val="16"/>
          <w:i w:val="1"/>
          <w:iCs w:val="1"/>
          <w:color w:val="auto"/>
        </w:rPr>
        <w:t>Recognition of Breakage for Certain Prepaid Stored-Value Products</w:t>
      </w:r>
      <w:r>
        <w:rPr>
          <w:rFonts w:ascii="Arial" w:cs="Arial" w:eastAsia="Arial" w:hAnsi="Arial"/>
          <w:sz w:val="16"/>
          <w:szCs w:val="16"/>
          <w:color w:val="auto"/>
        </w:rPr>
        <w:t xml:space="preserve">. The new standard specifies that liabilities within its scope are considered to be financial liabilities, and amends the guidance in ASC 405-20, </w:t>
      </w:r>
      <w:r>
        <w:rPr>
          <w:rFonts w:ascii="Arial" w:cs="Arial" w:eastAsia="Arial" w:hAnsi="Arial"/>
          <w:sz w:val="16"/>
          <w:szCs w:val="16"/>
          <w:i w:val="1"/>
          <w:iCs w:val="1"/>
          <w:color w:val="auto"/>
        </w:rPr>
        <w:t>Extinguishments of Liabilities</w:t>
      </w:r>
      <w:r>
        <w:rPr>
          <w:rFonts w:ascii="Arial" w:cs="Arial" w:eastAsia="Arial" w:hAnsi="Arial"/>
          <w:sz w:val="16"/>
          <w:szCs w:val="16"/>
          <w:color w:val="auto"/>
        </w:rPr>
        <w:t>, by directing entities to derecognize prepaid stored-value product liabilities based on expected breakage in proportion to the pattern of rights expected to be exercised by the consumer. Derecognition for breakage is permitted only to the extent that it is probable that a significant reversal of recognized breakage will not subsequently occur. The new standard is consistent with the breakage guidance in the new revenue standard. The ASU is effective for annual periods beginning after December 15, 2017, and is applied either using a modified retrospective transition method or retrospectively. Early adoption is permitted. The Company is currently evaluating the expected impact of the adoption of this standard on its consolidated financial statements and related disclosures.</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will update the existing guidance on accounting for leases and require new qualitative and quantitative disclosures about the Company’s leasing activities. The new standard 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 The new standard is effective for annual periods beginning after December 15, 2018 and interim periods within those annual periods, with early adoption permitted. In transition, lessees and lessors are required to recognize and measure leases at the beginning of the earliest period presented using a modified retrospective approach. The modified retrospective approach includes a number of optional practical expedients that the Company may elect to apply. The Company is currently evaluating the expected impact of the adoption of this standard on its consolidated financial statements and related disclosures.</w:t>
      </w:r>
    </w:p>
    <w:p>
      <w:pPr>
        <w:spacing w:after="0" w:line="14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which addresses certain aspects of recognition, measurement, presentation, and disclosure of financial instruments. ASU 2016-01 is effective for financial statements issued for annual periods beginning after December 15, 2017, and interim periods within those annual periods. The Company does not expect that the adoption of this standard will have a significant impact on its consolidated financial statements and related disclosures.</w:t>
      </w:r>
    </w:p>
    <w:p>
      <w:pPr>
        <w:spacing w:after="0" w:line="117"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requires an entity to recognize the amount of revenue to which it expects to be entitled for the transfer of promised goods or services to customers. ASU 2014-09 will replace most existing revenue recognition guidance in U.S. GAAP when it becomes effective. In July 2015, the FASB approved a one-year deferral of the effective date of the new revenue recognition standard.</w:t>
      </w:r>
    </w:p>
    <w:p>
      <w:pPr>
        <w:ind w:right="480"/>
        <w:spacing w:after="0" w:line="261" w:lineRule="auto"/>
        <w:rPr>
          <w:sz w:val="20"/>
          <w:szCs w:val="20"/>
          <w:color w:val="auto"/>
        </w:rPr>
      </w:pPr>
      <w:r>
        <w:rPr>
          <w:rFonts w:ascii="Arial" w:cs="Arial" w:eastAsia="Arial" w:hAnsi="Arial"/>
          <w:sz w:val="18"/>
          <w:szCs w:val="18"/>
          <w:color w:val="auto"/>
        </w:rPr>
        <w:t>The new standard will become effective for the Company on January 1, 2018 and the Company has the option to adopt it effective January 1, 2017. The standard permits the use of either the retrospective or cumulative effect transition method.</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March 2016, the FASB issued ASU 2016-08, </w:t>
      </w:r>
      <w:r>
        <w:rPr>
          <w:rFonts w:ascii="Arial" w:cs="Arial" w:eastAsia="Arial" w:hAnsi="Arial"/>
          <w:sz w:val="18"/>
          <w:szCs w:val="18"/>
          <w:i w:val="1"/>
          <w:iCs w:val="1"/>
          <w:color w:val="auto"/>
        </w:rPr>
        <w:t>Revenue from Contracts with Customers (Topic 606), Principal versus Agent Considerations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versus Net)</w:t>
      </w:r>
      <w:r>
        <w:rPr>
          <w:rFonts w:ascii="Arial" w:cs="Arial" w:eastAsia="Arial" w:hAnsi="Arial"/>
          <w:sz w:val="18"/>
          <w:szCs w:val="18"/>
          <w:color w:val="auto"/>
        </w:rPr>
        <w:t>. In April 2016, the FASB issued ASU 2016-10,</w:t>
      </w:r>
      <w:r>
        <w:rPr>
          <w:rFonts w:ascii="Arial" w:cs="Arial" w:eastAsia="Arial" w:hAnsi="Arial"/>
          <w:sz w:val="18"/>
          <w:szCs w:val="18"/>
          <w:i w:val="1"/>
          <w:iCs w:val="1"/>
          <w:color w:val="auto"/>
        </w:rPr>
        <w:t xml:space="preserve"> Revenue from Contracts with Customers (Topic 606), Identifying Performance Obligations and Licensing</w:t>
      </w:r>
      <w:r>
        <w:rPr>
          <w:rFonts w:ascii="Arial" w:cs="Arial" w:eastAsia="Arial" w:hAnsi="Arial"/>
          <w:sz w:val="18"/>
          <w:szCs w:val="18"/>
          <w:color w:val="auto"/>
        </w:rPr>
        <w:t>. In May 2016, the FASB issued ASU 2016-11,</w:t>
      </w:r>
      <w:r>
        <w:rPr>
          <w:rFonts w:ascii="Arial" w:cs="Arial" w:eastAsia="Arial" w:hAnsi="Arial"/>
          <w:sz w:val="18"/>
          <w:szCs w:val="18"/>
          <w:i w:val="1"/>
          <w:iCs w:val="1"/>
          <w:color w:val="auto"/>
        </w:rPr>
        <w:t xml:space="preserve"> Revenue from Contracts with Customers (Topic 606) and Derivatives and Hedging (Topic 815) - Rescission of SEC Guidance Because of ASU 2014-09 and 2014-16, and ASU 2016-12, Revenue from Contracts with Customers (Topic 606) - Narrow Scope Improvements and Practical Expedient</w:t>
      </w:r>
      <w:r>
        <w:rPr>
          <w:rFonts w:ascii="Arial" w:cs="Arial" w:eastAsia="Arial" w:hAnsi="Arial"/>
          <w:sz w:val="18"/>
          <w:szCs w:val="18"/>
          <w:color w:val="auto"/>
        </w:rPr>
        <w:t>s. These ASUs clarify the implementation guidance on a few narrow areas and adds some practical</w:t>
      </w:r>
      <w:r>
        <w:rPr>
          <w:rFonts w:ascii="Arial" w:cs="Arial" w:eastAsia="Arial" w:hAnsi="Arial"/>
          <w:sz w:val="18"/>
          <w:szCs w:val="18"/>
          <w:i w:val="1"/>
          <w:iCs w:val="1"/>
          <w:color w:val="auto"/>
        </w:rPr>
        <w:t xml:space="preserve"> </w:t>
      </w:r>
      <w:r>
        <w:rPr>
          <w:rFonts w:ascii="Arial" w:cs="Arial" w:eastAsia="Arial" w:hAnsi="Arial"/>
          <w:sz w:val="18"/>
          <w:szCs w:val="18"/>
          <w:color w:val="auto"/>
        </w:rPr>
        <w:t>expedients to the guidance Topic 606.</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is evaluating the effect the ASUs will have on its consolidated financial statements and related disclosures. The Company has not yet selected a transition method nor has it determined the effect of these standards on its ongoing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periods. Diluted earnings per share has been computed by dividing earnings available to common stockholders by the weighted average shares outstanding during the respective period, after adjusting for any potential dilution of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2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60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96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52,134,500</w:t>
            </w:r>
          </w:p>
        </w:tc>
        <w:tc>
          <w:tcPr>
            <w:tcW w:w="1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52,617,245</w:t>
            </w:r>
          </w:p>
        </w:tc>
        <w:tc>
          <w:tcPr>
            <w:tcW w:w="20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52,293,808</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52,075,388</w:t>
            </w: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Incremental shares from assumed exercise of stock options and vesting of</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1,731,451</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1,784,106</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1,690,320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1,725,448</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notes</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657,260</w:t>
            </w:r>
          </w:p>
        </w:tc>
        <w:tc>
          <w:tcPr>
            <w:tcW w:w="1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143,412</w:t>
            </w:r>
          </w:p>
        </w:tc>
        <w:tc>
          <w:tcPr>
            <w:tcW w:w="20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657,260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143,412</w:t>
            </w: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54,523,211</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54,544,763</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54,641,388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53,944,248</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table includes the impact of all stock options and restricted stock that are dilutive to the Company’s weighted average common shares outstanding during the three and nine months ended September 30, 2016 and 2015. The calculation of diluted earnings per share excludes stock options or shares of restricted stock that are anti-dilutive to the Company’s weighted average common shares outstanding of approximately 552,000 and 555,000 for the three and nine months ended September 30, 2016, respectively, and approximately 578,000 and 614,000 for the three and nine months ended September 30, 2015, respectively.</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During 2016 and 2015, the Company had convertible notes outstanding that, if converted, could have had a potentially dilutive effect on its common stock. At issuance, the Company stated its intent to settle any conversion of these notes by paying cash for the principal value and issuing common stock for any conversion value in excess of the principal value. As of September 30, 2016, and currently, the Company maintains the intent and ability to settle any conversion as stated. Accordingly, the convertible notes would only have a dilutive effect if the market price per share of common stock exceeds the conversion price per share of common stock, which it did as of September 30, 2016 and 2015. Therefore, according to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these notes were dilutive to earnings per share for the three and nine months ended September 30, 2016 and 2015. See Note 6, Debt Obligations, for more information about the convertible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Accumulated other comprehensive income consists entirely of foreign currency translation adjustments. The Company recorded foreign currency translation gains of $6.8 million and $13.5 million for the three and nine months ended September 30, 2016, respectively, and losses of $20.3 million and $55.3 million for the three and nine months ended September 30, 2015, respectively. There were no reclassifications of foreign currency translation into the consolidated statements of income for the three and nine months ended September 30, 2016 and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January 2016, the Company announced that its Board of Directors authorized a stock repurchase program ("2016 Program") allowing the Company to repurchase up to $100 million in value or 5 million shares of its common stock through December 10, 2017. During the nine months ended September 30, 2016, the Company repurchased 1.1 million shares at a weighted average purchase price of $65.74 for a total value of $75.6 million under the 2016 Program.</w:t>
      </w:r>
    </w:p>
    <w:p>
      <w:pPr>
        <w:spacing w:after="0" w:line="9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June 2016, the Board of Directors authorized an additional stock repurchase program ("Repurchase Program") with an effective date of July 28, 2016, allowing Euronet to repurchase up to $125 million in value or 3 million shares of its common stock through June 14, 2018. Repurchases under the Repurchase Program may take place in the open market or in privately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transactions, including derivative transactions, and may be made under a Rule 10b5-1 plan. No purchases have been made under this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nine months ended September 30, 2016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685,178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853,150</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151,881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687,947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839,828</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2016, the Company completed its valuation of the acquired assets and liabilities of the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acquisitions of XE Corporation (“XE”) and IME(M) Sdn Bhd (“IME”), which included an adjustment to goodwill and acquired intangible assets.</w:t>
      </w:r>
    </w:p>
    <w:p>
      <w:pPr>
        <w:spacing w:after="0" w:line="10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September 30, 2016, is expected to total $6.1 million for the remainder of 2016, $22.7 million for 2017, $20.4 million for 2018, $19.7 million for 2019, $19.1 million for 2020 and $18.1 million for 2021.</w:t>
      </w:r>
    </w:p>
    <w:p>
      <w:pPr>
        <w:spacing w:after="0" w:line="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annual goodwill impairment test is performed during the fourth quarter of its fiscal year. The annual impairment test for the year ended December 31, 2015 resulted in no impairment charge.</w:t>
      </w:r>
    </w:p>
    <w:p>
      <w:pPr>
        <w:spacing w:after="0" w:line="1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2015 annual impairment test could change, which may result in the Company recording material non-cash impairment charges during the year in which these changes take place.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6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50"/>
        </w:trPr>
        <w:tc>
          <w:tcPr>
            <w:tcW w:w="5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800" w:type="dxa"/>
            <w:vAlign w:val="bottom"/>
            <w:tcBorders>
              <w:top w:val="single" w:sz="8" w:color="auto"/>
              <w:bottom w:val="single" w:sz="8" w:color="CCEEFF"/>
            </w:tcBorders>
            <w:gridSpan w:val="2"/>
            <w:shd w:val="clear" w:color="auto" w:fill="CCEEFF"/>
          </w:tcPr>
          <w:p>
            <w:pPr>
              <w:ind w:left="348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125,366</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Money transfer settlement obligations</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204,444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159,854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99,347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71,762</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61,185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00" w:type="dxa"/>
            <w:vAlign w:val="bottom"/>
            <w:gridSpan w:val="2"/>
            <w:shd w:val="clear" w:color="auto" w:fill="CCEEFF"/>
          </w:tcPr>
          <w:p>
            <w:pPr>
              <w:ind w:left="3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520,002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382,873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10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Term loan, due 2019</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61,875</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67,031</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agreements, due 2019</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114,406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7,701</w:t>
            </w:r>
          </w:p>
        </w:tc>
      </w:tr>
      <w:tr>
        <w:trPr>
          <w:trHeight w:val="237"/>
        </w:trPr>
        <w:tc>
          <w:tcPr>
            <w:tcW w:w="88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176,281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74,732</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3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355,639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347,878</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obligations</w:t>
            </w:r>
          </w:p>
        </w:tc>
        <w:tc>
          <w:tcPr>
            <w:tcW w:w="3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5,731</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debt obligations</w:t>
            </w:r>
          </w:p>
        </w:tc>
        <w:tc>
          <w:tcPr>
            <w:tcW w:w="3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540,038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428,341</w:t>
            </w:r>
          </w:p>
        </w:tc>
      </w:tr>
      <w:tr>
        <w:trPr>
          <w:trHeight w:val="27"/>
        </w:trPr>
        <w:tc>
          <w:tcPr>
            <w:tcW w:w="8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Carrying value of debt</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530,521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417,532</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(12,060)</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514,648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405,472</w:t>
            </w:r>
          </w:p>
        </w:tc>
      </w:tr>
      <w:tr>
        <w:trPr>
          <w:trHeight w:val="20"/>
        </w:trPr>
        <w:tc>
          <w:tcPr>
            <w:tcW w:w="8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of September 30, 2016, the Company had a $675 million senior secured credit facility (the "Credit Facility") consisting of a $600 million revolving credit facility and a $75 million term loan ("Term Loan A"), which had been reduced to $61.9 million through principal amortization payments. The Credit Facility expires April 9, 2019.</w:t>
      </w:r>
    </w:p>
    <w:p>
      <w:pPr>
        <w:spacing w:after="0" w:line="12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Interest on borrowings under the revolving credit facility and Term Loan A varies based upon the Company's consolidated total leverage ratio, as defined in the Company's credit agreement, and is based on a margin over the London Inter-Bank Offered Rate (“LIBOR”)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and Term Loan A was 2.69% and 2.15%, respectively, as of September 30,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Convertible Senior Notes due 2044 (“Convertible Notes”) had a principal amount outstanding of $402.5 million as of September 30, 2016. Contractual interest expense was $1.5 million and $4.5 million for the three and nine months ended September 30, 2016 and 2015, respectively. Accretion expense was $2.6 million and $7.7 million for the three and nine months ended September 30, 2016, respectively, and $2.5 million and $7.4 million for the three and nine months ended September 30, 2015, respectively. The effective interest rate was 4.7% for the three and nine months ended September 30, 2016. As of September 30, 2016, the unamortized discount was $46.9 million, and will be amortized through October 1,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primarily due to either the relatively short duration of the contract term or the effects of fluctuations in currency exchange rates</w:t>
      </w:r>
      <w:r>
        <w:rPr>
          <w:rFonts w:ascii="Arial" w:cs="Arial" w:eastAsia="Arial" w:hAnsi="Arial"/>
          <w:sz w:val="16"/>
          <w:szCs w:val="16"/>
          <w:i w:val="1"/>
          <w:iCs w:val="1"/>
          <w:color w:val="auto"/>
        </w:rPr>
        <w:t xml:space="preserve"> </w:t>
      </w:r>
      <w:r>
        <w:rPr>
          <w:rFonts w:ascii="Arial" w:cs="Arial" w:eastAsia="Arial" w:hAnsi="Arial"/>
          <w:sz w:val="16"/>
          <w:szCs w:val="16"/>
          <w:color w:val="auto"/>
        </w:rPr>
        <w:t>being reflected concurrently in earnings for both the derivative instrument and the transaction and having an offsetting effect.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the United States, the Company's Ria operations use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September 30, 2016, the Company held in its Ria operations foreign currency forward contracts outstanding in the U.S. with a notional value of $216 million, primarily in Australian dollars, Canadian dollars, British pounds, euros and Mexican pesos.</w:t>
      </w:r>
    </w:p>
    <w:p>
      <w:pPr>
        <w:spacing w:after="0" w:line="13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 foreign exchange rate fluctuations on certain foreign currency denominated other asset and liability positions. As of September 30, 2016, the Company had foreign currency forward contracts outstanding with a notional value of $261 million, primarily in British pounds, euros and Polish zloty.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7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may hedge some or all of the resulting net currency risks by entering into offsetting contracts with established financial institution counterparties. Foreign exchange revenues from HiFX's total portfolio of positions were $14.4 million and $48.3 million for the three and nine months ended September 30, 2016, respectively, and $15.5 million and $47.1 million for the three and nine months ended September 30, 2015, respectively. All of the derivative contracts used in the Company's HiFX operations are economic hedges and are not designated as hedges under ASC Topic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aggregate equivalent U.S. dollar notional amounts of foreign currency derivative customer contracts held by the Company in its HiFX operations as</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of September 30, 2016 was approximately $1.2 billion. The majority of customer contracts are written in major currencies such as the U.S. dollar, euro, New Zealand dollar, British pound, and Australian dollar.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w w:val="89"/>
              </w:rPr>
              <w:t>Asset Derivatives</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Fair Value</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64"/>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2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77,676</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37,034</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(61,185)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594"/>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gridSpan w:val="2"/>
          </w:tcPr>
          <w:p>
            <w:pPr>
              <w:jc w:val="right"/>
              <w:ind w:right="108"/>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tables summarize the gross and net fair value of derivative assets and liabilities as of September 30, 2016 and December 31, 2015 (in thousands):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September 30, 2016</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77,676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77,676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21,948</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37,034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September 30, 2016</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45,523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(12,660)</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19,786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summarize the location and amount of gains and losses of derivatives in the Consolidated Statements of Income for the three and nine months ended September 30,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rPr>
              <w:t>Amount of Gain (Loss) Recognized in Income on Derivative Contracts (a)</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380"/>
              <w:spacing w:after="0" w:line="153"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center"/>
              <w:ind w:right="199"/>
              <w:spacing w:after="0" w:line="153"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 of Gain (Loss) Recognized in</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3"/>
              </w:rPr>
              <w:t>September 30,</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 Contracts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Foreign currency exchange contracts -</w:t>
            </w: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gain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Ria Operations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(1,825)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1,025</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See Note 8, Fair Value Measurements, for the determination of the fair values of derivatives.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As of September 30, 2016</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77,676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77,676</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(61,185)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(61,185)</w:t>
            </w:r>
          </w:p>
        </w:tc>
      </w:tr>
      <w:tr>
        <w:trPr>
          <w:trHeight w:val="399"/>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 December 31, 2015</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37,034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37,034</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r>
      <w:tr>
        <w:trPr>
          <w:trHeight w:val="27"/>
        </w:trPr>
        <w:tc>
          <w:tcPr>
            <w:tcW w:w="3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(other than the Convertible Notes), including the current portion, approximate fair value because interest is primarily based on LIBOR, which resets at various intervals of less than one year. The Company estimates the fair value of the Convertible Notes using quoted prices in inactive markets for identical liabilities (Level 2). As of September 30, 2016 and December 31, 2015, the fair values of the Convertible Notes were $546.9 million and $509.7 million, respectively, with carrying values of $355.6 million and $347.9 million, respectively.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125" w:right="3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20" w:hanging="648"/>
        <w:spacing w:after="0" w:line="271"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which are executed by a third party.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nine months ended September 30, 2016 and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September 30, 2016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152,586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167,226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204,611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524,025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62,401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300,159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12,954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13,352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38,365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7,228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71,899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20,120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93,148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152,431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179,428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433,557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59,438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14,795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25,183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90,468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For the Three Months Ended September 30, 2015</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174,547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188,232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481,373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133,124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282,313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11,862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12,745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36,187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67,070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43,723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8,115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17,993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159,940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164,482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411,099</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40,316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14,607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23,750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70,274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Nine Months Ended September 30, 2016</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354,282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497,945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587,664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1,438,786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165,520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379,423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853,544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37,601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38,052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114,582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22,739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212,974</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121,678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28,411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8,498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21,868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58,923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253,686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451,264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515,086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27,083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1,247,119</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100,596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46,681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72,578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Nine Months Ended September 30, 2015</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286,650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517,296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498,689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1,301,683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135,754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396,860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791,749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34,466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37,172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100,581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19,939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192,158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116,373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23,274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8,465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51,786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212,926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470,936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443,381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24,823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1,152,066</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73,724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46,360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55,308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149,617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Property and Equipment, net as of</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Total Assets as of</w:t>
            </w: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00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124,926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99,798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705,803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469,351</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24,992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24,834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589,165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646,000</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37,608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32,591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1,125,467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1,040,737</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17,038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36,626</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187,617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157,368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2,437,473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2,192,714</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The Company's effective income tax rates were 25.5% and 23.7% for the three and nine months ended </w:t>
      </w:r>
      <w:r>
        <w:rPr>
          <w:rFonts w:ascii="Arial" w:cs="Arial" w:eastAsia="Arial" w:hAnsi="Arial"/>
          <w:sz w:val="16"/>
          <w:szCs w:val="16"/>
          <w:color w:val="252525"/>
        </w:rPr>
        <w:t>September 30, 2016</w:t>
      </w:r>
      <w:r>
        <w:rPr>
          <w:rFonts w:ascii="Arial" w:cs="Arial" w:eastAsia="Arial" w:hAnsi="Arial"/>
          <w:sz w:val="16"/>
          <w:szCs w:val="16"/>
          <w:color w:val="auto"/>
        </w:rPr>
        <w:t>, respectively, compared to 34.8% and 34.4% for the three and nine months ended September 30, 2015, respectively. The effective income tax rate for the three and nine months ended September 30, 2015 were significantly influenced by foreign currency exchange losses, most of which are not currently deductible for income tax purposes, resulting in a higher effective income tax rate when compared to the same period of 2016. Excluding this item from pre-tax income, as well as the related tax effect, the effective income tax rates were 25.8% and 25.4% for the three and nine months ended September 30, 2015, respectively.</w:t>
      </w:r>
    </w:p>
    <w:p>
      <w:pPr>
        <w:spacing w:after="0" w:line="5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Company's effective income tax rates for the three and nine months ended September 30, 2016 and 2015, as adjusted for foreign currency exchange gains and losses,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 forwards to offset the pre-tax U.S. GAAP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 of September 30, 2016, the Company had $70.7 million of stand-by letters of credit/bank guarantees issued on its behalf, of which $46.6 million are outstanding under the revolving credit facility. The remaining stand-by letters of credit/bank guarantees are collateralized by $3.1 million of cash deposits held by the respective issuing banks.</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September 30, 2016, the Company had granted off balance sheet guarantees for cash in various ATM networks amounting to $18.2 million over the terms of the cash supply agreements and performance guarantees amounting to approximately $4.4 million over the terms of agreements with the customers.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Once each of Euronet's subsidiaries reaches a certain size, it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63" w:lineRule="exact"/>
        <w:rPr>
          <w:sz w:val="20"/>
          <w:szCs w:val="20"/>
          <w:color w:val="auto"/>
        </w:rPr>
      </w:pPr>
    </w:p>
    <w:p>
      <w:pPr>
        <w:ind w:left="580" w:right="100" w:hanging="329"/>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September 30, 2016, the balance of cash used in the Company's ATM networks for which the Company was responsible was approximately $524 million. The Company maintains insurance policies to mitigate this exposure;</w:t>
      </w:r>
    </w:p>
    <w:p>
      <w:pPr>
        <w:spacing w:after="0" w:line="78" w:lineRule="exact"/>
        <w:rPr>
          <w:rFonts w:ascii="Arial" w:cs="Arial" w:eastAsia="Arial" w:hAnsi="Arial"/>
          <w:sz w:val="18"/>
          <w:szCs w:val="18"/>
          <w:color w:val="auto"/>
        </w:rPr>
      </w:pPr>
    </w:p>
    <w:p>
      <w:pPr>
        <w:ind w:left="580" w:right="120" w:hanging="329"/>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systems of internal controls and insurance policies to mitigate this exposure;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80" w:right="18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580" w:right="14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580" w:right="60" w:hanging="329"/>
        <w:spacing w:after="0" w:line="293"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56" w:lineRule="exact"/>
        <w:rPr>
          <w:rFonts w:ascii="Arial" w:cs="Arial" w:eastAsia="Arial" w:hAnsi="Arial"/>
          <w:sz w:val="16"/>
          <w:szCs w:val="16"/>
          <w:color w:val="auto"/>
        </w:rPr>
      </w:pPr>
    </w:p>
    <w:p>
      <w:pPr>
        <w:ind w:left="580" w:right="42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September 30, 2016 or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 AND CONTINGENCIES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October 3, 2016, the Company completed the acquisition of YourCash Europe Limited, a U.K. based ATM operator with approximately 5,000 cash machines across the U.K., Netherlands, Belgium and Ireland. We acquired the business for approximately $65 million in cash, which includes $3.2 million of deferred consideration.</w:t>
      </w:r>
    </w:p>
    <w:p>
      <w:pPr>
        <w:spacing w:after="0" w:line="10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transaction will be recorded as a business combination, and the purchase price will be allocated to the assets acquired and liabilities assumed based on their estimated fair values. Due to the timing of this transaction, the allocation of purchase price has not been finalized pending valuation of intangible assets acquired.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recent Brexit vote and economic conditions in specific countries and regions; technological developments affecting the markets for our products and services; our ability to successfully introduce new products and services; foreign currency exchange rate fluctuations; the effects of any breach of our computer systems or those of our customers or vendors, including our financial processing networks;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and anti-bribery requirements; changes in laws and regulations affecting our business, including immigration laws; changes in our relationships with, or in fees charged by, our business partners; competition; the outcome of claims and other loss contingencies affecting Euronet; and those other factors referred to above and as set forth and more fully described in Part I, Item 1A — Risk Factors of our Annual Report on Form 10-K for the year ended December 31, 2015 and Part II, Item IA - Risk Factors in our Quarterly Report on Form 10-Q for the quarter ended June 30, 2016. Our Annual Report on Form 10-K and Quarterly Reports on Form 10-Q are available on the SEC's EDGAR website at www.sec.gov, and copies may also be obtained by contacting the Company. All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46" w:lineRule="exact"/>
        <w:rPr>
          <w:sz w:val="20"/>
          <w:szCs w:val="20"/>
          <w:color w:val="auto"/>
        </w:rPr>
      </w:pPr>
    </w:p>
    <w:p>
      <w:pPr>
        <w:ind w:left="980" w:right="260" w:hanging="648"/>
        <w:spacing w:after="0" w:line="27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29,276 ATMs and approximately 156,000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80" w:hanging="648"/>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647,000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hanging="648"/>
        <w:spacing w:after="0" w:line="269"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Money Transfer Segment, which provides global consumer-to-consumer money transfer services, primarily under the brand names Ria, IME and XE, and global account-to-account money transfer services under the brand name HiFX. We offer services under the brand names Ria and IME through a network of sending agents, Company-owned stores (primarily in North America, Europe and Malaysia) and our websites (www.riamoneytransfer.com and www.imeremit.com), disbursing money transfers through a worldwide correspondent network that includes approximately 314,000 locations. XE is a provider of foreign currency exchange information and offers money transfer services on its currency data websites (www.xe.com and www.x-rates.com), which are executed by a third party. We offer services under the brand name HiFX through our HiFX websites (www.hifx.co.uk and www.hifx.com.au)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mobile top-up. Through our HiFM brand, we offer cash management solutions and foreign currency risk management services to small-to-medium sized businesses.</w:t>
      </w:r>
    </w:p>
    <w:p>
      <w:pPr>
        <w:spacing w:after="0" w:line="75" w:lineRule="exact"/>
        <w:rPr>
          <w:sz w:val="20"/>
          <w:szCs w:val="20"/>
          <w:color w:val="auto"/>
        </w:rPr>
      </w:pPr>
    </w:p>
    <w:p>
      <w:pPr>
        <w:ind w:left="60" w:right="80"/>
        <w:spacing w:after="0" w:line="259" w:lineRule="auto"/>
        <w:rPr>
          <w:sz w:val="20"/>
          <w:szCs w:val="20"/>
          <w:color w:val="auto"/>
        </w:rPr>
      </w:pPr>
      <w:r>
        <w:rPr>
          <w:rFonts w:ascii="Arial" w:cs="Arial" w:eastAsia="Arial" w:hAnsi="Arial"/>
          <w:sz w:val="18"/>
          <w:szCs w:val="18"/>
          <w:color w:val="auto"/>
        </w:rPr>
        <w:t>We have six processing centers in Europe, five in Asia Pacific and two in North America. We have 32 principal offices in Europe, 12 in Asia Pacific, nine in North America, three in the Middle East, two in South America and one in Africa. Our executive offices are located in Leawood, Kansas, USA. With approximately 72%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approximately 29% and 25% of total consolidated revenues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and first nine months of 2016, respectively,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32% and 35% of total consolidated revenues for the third quarter and first</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of 2016, respectively, are primarily derived from commissions or processing fees received from mobile phone operators for the processing and distribution of prepaid mobile airtime and commissions earned from the distribution of other electronic payment products, vouchers, and physical gifts. The proportion of epay Segment revenues earned from the distribution of prepaid mobile phone time as compared with other electronic products has decreased over time, and non-mobile content now produces over 50% of epay Segment revenues.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 Agreements with mobile operators and prepaid content providers are important to the success of our business and these agreements permit us to distribute prepaid mobile airtime and other electronic payment products to retailers.</w:t>
      </w:r>
    </w:p>
    <w:p>
      <w:pPr>
        <w:spacing w:after="0" w:line="5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Revenues in the Money Transfer Segment, which represented approximately 39% and 40% of total consolidated revenues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third quarter and first nine months of 2016, respectively,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our websites www.riamoneytransfer.com, www.hifx.co.uk, www.hifx.com.au, www.imeremit.com, www.xe.com and www.x-rates.com,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70"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has an initial term of three years from the launch date of April 2014, which will automatically renew for an additional two year term and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7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number of ATMs, and cash deposit terminals in our independent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3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digital content;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efficiently to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0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use existing expertise and relationships with mobile operators, digital content providers and retailers to our advantage;</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right="34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10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capture market share from other prepaid mobile airtime and digital content distributors, offer a superior product offering and demonstrate the value of a global network. In certain markets in which we operate, many of the factors that may contribute to rapid growth (growth in electronic payment products, expansion of our network of retailers and access to products of mobile operators and other content providers) remain present.</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the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w:t>
      </w:r>
    </w:p>
    <w:p>
      <w:pPr>
        <w:spacing w:after="0" w:line="3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Revenues and operating income by segment for the three and nine months ended September 30, 2016 and 2015 are summarized in the tables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10"/>
          </w:tcPr>
          <w:p>
            <w:pPr>
              <w:jc w:val="right"/>
              <w:ind w:right="180"/>
              <w:spacing w:after="0"/>
              <w:rPr>
                <w:sz w:val="20"/>
                <w:szCs w:val="20"/>
                <w:color w:val="auto"/>
              </w:rPr>
            </w:pPr>
            <w:r>
              <w:rPr>
                <w:rFonts w:ascii="Arial" w:cs="Arial" w:eastAsia="Arial" w:hAnsi="Arial"/>
                <w:sz w:val="14"/>
                <w:szCs w:val="14"/>
                <w:b w:val="1"/>
                <w:bCs w:val="1"/>
                <w:color w:val="auto"/>
                <w:w w:val="97"/>
              </w:rPr>
              <w:t>Revenues for the Three Months</w:t>
            </w:r>
          </w:p>
        </w:tc>
        <w:tc>
          <w:tcPr>
            <w:tcW w:w="120" w:type="dxa"/>
            <w:vAlign w:val="bottom"/>
          </w:tcPr>
          <w:p>
            <w:pPr>
              <w:spacing w:after="0"/>
              <w:rPr>
                <w:sz w:val="14"/>
                <w:szCs w:val="14"/>
                <w:color w:val="auto"/>
              </w:rPr>
            </w:pPr>
          </w:p>
        </w:tc>
        <w:tc>
          <w:tcPr>
            <w:tcW w:w="192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92"/>
              </w:rPr>
              <w:t>Revenues for the Nine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Ended September 30,</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0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94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152,586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118,895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33,691</w:t>
            </w: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28 %</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354,282</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286,650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67,632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30"/>
              <w:spacing w:after="0"/>
              <w:rPr>
                <w:sz w:val="20"/>
                <w:szCs w:val="20"/>
                <w:color w:val="auto"/>
              </w:rPr>
            </w:pPr>
            <w:r>
              <w:rPr>
                <w:rFonts w:ascii="Arial" w:cs="Arial" w:eastAsia="Arial" w:hAnsi="Arial"/>
                <w:sz w:val="18"/>
                <w:szCs w:val="18"/>
                <w:color w:val="auto"/>
              </w:rPr>
              <w:t>167,226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36"/>
              <w:spacing w:after="0"/>
              <w:rPr>
                <w:sz w:val="20"/>
                <w:szCs w:val="20"/>
                <w:color w:val="auto"/>
              </w:rPr>
            </w:pPr>
            <w:r>
              <w:rPr>
                <w:rFonts w:ascii="Arial" w:cs="Arial" w:eastAsia="Arial" w:hAnsi="Arial"/>
                <w:sz w:val="18"/>
                <w:szCs w:val="18"/>
                <w:color w:val="auto"/>
              </w:rPr>
              <w:t>174,547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(7,321)</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497,945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517,296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(19,351)</w:t>
            </w: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204,611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188,232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16,379</w:t>
            </w: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587,664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498,689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88,975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7"/>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524,423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481,674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42,749</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1,439,891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1,302,635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8"/>
              </w:rPr>
              <w:t>137,256</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8"/>
              </w:rPr>
              <w:t>eliminations and other</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57"/>
        </w:trPr>
        <w:tc>
          <w:tcPr>
            <w:tcW w:w="19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524,025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481,373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42,652</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9 %</w:t>
            </w:r>
          </w:p>
        </w:tc>
        <w:tc>
          <w:tcPr>
            <w:tcW w:w="2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1,438,786</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1,301,683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8"/>
              </w:rPr>
              <w:t>137,103</w:t>
            </w: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gridSpan w:val="10"/>
          </w:tcPr>
          <w:p>
            <w:pPr>
              <w:ind w:left="40"/>
              <w:spacing w:after="0"/>
              <w:rPr>
                <w:sz w:val="20"/>
                <w:szCs w:val="20"/>
                <w:color w:val="auto"/>
              </w:rPr>
            </w:pPr>
            <w:r>
              <w:rPr>
                <w:rFonts w:ascii="Arial" w:cs="Arial" w:eastAsia="Arial" w:hAnsi="Arial"/>
                <w:sz w:val="14"/>
                <w:szCs w:val="14"/>
                <w:b w:val="1"/>
                <w:bCs w:val="1"/>
                <w:color w:val="auto"/>
                <w:w w:val="98"/>
              </w:rPr>
              <w:t>Operating Income (Expense) for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8"/>
            <w:vMerge w:val="restart"/>
          </w:tcPr>
          <w:p>
            <w:pPr>
              <w:jc w:val="right"/>
              <w:ind w:right="220"/>
              <w:spacing w:after="0"/>
              <w:rPr>
                <w:sz w:val="20"/>
                <w:szCs w:val="20"/>
                <w:color w:val="auto"/>
              </w:rPr>
            </w:pPr>
            <w:r>
              <w:rPr>
                <w:rFonts w:ascii="Arial" w:cs="Arial" w:eastAsia="Arial" w:hAnsi="Arial"/>
                <w:sz w:val="14"/>
                <w:szCs w:val="14"/>
                <w:b w:val="1"/>
                <w:bCs w:val="1"/>
                <w:color w:val="auto"/>
                <w:w w:val="95"/>
              </w:rPr>
              <w:t>Operating Income (Expense) for the</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8"/>
          </w:tcPr>
          <w:p>
            <w:pPr>
              <w:ind w:left="40"/>
              <w:spacing w:after="0" w:line="149" w:lineRule="exact"/>
              <w:rPr>
                <w:sz w:val="20"/>
                <w:szCs w:val="20"/>
                <w:color w:val="auto"/>
              </w:rPr>
            </w:pPr>
            <w:r>
              <w:rPr>
                <w:rFonts w:ascii="Arial" w:cs="Arial" w:eastAsia="Arial" w:hAnsi="Arial"/>
                <w:sz w:val="14"/>
                <w:szCs w:val="14"/>
                <w:b w:val="1"/>
                <w:bCs w:val="1"/>
                <w:color w:val="auto"/>
              </w:rPr>
              <w:t>the Three 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w w:val="91"/>
              </w:rPr>
              <w:t>Year-over-Year Change</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4"/>
            <w:vMerge w:val="restart"/>
          </w:tcPr>
          <w:p>
            <w:pPr>
              <w:jc w:val="right"/>
              <w:ind w:right="328"/>
              <w:spacing w:after="0"/>
              <w:rPr>
                <w:sz w:val="20"/>
                <w:szCs w:val="20"/>
                <w:color w:val="auto"/>
              </w:rPr>
            </w:pPr>
            <w:r>
              <w:rPr>
                <w:rFonts w:ascii="Arial" w:cs="Arial" w:eastAsia="Arial" w:hAnsi="Arial"/>
                <w:sz w:val="14"/>
                <w:szCs w:val="14"/>
                <w:b w:val="1"/>
                <w:bCs w:val="1"/>
                <w:color w:val="auto"/>
                <w:w w:val="96"/>
              </w:rPr>
              <w:t>Year-over-Year Change</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right"/>
              <w:ind w:right="73"/>
              <w:spacing w:after="0"/>
              <w:rPr>
                <w:sz w:val="20"/>
                <w:szCs w:val="20"/>
                <w:color w:val="auto"/>
              </w:rPr>
            </w:pPr>
            <w:r>
              <w:rPr>
                <w:rFonts w:ascii="Arial" w:cs="Arial" w:eastAsia="Arial" w:hAnsi="Arial"/>
                <w:sz w:val="14"/>
                <w:szCs w:val="14"/>
                <w:b w:val="1"/>
                <w:bCs w:val="1"/>
                <w:color w:val="auto"/>
                <w:w w:val="96"/>
              </w:rPr>
              <w:t>Nine Months Ended September 30,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10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6"/>
              </w:rPr>
              <w:t>(dollar amounts in thousands)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(Decrease)Amount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(Decrease)Amount</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59,438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40,316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19,122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73,724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14,795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14,607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46,681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46,360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25,183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23,750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1,433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72,578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55,308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87"/>
              </w:rPr>
              <w:t>99,416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78,673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20,743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219,855</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175,392</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44,463</w:t>
            </w:r>
          </w:p>
        </w:tc>
        <w:tc>
          <w:tcPr>
            <w:tcW w:w="100" w:type="dxa"/>
            <w:vAlign w:val="bottom"/>
            <w:tcBorders>
              <w:top w:val="single" w:sz="8" w:color="auto"/>
            </w:tcBorders>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8"/>
              </w:rPr>
              <w:t>eliminations and other</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(8,948)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(8,399)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19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87"/>
              </w:rPr>
              <w:t>90,468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70,274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20,194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2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191,667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149,617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42,050</w:t>
            </w:r>
          </w:p>
        </w:tc>
        <w:tc>
          <w:tcPr>
            <w:tcW w:w="100" w:type="dxa"/>
            <w:vAlign w:val="bottom"/>
            <w:tcBorders>
              <w:top w:val="single" w:sz="8" w:color="auto"/>
              <w:bottom w:val="single" w:sz="8" w:color="auto"/>
            </w:tcBorders>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gridSpan w:val="2"/>
            <w:vMerge w:val="restart"/>
          </w:tcPr>
          <w:p>
            <w:pPr>
              <w:jc w:val="right"/>
              <w:ind w:right="508"/>
              <w:spacing w:after="0"/>
              <w:rPr>
                <w:sz w:val="20"/>
                <w:szCs w:val="20"/>
                <w:color w:val="auto"/>
              </w:rPr>
            </w:pPr>
            <w:r>
              <w:rPr>
                <w:rFonts w:ascii="Arial" w:cs="Arial" w:eastAsia="Arial" w:hAnsi="Arial"/>
                <w:sz w:val="18"/>
                <w:szCs w:val="18"/>
                <w:color w:val="auto"/>
              </w:rPr>
              <w:t>24</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revenues and local expenses are recorded in the functional currencies of our operating entities and translated into U.S. dollars for financial reporting purposes; therefore, amounts we earn outside the U.S. are negatively impacted by a stronger U.S. dollar and positively impacted by a weaker U.S. dollar. On average, the U.S. dollar was stronger relative to most foreign currencies in the markets where we conduct our business as compared to the same periods of the prior year. Considering the results by country and the associated functional currency, we estimate that our consolidated operating income for the third quarter and nine month period of 2016 were not significantly influenced by the changes in foreign currency exchange rates when compared to the same periods in 2015.</w:t>
      </w:r>
    </w:p>
    <w:p>
      <w:pPr>
        <w:spacing w:after="0" w:line="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Average Translation Rate</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Increase</w:t>
            </w:r>
          </w:p>
        </w:tc>
        <w:tc>
          <w:tcPr>
            <w:tcW w:w="260" w:type="dxa"/>
            <w:vAlign w:val="bottom"/>
          </w:tcPr>
          <w:p>
            <w:pPr>
              <w:spacing w:after="0"/>
              <w:rPr>
                <w:sz w:val="14"/>
                <w:szCs w:val="14"/>
                <w:color w:val="auto"/>
              </w:rPr>
            </w:pPr>
          </w:p>
        </w:tc>
        <w:tc>
          <w:tcPr>
            <w:tcW w:w="26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Average Translation Rate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0" w:type="dxa"/>
            <w:vAlign w:val="bottom"/>
            <w:gridSpan w:val="5"/>
          </w:tcPr>
          <w:p>
            <w:pPr>
              <w:jc w:val="center"/>
              <w:ind w:right="340"/>
              <w:spacing w:after="0" w:line="145" w:lineRule="exact"/>
              <w:rPr>
                <w:sz w:val="20"/>
                <w:szCs w:val="20"/>
                <w:color w:val="auto"/>
              </w:rPr>
            </w:pPr>
            <w:r>
              <w:rPr>
                <w:rFonts w:ascii="Arial" w:cs="Arial" w:eastAsia="Arial" w:hAnsi="Arial"/>
                <w:sz w:val="14"/>
                <w:szCs w:val="14"/>
                <w:b w:val="1"/>
                <w:bCs w:val="1"/>
                <w:color w:val="auto"/>
                <w:w w:val="93"/>
              </w:rPr>
              <w:t>Three Months Ended September 30,</w:t>
            </w: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gridSpan w:val="4"/>
          </w:tcPr>
          <w:p>
            <w:pPr>
              <w:jc w:val="right"/>
              <w:ind w:right="292"/>
              <w:spacing w:after="0" w:line="145" w:lineRule="exact"/>
              <w:rPr>
                <w:sz w:val="20"/>
                <w:szCs w:val="20"/>
                <w:color w:val="auto"/>
              </w:rPr>
            </w:pPr>
            <w:r>
              <w:rPr>
                <w:rFonts w:ascii="Arial" w:cs="Arial" w:eastAsia="Arial" w:hAnsi="Arial"/>
                <w:sz w:val="14"/>
                <w:szCs w:val="14"/>
                <w:b w:val="1"/>
                <w:bCs w:val="1"/>
                <w:color w:val="auto"/>
                <w:w w:val="98"/>
              </w:rPr>
              <w:t>Nine Months Ended September 30,</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(Decrease)</w:t>
            </w: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right"/>
              <w:ind w:right="139"/>
              <w:spacing w:after="0" w:line="139"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65"/>
        </w:trPr>
        <w:tc>
          <w:tcPr>
            <w:tcW w:w="2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0.7577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0.7251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0.7418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0.7628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1.3125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1.5487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1.3931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1.5321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0.0036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0.0036</w:t>
            </w:r>
          </w:p>
        </w:tc>
        <w:tc>
          <w:tcPr>
            <w:tcW w:w="10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0.0036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0.0036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0.0154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0.0158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Malaysian ringgit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0.2472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0.2474</w:t>
            </w:r>
          </w:p>
        </w:tc>
        <w:tc>
          <w:tcPr>
            <w:tcW w:w="10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0.2452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0.2658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0.7221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0.6508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0.6922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0.7113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0.2573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0.2657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0.2563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0.2685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94"/>
        </w:trPr>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NINE MONTHS ENDED SEPTEMBER 30,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 months ended September 30, 2016 and 2015 for our EFT Processing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152,586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354,282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286,650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67,632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10,851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165,520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29,766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12,954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11,862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1,092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37,601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34,466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3,135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2,036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28,411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23,274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5,137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93,148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14,569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253,686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212,926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40,760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59,438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40,316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19,122</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100,596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73,724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26,872</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ATMs as of September 30,</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29,276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21,128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8,148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29,276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8,148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27,350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21,781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5,569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25,802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21,348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4,454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EFT Processing Segment total revenues for the three and nine months ended September 30, 2016 were $152.6 million and $354.3 million, respectively, an increase of $33.7 million or 28% and $67.6 million or 24% as compared to the same periods in 2015. The increases in total revenues for the three and nine months ended September 30, 2016 were primarily due to an increase in the number of ATMs under management, primarily in Europe and India, partially offset by the impact of the U.S. dollar strengthening against key foreign currencies. Foreign currency movements reduced total revenues by approximately $0.6 million and $5.0 million for the three and nine months ended September 30, 2016, respectively, compared to the same periods in 2015. Specifically, the increase in the number of ATMs contributed to increases in the number of transactions processed, including dynamic currency conversion ("DCC") transactions, primarily in Europe.</w:t>
      </w:r>
    </w:p>
    <w:p>
      <w:pPr>
        <w:spacing w:after="0" w:line="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EFT Processing business has also been affected by the ongoing economic crisis in Greece and the related capital controls implemented by the Greek government. In mid-2015, the Greek government implemented restrictions on the transfer of funds and cash withdrawals, which shifted the consumer behavior towards POS card payments. As result, there was an increase in transactions processed on our network of POS devices in Greece, which contributed to an increase in POS revenues. For the nine months ended September 30, 2016, revenues were also higher than the same period in the prior year as a result of a higher volume of sales of POS devices in Greece.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revenues per ATM were $1,860 and $1,526 for the three and nine months ended September 30, 2016, respectively, compared to $1,820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$1,492 for the three and nine months ended September 30, 2015, respectively. The increases were primarily due to an increase in ATMs under management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Europe and DCC transactions processed, partly offset by the strengthening of the U.S. dollar against key foreign currencies. Revenues per transaction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$0.31 for the third quarter and $0.26 for the first nine months of 2016 compared to $0.30 for the third quarter and $0.25 for the first nine months of 2015.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were primarily the result of revenue growth from DCC transactions, which earns higher revenues per transaction than other ATM or card based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services, partially offset by ATM and transaction growth in India where we earn lower revenues per transaction along with the impact of the U.S. dollar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strengthening against key foreign currencies.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EFT Processing Segment direct operating costs were $62.4 million and $165.5 million for the three and nine months ended September 30, 2016, respectively, an increase of $10.9 million or 21% and $29.8 million or 22% as compared to the same periods in 2015.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increases in direct operating costs for the three and nine months ended September 30, 2016 were primarily due to an increase in the number of ATMs under management, partly offset by the impact of the U.S. dollar strengthening against key foreign currencies.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Gross profit, which is calculated as revenues less direct operating costs, was $90.2 million and $188.8 million for the three and nine months ended September 30, 2016, respectively, compared to $67.3 million and $150.9 million for the three and nine months ended September 30, 2015, respectively. The increases in gross profits were primarily due to the growth in revenues from the increases in ATMs under management and DCC transactions processed. Gross profit as a percentage of revenues (“gross margin”) were 59.1% and 53.3% for the three and nine months ended September 30, 2016, respectively, compared to 56.6% and 52.6% for the three and nine months ended September 30, 2015, respectively. The increases in gross profits as a percentage of revenue were primarily due to the increase in ATMs under management and DCC transactions processed, which earn higher revenues per transaction than other ATM or card based services. These increases were partly offset by increased operating costs due to the expansion of our ATM network, which includes fixed costs for our independent ATMs and increased site rental cost as we negotiate new locations and contracts, along with growth in the India market where we earn lower revenue per transaction.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Salaries and benefits increased $1.1 million or 9%, and $3.1 million or 9% for the three and nine months ended September 30, 2016, respectively, compared to the same periods in 2015. These increases in salaries and benefits were primarily attributable to additional headcount to support an increase in the number of ATMs and POS devices under management. As a percentage of revenues, these costs were 8.5% for the third quarter and 10.6% for the first nine months of 2016, compared to 10.0% for third quarter and 12.0% for the first nine months of 2015. The decreases were primarily due to the growth in revenues earned from DCC and other value added service transactions on our ATMs under management, which require minimal incremental support costs.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Selling, general and administrative expenses for the three and nine months ended September 30, 2016 were $7.6 million and $22.2 million, respectively, an increase of $0.6 million or 8% and $2.7 million or 14% as compared to the same periods in 2015. The increases were primarily due to the additional support costs as a result of the increase in the number of ATMs under management. As a percentage of revenues, selling, general and administrative expenses were 5.0% for the third quarter and 6.3% for the first nine months of 2016, compared to 5.9% for third quarter and 6.8% for the first nine months of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Depreciation and amortization expense increased $2.0 million and $5.1 million for the three and nine months ended September 30, 2016, respectively, compared to the same periods in 2015. The increases were primarily attributable to the deployment of additional ATMs under management, including more expensive cash recycling ATMs, and software assets. As a percentage of revenues, depreciation and amortization expense was essentially flat at 6.7% for the third quarter and 8.0% for the first nine months of 2016, compared to 6.8% and 8.1% for the same periods of 2015.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EFT Processing Segment operating income for the three and nine months ended September 30, 2016 was $59.4 million and $100.6 million, respectively, an increase of $19.1 million or 47% and $26.9 million or 36% as compared to the same periods of 2015. EFT Processing Segment operating income for the three and nine months ended September 30, 2016 increased primarily from higher operating revenues due to the additional number of ATMs under management and growth in revenues earned from DCC and other value added service transactions.</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income as a percentage of revenues (“operating margin”) was 39.0% for the third quarter and 28.4% for the first nine months of 2016 compared to 33.9% for the third quarter and 25.7% for the first nine months of 2015. The increases in operating margins were primarily attributable to higher operating revenues being partially offset by variable expenses incurred to support the increased revenues and additional ATMs under management. Operating income per transaction was $0.12 and $0.10 for the third quarter of 2016 and 2015, respectively, and $0.07 for both the nine months ended September 30, 2016 and 2015.</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nine months ended September 30, 2016 and 2015 for our epay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1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1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7"/>
              </w:rPr>
              <w:t>Increase</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(Decrease)</w:t>
            </w:r>
          </w:p>
        </w:tc>
        <w:tc>
          <w:tcPr>
            <w:tcW w:w="20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167,226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174,547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497,945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517,296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128,212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133,124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379,423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607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38,052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37,172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880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74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8,498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8,465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152,431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159,940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451,264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470,936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(19,672)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24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188</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46,681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46,360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321</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epay Segment total revenues for the three and nine months ended September 30, 2016 were $167.2 million and $497.9 million, respectively, a decrease of $7.3 million or 4% and $19.4 million or 4% as compared to the same periods in 2015. The decreases in total revenues for the three and nine months ended September 30, 2016 were primarily due to the impact of the U.S. dollar strengthening against key foreign currencies, and a decrease in prepaid mobile transactions processed in the U.S. and U.K. due to competitive pressures on prepaid mobile carriers. Foreign currency movements reduced total revenues by approximately $1.4 million and $10.8 million for the three and nine months ended September 30, 2016, respectively, compared to the same periods in 2015. The decreases were partially offset by the transaction growth of non-mobile products processed in Germany, U.K. and Australia. For the three and nine months ended September 30, 2016, the decreased revenues were also the result of high promotional activities for non-mobile transactions in a particular market during the prior periods which did not recur in current periods; however, this decrease was partially offset by an unexpected high volume of non-mobile transactions in another emerging market.</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per transaction were $0.53 for the third quarter and $0.52 for the first nine months of 2016 compared to $0.52 for the third quarter and $0.52 for the first nine months of 2015. The increase in revenues per transaction for the third quarter was driven by the increase in the number of non-mobile transactions processed, for which we generally earn higher revenues per transaction than mobile transactions, partially offset by the impact of the U.S. dollar strengthening against key foreign currencies and a decline in low value mobile transactions in India.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epay Segment direct operating costs were $128.2 million and $379.4 million for the three and nine months ended September 30, 2016, respectively, a decrease of $4.9 million or 4% and $17.4 million or 4% as compared to the same periods in 2015. Direct operating costs in our epay Segment include the commissions we pay to retail merchants for the distribution and sale of prepaid mobile airtime and other prepaid products, expenses required to operate POS terminals and the cost of vouchers sold and physical gifts fulfilled. The decreases in direct operating costs for the three and nine months ended September 30, 2016 were primarily due to the net impact of the U.S. dollar strengthening against key foreign currencies and the decrease in prepaid mobile transactions processed in the U.S. and U.K. The decreases were partly offset by additional cost to support the transaction growth of our non-mobile products.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Gross profit was $39.0 million and $118.5 million for the three and nine months ended September 30, 2016, respectively, as compared to $41.4 million and $120.4 million for the three and nine months ended September 30, 2015, respectively. The decreases in gross profit were due to the net impact of the U.S. dollar strengthening against key foreign currencies and the decrease in prepaid mobile transactions processed in the U.S. and U.K.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three and nine months ended September 30, 2016, gross margins were essentially flat compared to the same periods in the prior year. Gross margins were 23.3% and 23.8% for the three and nine months ended September 30, 2016, respectively, compared to 23.7% and 23.3% for the same periods in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Salaries and benefits expense increased slightly for the three and nine months ended September 30, 2016 compared to the same periods in 2015. This was primarily due to the increase in salaries, benefits and bonus expense, which was mainly driven by higher headcount in an effort to grow the segment. As a percentage of revenues, salaries and benefits increased to 8.0% and 7.6% for the three and nine months ended September 30, 2016, respectively, compared to 7.3% and 7.2% for the same periods in 2015, primarily due to headcount growth exceeding transaction growth.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Selling, general and administrative expenses for the three and nine months ended September 30, 2016 were $8.1 million and $25.3 million, respectively, a decrease of 29% and 11% as compared to the same periods in 2015. Selling, general and administrative expenses for the three and nine months ended September 30, 2016 decreased due to management of cost and due to a deferred cost write-down that was incurred in the third quarter of 2015 which did not recur in 2016. As a percentage of revenues, selling, general and administrative expenses were 4.9% and 5.1% for the three and nine months ended September 30, 2016, respectively, compared to 6.5% and 5.5% for the same periods in 2015.</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Depreciation and amortization expense primarily represents depreciation of POS terminals we place in retail stores and the amortization of acquired intangible assets. Depreciation and amortization expenses were flat for the three and nine months ended September 30, 2016 compared to the same periods in 2015. As a percentage of revenues, depreciation and amortization expenses was 2% for the three and nine months ended September 30, 2016 and 2015.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epay Segment operating income for the three and nine months ended September 30, 2016 was $14.8 million and $46.7 million, respectively, an increase of $0.2 million and $0.3 million as compared to the same periods in 2015. epay Segment operating income for the three and nine months ended September 30, 2016 was essentially flat when compared to 2015 as the result of lower revenues largely offset by lower support costs.</w:t>
      </w:r>
    </w:p>
    <w:p>
      <w:pPr>
        <w:spacing w:after="0" w:line="5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Operating margin increased to 8.8% and 9.4% for the three and nine months ended September 30, 2016, respectively, from 8.4% and 9.0% for the same periods in 2015. Operating income per transaction was $0.05 for both the three and nine months ended September 30, 2016, compared to $0.04 and $0.05 for the same periods in 2015. Revenues per transaction remained constant for the nine months ended September 30, 2016 and increased slightly for the third quarter of 2016 compared to the same periods in 2015 despite the decrease in the number of transactions due to the increase in the number of non-mobile transactions processed, for which we generally earn higher revenues per transaction than mobile transactions.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 months ended September 30, 2016 and 2015 for the Money Transfer Segment: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204,611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16,379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587,664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498,689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88,975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109,944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97,928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309,706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49,698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38,365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36,187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2,178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114,582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100,581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14,001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23,924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68,930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5,841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7,195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7,011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21,868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2,165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179,428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164,482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14,946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515,086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443,381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71,705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25,183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23,750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1,433</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72,578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55,308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17,270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Money Transfer Segment total revenues for the three and nine months ended September 30, 2016 were $204.6 million and $587.7 million, respectively, an increase of $16.4 million or 9% and $89.0 million or 18% as compared to the same periods in 2015. The increases in total revenues for the three and nine months ended September 30, 2016 were primarily due to increases in the number of money transfers processed, driven by growth in our U.S. and foreign agent and correspondent payout networks. Our domestic Walmart-2-Walmart money transfer service and organic growth accounted for a significant portion of the growth during these periods. The acquisition of IME (M) Sdn Bhd ("IME") and XE Corporation ("XE") completed during 2015 also contributed to the increase in total revenues for the nine months ended September 30, 2016. The increases were partly offset by the U.S. dollar strengthening against key foreign currencies.</w:t>
      </w:r>
    </w:p>
    <w:p>
      <w:pPr>
        <w:spacing w:after="0" w:line="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Revenues per transaction decreased to $9.61 and $9.71 for the three and nine months ended September 30, 2016, respectively, compared to $9.91 and $10.09 for the three and nine months ended September 30, 2015, respectively. The decreases were primarily due to the impact of the U.S. dollar strengthening against key foreign currencies, the increase in volume from our Walmart money transfer product, which earns lower revenues per transaction than other money transfer services and a third quarter 2015 benefit from increased foreign currency exchange margins related to a market dislocation on a currency pair in one of our markets which did not recur in 2016. Partly offsetting the decreases in revenues per transaction was the impact of the HiFX transactions which earn higher revenues per transaction than other money transfer services.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Money Transfer Segment direct operating costs were $109.9 million and $309.7 million for the three and nine months ended September 30, 2016, respectively, an increase of $12.0 million or 12% and $49.7 million or 19% as compared to the same periods in 2015.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increases in direct operating costs for the three and nine months of 2016 were primarily due to growth in the number of money transfer transactions processed in both the U.S. and foreign markets and the impact of the acquisition of IME.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Gross profits were $94.7 million and $278.0 million for the three and nine months ended September 30, 2016, respectively, as compared to $90.3 million and $238.7 million for the three and nine months ended September 30, 2015, respectively. The increases in gross profits were primarily due to growth in the number of money transfer transactions processed in both the U.S. and foreign markets. The impact of our acquisitions of IME and XE and the activity in our HiFX business due to the Brexit vote, also contributed to the increase in gross profits for the nine months ended September 30, 2016.</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During the three and nine months ended September 30, 2016, gross margins decreased to 46.3% and 47.3% for the three and nine months ended September 30, 2016, respectively, compared to 48.0% and 47.9% for the three and nine months ended September 30, 2015, respectively. The decrease is primarily due to the growth of our Walmart money transfer product in the U.S., which earns a lower gross profit per transaction than other money transfer services.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Salaries and benefits increased $2.2 million or 6% and $14.0 million or 14% for the three and nine months ended September 30, 2016, respectively, compared to the same periods in 2015. The increases in salaries and benefits were primarily due to the expansion of our operations in foreign markets. The acquisitions of IME and XE also contributed to the increase in salaries and benefits for the nine months ended September 30, 2016. As a percentage of revenues, salaries and benefits improved to 18.8% for the third quarter and 19.5% for the first nine months of 2016 from 19.2% for the third quarter and 20.2% for the first nine months of 2015. The decrease is primarily due to the increases in the number of money transfers processed, and the transaction growth exceeding headcount growth.</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Selling, general and administrative expenses for the three and nine months ended September 30, 2016 were $23.9 million and $68.9 million, respectively, an increase of $0.6 million or 2% and $5.8 million or 9% as compared to the same periods in 2015. The increases were primarily due to expenses incurred to support the expansion of our money transfer products in both the U.S. and foreign markets. The acquisitions of IME and XE also contributed to the increase in selling, general, and administrative expenses for the nine months ended September 30, 2016.</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percentage of revenues, selling, general and administrative expenses decreased to 11.7% for both the three and nine months ended September 30, 2016, compared to12.4% and 12.7% for the same periods of 2015. The decreases were primarily due to increases in the number of money transfers processed, which did not require similar increases in support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Depreciation and amortization primarily represents amortization of acquired intangible assets and depreciation of money transfer terminals, computers and software, leasehold improvements and office equipment. Depreciation and amortization expense increased 3% and 11% for the three and nine months ended September 30, 2016, respectively, compared to the same periods in 2015. The increase for the nine months ended September 30, 2016 was primarily due to the amortization of intangible assets related to the acquisitions of IME and XE and investments made to support the growth in the business. Partly offsetting the increase was the reduction in expenses associated with certain intangible assets that became fully amortized in the first quarter of 2015.</w:t>
      </w:r>
    </w:p>
    <w:p>
      <w:pPr>
        <w:spacing w:after="0" w:line="15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a percentage of revenues, depreciation and amortization expense was 3.5% for the third quarter and 3.7% for the first nine months of 2016 as compared to 3.7% and 4.0% for the same periods of 2015. The decreases were primarily due to certain intangible assets becoming fully amortized and the effect of revenues earned from our Walmart money transfer product, which requires less capital investment than other money transfer products.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Money Transfer Segment operating income for the three and nine months ended September 30, 2016 was $25.2 million and $72.6 million, respectively, an increase of $1.4 million or 6% and $17.3 million or 31% as compared to the same periods of 2015. Money Transfer Segment operating income for the three and nine months ended September 30, 2016 increased primarily due to the growth in the number of money transfers processed. The impact of our acquisitions of IME and XE also contributed to the increase in gross profits for the nine months ended September 30, 2016. The increases were partly offset by the additional salaries and benefits and other costs incurred to support the growth in the business.</w:t>
      </w:r>
    </w:p>
    <w:p>
      <w:pPr>
        <w:spacing w:after="0" w:line="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a percentage of revenues, operating margins were 12.3% and 12.4% for the three and nine months ended September 30, 2016, respectively, compared to 12.6% and 11.1% for same periods of 2015. Operating income per transaction was $1.18 and $1.20 for the three and nine months ended September 30, 2016, respectively, compared to $1.25 and $1.12 for the same periods in 2015. Operating margin and operating income per transaction for the third quarter of 2016 decreased primarily due to the third quarter 2015 results including a benefit of increased foreign currency exchange margins related to a market dislocation on a currency pair that did not recur in 2016 and additional salaries and benefits and other costs incurred to support the growth in the business. Operating margin and operating income per transaction improved for the nine months ended September 30, 2016 primarily due to the increases in the number of money transfers processed partially offset by the additional salaries and benefits and other costs incurred to support the growth in the business, including cost incurred for the migration of the XE money transfers to HiFX's platform set for the fourth quarter of 2016.</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nine months ended September 30, 2016 and 2015 for Corporate Services: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2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202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40" w:type="dxa"/>
            <w:vAlign w:val="bottom"/>
          </w:tcPr>
          <w:p>
            <w:pPr>
              <w:spacing w:after="0"/>
              <w:rPr>
                <w:sz w:val="12"/>
                <w:szCs w:val="12"/>
                <w:color w:val="auto"/>
              </w:rPr>
            </w:pPr>
          </w:p>
        </w:tc>
        <w:tc>
          <w:tcPr>
            <w:tcW w:w="76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2,800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Selling, general and</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ind w:left="20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0"/>
                <w:szCs w:val="20"/>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5,303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5,492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252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8,948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8,399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549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28,188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25,775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2,413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Overall, operating expenses for Corporate Services were $8.9 million and $28.2 million for the three and nine months ended September 30, 2016, respectively, an increase of 7% and 9% as compared to the same periods in 2015. The increases in salaries and benefits were primarily due to an increase in bonus expense related to the Company's improved performance. The decreases in selling, general and administrative expenses were primarily attributable to a charge for a contingency related to a prior year recorded in 2015 which did not recur in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6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2280" w:type="dxa"/>
            <w:vAlign w:val="bottom"/>
            <w:gridSpan w:val="3"/>
            <w:vMerge w:val="restart"/>
          </w:tcPr>
          <w:p>
            <w:pPr>
              <w:jc w:val="right"/>
              <w:ind w:right="41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7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loss, net</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14,483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(34,066)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32,767</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Other (losses) gains</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19,903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19,588</w:t>
            </w:r>
          </w:p>
        </w:tc>
        <w:tc>
          <w:tcPr>
            <w:tcW w:w="100" w:type="dxa"/>
            <w:vAlign w:val="bottom"/>
          </w:tcPr>
          <w:p>
            <w:pPr>
              <w:spacing w:after="0"/>
              <w:rPr>
                <w:sz w:val="21"/>
                <w:szCs w:val="21"/>
                <w:color w:val="auto"/>
              </w:rPr>
            </w:pPr>
          </w:p>
        </w:tc>
        <w:tc>
          <w:tcPr>
            <w:tcW w:w="1340" w:type="dxa"/>
            <w:vAlign w:val="bottom"/>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(8,902)</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13,332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(50,591)</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49,471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decreases in interest income for the three and nine months ended September 30, 2016 compared to the same periods of 2015 were primarily due to a decrease in interest earned on funds held in New Zealand, Poland and Russia.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increases in interest expense for the three and nine months ended September 30, 2016 compared to the same periods of 2015 were primarily related to the additional borrowings under the revolving credit facility to fund the operating cash for our Independent ATM Deployed (“IAD”) networks.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recorded net foreign currency exchange losses of $1.5 million and $1.3 million for the three and nine months ended September 30, 2016, respectively, as compared to net foreign currency exchange losses of $16.0 million and $34.1 million for the same periods in 2015. These realized and unrealized net foreign currency exchange losses reflect the fluctuation in the value of the U.S. dollar against the currencies of the countries in which we operated during the respective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(losses) gains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results for the second quarter of 2016 included an investment gain of $19.4 million which is the result of our membership in Visa Europe Limited ("Visa Europe") which was sold to Visa, Inc. ("Visa") on June 21, 2016. Visa closed the transaction and provided consideration to the members of Visa Europe consisting of cash consideration of approximately €12.19 billion, issued (a) 2,480,466 shares of Series B Convertible Participating Preferred Stock and (b) 3,156,823 shares of Series C Convertible Participating Preferred Stock, and agreed to make an additional cash payment of €1.12 billion on the third anniversary of closing to Visa Europe members. Our portion of the consideration consisted of cash of $11.9 million, Visa Series B Preferred Shares which are convertible into Visa common shares with an approximate value of $6.4 million, and a long-term receivable of approximately $1.1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The Company's effective income tax rates were 25.5% and 23.7% for the three and nine months ended </w:t>
      </w:r>
      <w:r>
        <w:rPr>
          <w:rFonts w:ascii="Arial" w:cs="Arial" w:eastAsia="Arial" w:hAnsi="Arial"/>
          <w:sz w:val="17"/>
          <w:szCs w:val="17"/>
          <w:color w:val="252525"/>
        </w:rPr>
        <w:t>September 30, 2016</w:t>
      </w:r>
      <w:r>
        <w:rPr>
          <w:rFonts w:ascii="Arial" w:cs="Arial" w:eastAsia="Arial" w:hAnsi="Arial"/>
          <w:sz w:val="17"/>
          <w:szCs w:val="17"/>
          <w:color w:val="auto"/>
        </w:rPr>
        <w:t>, respectively, compared to 34.8% and 34.4% for the three and nine months ended September 30, 2015, respectively. The effective income tax rates for the three and nine months ended September 30, 2015 were significantly influenced by foreign currency exchange losses. Excluding this item from pre-tax income, as well as the related tax effect, the effective income tax rates were 25.8% and 25.4% for the three and nine months ended September 30, 2015, respectively.</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effective income tax rates for the three and nine months ended September 30, 2016 and 2015, as adjusted for foreign currency exchange gains and losses,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carryforwards to offset the pre-tax U.S. GAAP income. Other than the impact of foreign currency exchange losses for the 2015 periods, there was no material change in the effective income tax rates for the three and nine months ended September 30, 2016 compared to the same periods of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OR LOSS ATTRIBUTABLE TO NONCONTROLLING INTERESTS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Universal Solution Providers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EFT - UAE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income attributable to Euronet was $60.7 million and $145.5 million for the three and nine months ended September 30, 2016, respectively, an increase of $29.4 million and $80.2 million as compared to the same periods in 2015. The increase in net income for the first nine months of 2016 was primarily due to an increase in operating income of $42.1 million, a decrease of $32.8 million in net foreign currency exchange losses, and increase in investment income of $19.4 million. The increases were partly offset by an increase in income tax expense of $11.0 million, an increase in interest expense of $2.5 million and a decrease in other non-operating costs of $0.5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2016 and December 31, 2015, we had working capital, which is calculated as the difference between total current assets and total current liabilities, of $409.6 million and $227.1 million, respectively. Our ratio of current assets to current liabilities at September 30, 2016 and December 31, 2015 was 1.44 and 1.25, respectively.</w:t>
      </w:r>
    </w:p>
    <w:p>
      <w:pPr>
        <w:spacing w:after="0" w:line="7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require substantial working capital to finance operations. In the Money Transfer Segment, we fund the payout of the majority of our consumer-to-consumer money transfer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the majority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facility and cash flows from operations. As of September 30, 2016, we had approximately $279 million of our own cash in use or designated for use in our ATM network, which is recorded in cash and cash equivalents and trade accounts receivable, for ATM withdrawals pending settlement, on the Consolidated Balance Sheet.</w:t>
      </w:r>
    </w:p>
    <w:p>
      <w:pPr>
        <w:spacing w:after="0" w:line="5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had cash and cash equivalents of $661.3 million at September 30, 2016, of which $575.9 million was held outside of the United States and is expected to be indefinitely reinvested for continued use in foreign operations. Repatriation of these assets to the U.S. could have negative tax consequences.</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nine month periods ended September 30, 2016 and 2015 (in thousands):</w:t>
      </w:r>
    </w:p>
    <w:p>
      <w:pPr>
        <w:spacing w:after="0" w:line="117"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217,491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231,518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(173,112)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31,250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(28,832)</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203,778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60,824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Cash flows provided by operating activities were $217.5 million for the first nine months of 2016 compared to $231.5 million for the first nine months of 2015. The decrease is primarily due to fluctuations in working capital mainly associated with the timing of the settlement processes with content providers in the epay Segment and with correspondents in the Money Transfer Segment, partly offset by improved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Cash flows used in investing activities were $55.6 million for the first nine months of 2016 compared to $173.1 million for the first nine months of 2015. The decrease is primarily due to cash paid for the IME and XE acquisitions in 2015 and the proceeds of $11.9 million received for the sale of our ownership interest in Visa Europe, partially offset by increased capital expenditures related to our ATM network expansion. During the first nine months of 2016, we used $61.6 million for purchases of property and equipment compared to $55.3 million during the first nine months of 2015. Cash used for software development and other investing activities totaled $3.7 million and $3.8 million for the first nine months of 2016 and 2015, respectively.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Cash flows provided by financing activities were $31.2 million for the first nine months of 2016 compared to $31.3 million for the first nine months of 2015. Our financing activities for the first nine months of 2016 consisted of net borrowings of $103.9 million compared to net debt borrowings of $31.4 million for the first nine months of 2015. The increase in net borrowings for the first nine months of 2016 compared to the same period of 2015 was the result of additional borrowings under the revolving credit facility to fund the operating cash of our IAD networks and finance the repurchase of $75.6 million of our stock in the open market. Additionally, we used $2.0 million and $2.5 million during the first nine months of 2016 and 2015, respectively, for capital lease repayments. During the first nine months of 2016, we paid $0.9 million for the amount of payroll taxes represented by the common stock withheld on restricted stock vestings and stock option exercises compared to $5.1 million for the same period of 2015. We received proceeds from stock option exercises of $5.1 million and $6.7 million for the first nine months of 2016 and 2015,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September 30, 2016, we had a $675 million senior secured credit facility that matures on April 9, 2019 (the "Credit Facility") consisting of a $590 million revolving credit facility, a $10 million India revolving credit facility and a $75 million term loan ("Term Loan A"), which has been reduced to $61.9 million through principal amortization payments. The revolving credit facility allows for borrowings in U.S. dollars, euros, British pounds,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2016, fees and interest on borrowings varied based upon the Company's consolidated total leverage ratio (as defined in the Company's Amended and Restated Credit Agreement) (the "Credit Agreement")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30, 2016, we had borrowings of $61.9 million outstanding under the term loan. We had $114.4 million of borrowings and $46.6 million of stand-by letters of credit outstanding under the revolving credit facility as of September 30, 2016. The remaining $439.0 million under the revolving credit facility was available for borrowing. As of September 30, 2016, the weighted average interest rates under the revolving credit facility and Term Loan A were 2.69% and 2.15%, respectively, excluding amortization of deferred financing costs.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We have $402.5 million in principal amount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Short-term debt obligations as of September 30, 2016 were primarily comprised of $8.4 million of payments due in the next twelve months under the Term Loan A. Certain of our subsidiaries also have available credit lines and overdraft facilities to generally supplement short-term working capital requirements. As of September 30, 2016, there was $8.1 million outstanding under these facilities.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including capital lease expenditures, for the first nine months of 2016 were $64.8 million. These capital expenditures were made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2016 are currently estimated to range from approximately $85.0 million to $95.0 million.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January 2016, we announced that our Board of Directors had authorized a stock repurchase program ("2016 Program") allowing us to repurchase up to</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$100 million in value or 5 million shares of our common stock through December 10, 2017. We purchased 1.1 million shares at a weighted average purchase price of $65.74 for a total value of $75.6 million during the first nine months of 2016. The remaining $24.4 million of value authorized under the 2016 Program remains available for share repurchases.</w:t>
      </w:r>
    </w:p>
    <w:p>
      <w:pPr>
        <w:spacing w:after="0" w:line="16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June 2016, the Board of Directors authorized an additional stock repurchase program ("Repurchase Program") with an effective date of July 28, 2016, allowing Euronet to repurchase up to $125 million in value or 3 million shares of its common stock through June 14, 2018. No repurchases have been made under this program.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2016, there were no material changes from the disclosure in our Annual Report on Form 10-K for the year ended December 31, 2015. To date, we are not aware of any significant claims made by the indemnified parties or parties to whom we have provided guarantees on behalf of our subsidiaries and, accordingly, no liabilities have been recorded as of September 30, 2016. See also Note 11,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of September 30, 2016, our future contractual obligations have not changed significantly from the amounts reported within our 2015 Form 10-K, other than those resulting from changes in the amount of outstanding debt discussed in the Liquidity and Capital Resources section.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100"/>
        <w:spacing w:after="0" w:line="254" w:lineRule="auto"/>
        <w:rPr>
          <w:sz w:val="20"/>
          <w:szCs w:val="20"/>
          <w:color w:val="auto"/>
        </w:rPr>
      </w:pPr>
      <w:r>
        <w:rPr>
          <w:rFonts w:ascii="Arial" w:cs="Arial" w:eastAsia="Arial" w:hAnsi="Arial"/>
          <w:sz w:val="18"/>
          <w:szCs w:val="18"/>
          <w:color w:val="auto"/>
        </w:rPr>
        <w:t>As of September 30, 2016, our total debt outstanding was $540.0 million. Of this amount, $355.6 million, or 66% of our total debt obligations, relates to our Convertible Notes that have a fixed coupon rate. Our $402.5 million principal amount of Convertible Notes, issued in October 2014, accrue cash interest at a rate of 1.5% of the principal amount per annum. Based on quoted market prices, as of September 30, 2016, the fair value of our fixed rate Convertible Notes was $546.9 million, compared to a carrying value of $355.6 million. Interest expense for these notes, including accretion and amortization of deferred debt issuance costs, has a weighted average interest rate of 4.7% annually. Additionally, $176.3 million, or 33% of our total debt obligations, relates to debt borrowings under our Credit Facility. If we were to maximize the potential borrowings available under the revolving credit facility and maintain these borrowings for one year, a 1% (100 basis points) increase in the applicable interest rate would result in additional annual interest expense to the Company of approximately $6.2 million.</w:t>
      </w:r>
    </w:p>
    <w:p>
      <w:pPr>
        <w:spacing w:after="0" w:line="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remaining $8.1 million, or 1%, of our total debt obligations,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Additionally, as of September 30, 2016, we had approximately $7.4 million of capitalized leases with fixed payment and interest terms that expire between 2016 and 2020.</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first nine months of 2016, approximately 72%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September 30, 2016, we estimate that a 10% fluctuation in these foreign currency exchange rates would have the combined annualized effect on reported net income and working capital of approximately $80 million to $85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8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$90 million to</w:t>
      </w:r>
    </w:p>
    <w:p>
      <w:pPr>
        <w:spacing w:after="0"/>
        <w:rPr>
          <w:sz w:val="20"/>
          <w:szCs w:val="20"/>
          <w:color w:val="auto"/>
        </w:rPr>
      </w:pPr>
      <w:r>
        <w:rPr>
          <w:rFonts w:ascii="Arial" w:cs="Arial" w:eastAsia="Arial" w:hAnsi="Arial"/>
          <w:sz w:val="16"/>
          <w:szCs w:val="16"/>
          <w:color w:val="auto"/>
        </w:rPr>
        <w:t>$95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is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net on Consolidated Statements of Income. As of September 30, 2016, we had foreign currency derivative contracts outstanding with a notional value of $216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For derivative instruments our HiFX operations write for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September 30, 2016, we held foreign currency derivative contracts outstanding with a notional value of $1.2 billion, primarily in U.S. dollars, euros, British pounds, Australian dollars and New Zealand dollars, that were not designated as hedges and for which the majority mature within the next twelve months.</w:t>
      </w:r>
    </w:p>
    <w:p>
      <w:pPr>
        <w:spacing w:after="0" w:line="5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September 30, 2016, the Company had foreign currency forward contracts outstanding with a notional value of $261 million, primarily in British pounds, euros and Polish zloty.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 7, Derivative Instruments and Hedging Activities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2016.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September 30, 2016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12, Litigation and Contingencies, to the unaudited consolidated financial statements in this report is incorporated herein by reference.</w:t>
      </w:r>
    </w:p>
    <w:p>
      <w:pPr>
        <w:spacing w:after="0" w:line="6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252525"/>
        </w:rPr>
        <w:t xml:space="preserve">There were no material changes to the risk factors previously disclosed in our Annual Report on Form 10-K for the year ended </w:t>
      </w:r>
      <w:r>
        <w:rPr>
          <w:rFonts w:ascii="Arial" w:cs="Arial" w:eastAsia="Arial" w:hAnsi="Arial"/>
          <w:sz w:val="18"/>
          <w:szCs w:val="18"/>
          <w:color w:val="000000"/>
        </w:rPr>
        <w:t>December 31, 2015 and in our</w:t>
      </w:r>
      <w:r>
        <w:rPr>
          <w:rFonts w:ascii="Arial" w:cs="Arial" w:eastAsia="Arial" w:hAnsi="Arial"/>
          <w:sz w:val="18"/>
          <w:szCs w:val="18"/>
          <w:color w:val="252525"/>
        </w:rPr>
        <w:t xml:space="preserve"> </w:t>
      </w:r>
      <w:r>
        <w:rPr>
          <w:rFonts w:ascii="Arial" w:cs="Arial" w:eastAsia="Arial" w:hAnsi="Arial"/>
          <w:sz w:val="18"/>
          <w:szCs w:val="18"/>
          <w:color w:val="000000"/>
        </w:rPr>
        <w:t>Form 10-Q for the quarter ended June 30, 2016.</w:t>
      </w:r>
    </w:p>
    <w:p>
      <w:pPr>
        <w:spacing w:after="0" w:line="200" w:lineRule="exact"/>
        <w:rPr>
          <w:sz w:val="20"/>
          <w:szCs w:val="20"/>
          <w:color w:val="auto"/>
        </w:rPr>
      </w:pPr>
    </w:p>
    <w:p>
      <w:pPr>
        <w:spacing w:after="0" w:line="2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5"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Computation of Ratio of Earnings to Fixed Charges</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8"/>
              </w:rPr>
              <w:t>The following materials from Euronet Worldwide, Inc.’s Quarterly Report on Form 10-Q for the quarter ended September 30, 2016,</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4"/>
              </w:rPr>
              <w:t>formatted in XBRL (eXtensible Business Reporting Language): (i) Consolidated Balance Sheets at September 30, 2016 (unaudited) and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1"/>
              </w:rPr>
              <w:t>December 31, 2015, (ii) Consolidated Statements of Income (unaudited) for the three and nine months ended September 30, 2016 and 2015,</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3"/>
              </w:rPr>
              <w:t>(iii) Consolidated Statements of Comprehensive Income (unaudited) for the three and nine months ended September 30, 2016 and 2015,</w:t>
            </w:r>
          </w:p>
        </w:tc>
      </w:tr>
    </w:tbl>
    <w:p>
      <w:pPr>
        <w:ind w:left="1180" w:right="540"/>
        <w:spacing w:after="0" w:line="257" w:lineRule="auto"/>
        <w:rPr>
          <w:sz w:val="20"/>
          <w:szCs w:val="20"/>
          <w:color w:val="auto"/>
        </w:rPr>
      </w:pPr>
      <w:r>
        <w:rPr>
          <w:rFonts w:ascii="Arial" w:cs="Arial" w:eastAsia="Arial" w:hAnsi="Arial"/>
          <w:sz w:val="18"/>
          <w:szCs w:val="18"/>
          <w:color w:val="auto"/>
        </w:rPr>
        <w:t>(iv) Consolidated Statements of Cash Flows (unaudited) for the nine months ended September 30, 2016 and 2015, and (v) Notes to the Unaudited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28,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6"/>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240" w:top="125" w:right="3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60" w:type="dxa"/>
            <w:vAlign w:val="bottom"/>
            <w:gridSpan w:val="4"/>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56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r>
      <w:tr>
        <w:trPr>
          <w:trHeight w:val="228"/>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5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48,040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190,547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99,026</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23,837</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pretax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91,887</w:t>
            </w:r>
          </w:p>
        </w:tc>
        <w:tc>
          <w:tcPr>
            <w:tcW w:w="10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56,735</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218,448</w:t>
            </w: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122,863</w:t>
            </w:r>
          </w:p>
        </w:tc>
      </w:tr>
      <w:tr>
        <w:trPr>
          <w:trHeight w:val="237"/>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4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6,690</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20,968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18,482</w:t>
            </w: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fixed charges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10,321</w:t>
            </w:r>
          </w:p>
        </w:tc>
        <w:tc>
          <w:tcPr>
            <w:tcW w:w="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8,695</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27,901</w:t>
            </w: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23,837</w:t>
            </w:r>
          </w:p>
        </w:tc>
      </w:tr>
      <w:tr>
        <w:trPr>
          <w:trHeight w:val="230"/>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5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2016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October 28, 2016</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2016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October 28,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2019-12-29T10:56:09Z</dcterms:created>
  <dcterms:modified xsi:type="dcterms:W3CDTF">2019-12-29T10:56:09Z</dcterms:modified>
</cp:coreProperties>
</file>