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3" w:lineRule="exact"/>
        <w:rPr>
          <w:sz w:val="24"/>
          <w:szCs w:val="24"/>
          <w:color w:val="auto"/>
        </w:rPr>
      </w:pPr>
    </w:p>
    <w:p>
      <w:pPr>
        <w:ind w:left="3860" w:right="2500" w:hanging="3555"/>
        <w:spacing w:after="0" w:line="303" w:lineRule="auto"/>
        <w:tabs>
          <w:tab w:leader="none" w:pos="5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520" w:hanging="215"/>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TRANSITION REPORT PURSUANT TO SECTION </w:t>
      </w:r>
      <w:r>
        <w:rPr>
          <w:rFonts w:ascii="Times New Roman" w:cs="Times New Roman" w:eastAsia="Times New Roman" w:hAnsi="Times New Roman"/>
          <w:sz w:val="17"/>
          <w:szCs w:val="17"/>
          <w:b w:val="1"/>
          <w:bCs w:val="1"/>
          <w:color w:val="auto"/>
        </w:rPr>
        <w:t>13 OR 15(d) OF THE SECURITIES EXCHANGE ACT OF 1934</w:t>
      </w:r>
    </w:p>
    <w:p>
      <w:pPr>
        <w:spacing w:after="0" w:line="189" w:lineRule="exact"/>
        <w:rPr>
          <w:sz w:val="24"/>
          <w:szCs w:val="24"/>
          <w:color w:val="auto"/>
        </w:rPr>
      </w:pPr>
    </w:p>
    <w:p>
      <w:pPr>
        <w:ind w:left="3900"/>
        <w:spacing w:after="0"/>
        <w:tabs>
          <w:tab w:leader="none" w:pos="614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4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Commission File Number: 001-31648</w:t>
      </w:r>
    </w:p>
    <w:p>
      <w:pPr>
        <w:spacing w:after="0" w:line="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EURONET WORLDWIDE, INC.</w:t>
      </w:r>
    </w:p>
    <w:p>
      <w:pPr>
        <w:spacing w:after="0" w:line="1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35"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43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66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74-2806888</w:t>
            </w:r>
          </w:p>
        </w:tc>
      </w:tr>
      <w:tr>
        <w:trPr>
          <w:trHeight w:val="283"/>
        </w:trPr>
        <w:tc>
          <w:tcPr>
            <w:tcW w:w="43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4660" w:type="dxa"/>
            <w:vAlign w:val="bottom"/>
          </w:tcPr>
          <w:p>
            <w:pPr>
              <w:jc w:val="center"/>
              <w:ind w:left="209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284"/>
        </w:trPr>
        <w:tc>
          <w:tcPr>
            <w:tcW w:w="4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11400 Tomahawk Creek Parkway, Suite 300</w:t>
            </w:r>
          </w:p>
        </w:tc>
        <w:tc>
          <w:tcPr>
            <w:tcW w:w="4660" w:type="dxa"/>
            <w:vAlign w:val="bottom"/>
          </w:tcPr>
          <w:p>
            <w:pPr>
              <w:spacing w:after="0"/>
              <w:rPr>
                <w:sz w:val="24"/>
                <w:szCs w:val="24"/>
                <w:color w:val="auto"/>
              </w:rPr>
            </w:pPr>
          </w:p>
        </w:tc>
      </w:tr>
      <w:tr>
        <w:trPr>
          <w:trHeight w:val="283"/>
        </w:trPr>
        <w:tc>
          <w:tcPr>
            <w:tcW w:w="4300" w:type="dxa"/>
            <w:vAlign w:val="bottom"/>
          </w:tcPr>
          <w:p>
            <w:pPr>
              <w:ind w:left="1420"/>
              <w:spacing w:after="0"/>
              <w:rPr>
                <w:sz w:val="20"/>
                <w:szCs w:val="20"/>
                <w:color w:val="auto"/>
              </w:rPr>
            </w:pPr>
            <w:r>
              <w:rPr>
                <w:rFonts w:ascii="Times New Roman" w:cs="Times New Roman" w:eastAsia="Times New Roman" w:hAnsi="Times New Roman"/>
                <w:sz w:val="16"/>
                <w:szCs w:val="16"/>
                <w:b w:val="1"/>
                <w:bCs w:val="1"/>
                <w:color w:val="auto"/>
              </w:rPr>
              <w:t>Leawood, Kansas</w:t>
            </w:r>
          </w:p>
        </w:tc>
        <w:tc>
          <w:tcPr>
            <w:tcW w:w="4660" w:type="dxa"/>
            <w:vAlign w:val="bottom"/>
          </w:tcPr>
          <w:p>
            <w:pPr>
              <w:jc w:val="right"/>
              <w:ind w:right="959"/>
              <w:spacing w:after="0"/>
              <w:rPr>
                <w:sz w:val="20"/>
                <w:szCs w:val="20"/>
                <w:color w:val="auto"/>
              </w:rPr>
            </w:pPr>
            <w:r>
              <w:rPr>
                <w:rFonts w:ascii="Times New Roman" w:cs="Times New Roman" w:eastAsia="Times New Roman" w:hAnsi="Times New Roman"/>
                <w:sz w:val="16"/>
                <w:szCs w:val="16"/>
                <w:b w:val="1"/>
                <w:bCs w:val="1"/>
                <w:color w:val="auto"/>
              </w:rPr>
              <w:t>66211</w:t>
            </w:r>
          </w:p>
        </w:tc>
      </w:tr>
      <w:tr>
        <w:trPr>
          <w:trHeight w:val="283"/>
        </w:trPr>
        <w:tc>
          <w:tcPr>
            <w:tcW w:w="4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4660" w:type="dxa"/>
            <w:vAlign w:val="bottom"/>
          </w:tcPr>
          <w:p>
            <w:pPr>
              <w:jc w:val="center"/>
              <w:ind w:left="207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283"/>
        </w:trPr>
        <w:tc>
          <w:tcPr>
            <w:tcW w:w="4300" w:type="dxa"/>
            <w:vAlign w:val="bottom"/>
          </w:tcPr>
          <w:p>
            <w:pPr>
              <w:spacing w:after="0"/>
              <w:rPr>
                <w:sz w:val="24"/>
                <w:szCs w:val="24"/>
                <w:color w:val="auto"/>
              </w:rPr>
            </w:pPr>
          </w:p>
        </w:tc>
        <w:tc>
          <w:tcPr>
            <w:tcW w:w="4660" w:type="dxa"/>
            <w:vAlign w:val="bottom"/>
          </w:tcPr>
          <w:p>
            <w:pPr>
              <w:jc w:val="right"/>
              <w:ind w:right="3459"/>
              <w:spacing w:after="0"/>
              <w:rPr>
                <w:sz w:val="20"/>
                <w:szCs w:val="20"/>
                <w:color w:val="auto"/>
              </w:rPr>
            </w:pPr>
            <w:r>
              <w:rPr>
                <w:rFonts w:ascii="Times New Roman" w:cs="Times New Roman" w:eastAsia="Times New Roman" w:hAnsi="Times New Roman"/>
                <w:sz w:val="16"/>
                <w:szCs w:val="16"/>
                <w:b w:val="1"/>
                <w:bCs w:val="1"/>
                <w:color w:val="auto"/>
              </w:rPr>
              <w:t>(913) 327-4200</w:t>
            </w:r>
          </w:p>
        </w:tc>
      </w:tr>
    </w:tbl>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75"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1"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5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100" w:type="dxa"/>
            <w:vAlign w:val="bottom"/>
            <w:gridSpan w:val="3"/>
          </w:tcPr>
          <w:p>
            <w:pPr>
              <w:ind w:left="2060"/>
              <w:spacing w:after="0" w:line="183"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120" w:type="dxa"/>
            <w:vAlign w:val="bottom"/>
            <w:gridSpan w:val="5"/>
          </w:tcPr>
          <w:p>
            <w:pPr>
              <w:jc w:val="center"/>
              <w:ind w:right="60"/>
              <w:spacing w:after="0" w:line="183" w:lineRule="exact"/>
              <w:rPr>
                <w:sz w:val="20"/>
                <w:szCs w:val="20"/>
                <w:color w:val="auto"/>
              </w:rPr>
            </w:pPr>
            <w:r>
              <w:rPr>
                <w:rFonts w:ascii="Times New Roman" w:cs="Times New Roman" w:eastAsia="Times New Roman" w:hAnsi="Times New Roman"/>
                <w:sz w:val="16"/>
                <w:szCs w:val="16"/>
                <w:b w:val="1"/>
                <w:bCs w:val="1"/>
                <w:color w:val="auto"/>
              </w:rPr>
              <w:t>Symbol(s)</w:t>
            </w:r>
          </w:p>
        </w:tc>
        <w:tc>
          <w:tcPr>
            <w:tcW w:w="1000" w:type="dxa"/>
            <w:vAlign w:val="bottom"/>
          </w:tcPr>
          <w:p>
            <w:pPr>
              <w:spacing w:after="0"/>
              <w:rPr>
                <w:sz w:val="15"/>
                <w:szCs w:val="15"/>
                <w:color w:val="auto"/>
              </w:rPr>
            </w:pPr>
          </w:p>
        </w:tc>
        <w:tc>
          <w:tcPr>
            <w:tcW w:w="4040" w:type="dxa"/>
            <w:vAlign w:val="bottom"/>
            <w:gridSpan w:val="2"/>
          </w:tcPr>
          <w:p>
            <w:pPr>
              <w:jc w:val="center"/>
              <w:ind w:right="1040"/>
              <w:spacing w:after="0" w:line="183"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48"/>
        </w:trPr>
        <w:tc>
          <w:tcPr>
            <w:tcW w:w="2060" w:type="dxa"/>
            <w:vAlign w:val="bottom"/>
            <w:tcBorders>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0" w:type="dxa"/>
            <w:vAlign w:val="bottom"/>
            <w:tcBorders>
              <w:top w:val="single" w:sz="8" w:color="auto"/>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5100" w:type="dxa"/>
            <w:vAlign w:val="bottom"/>
            <w:tcBorders>
              <w:left w:val="single" w:sz="8" w:color="auto"/>
              <w:right w:val="single" w:sz="8" w:color="auto"/>
            </w:tcBorders>
            <w:gridSpan w:val="3"/>
          </w:tcPr>
          <w:p>
            <w:pPr>
              <w:ind w:left="2040"/>
              <w:spacing w:after="0"/>
              <w:rPr>
                <w:sz w:val="20"/>
                <w:szCs w:val="20"/>
                <w:color w:val="auto"/>
              </w:rPr>
            </w:pPr>
            <w:r>
              <w:rPr>
                <w:rFonts w:ascii="Times New Roman" w:cs="Times New Roman" w:eastAsia="Times New Roman" w:hAnsi="Times New Roman"/>
                <w:sz w:val="16"/>
                <w:szCs w:val="16"/>
                <w:color w:val="auto"/>
              </w:rPr>
              <w:t>Common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EEFT</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17"/>
        </w:trPr>
        <w:tc>
          <w:tcPr>
            <w:tcW w:w="5100" w:type="dxa"/>
            <w:vAlign w:val="bottom"/>
            <w:tcBorders>
              <w:left w:val="single" w:sz="8" w:color="auto"/>
              <w:right w:val="single" w:sz="8" w:color="auto"/>
            </w:tcBorders>
            <w:gridSpan w:val="3"/>
          </w:tcPr>
          <w:p>
            <w:pPr>
              <w:ind w:left="1540"/>
              <w:spacing w:after="0"/>
              <w:rPr>
                <w:sz w:val="20"/>
                <w:szCs w:val="20"/>
                <w:color w:val="auto"/>
              </w:rPr>
            </w:pPr>
            <w:r>
              <w:rPr>
                <w:rFonts w:ascii="Times New Roman" w:cs="Times New Roman" w:eastAsia="Times New Roman" w:hAnsi="Times New Roman"/>
                <w:sz w:val="16"/>
                <w:szCs w:val="16"/>
                <w:color w:val="auto"/>
              </w:rPr>
              <w:t>1.375% Senior Notes due 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EEFT26</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Times New Roman" w:cs="Times New Roman" w:eastAsia="Times New Roman" w:hAnsi="Times New Roman"/>
                <w:sz w:val="16"/>
                <w:szCs w:val="16"/>
                <w:color w:val="auto"/>
              </w:rPr>
              <w:t>Nasdaq Global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40" w:lineRule="exact"/>
        <w:rPr>
          <w:sz w:val="24"/>
          <w:szCs w:val="24"/>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46" w:lineRule="exact"/>
        <w:rPr>
          <w:sz w:val="24"/>
          <w:szCs w:val="24"/>
          <w:color w:val="auto"/>
        </w:rPr>
      </w:pPr>
    </w:p>
    <w:p>
      <w:pPr>
        <w:ind w:right="2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40" w:type="dxa"/>
        <w:tblCellMar>
          <w:top w:w="0" w:type="dxa"/>
          <w:left w:w="0" w:type="dxa"/>
          <w:bottom w:w="0" w:type="dxa"/>
          <w:right w:w="0" w:type="dxa"/>
        </w:tblCellMar>
      </w:tblPr>
      <w:tr>
        <w:trPr>
          <w:trHeight w:val="235"/>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Accelerated filer</w:t>
            </w:r>
          </w:p>
        </w:tc>
        <w:tc>
          <w:tcPr>
            <w:tcW w:w="1220" w:type="dxa"/>
            <w:vAlign w:val="bottom"/>
          </w:tcPr>
          <w:p>
            <w:pPr>
              <w:ind w:left="1060"/>
              <w:spacing w:after="0"/>
              <w:rPr>
                <w:sz w:val="20"/>
                <w:szCs w:val="20"/>
                <w:color w:val="auto"/>
              </w:rPr>
            </w:pPr>
            <w:r>
              <w:rPr>
                <w:rFonts w:ascii="Wingdings" w:cs="Wingdings" w:eastAsia="Wingdings" w:hAnsi="Wingdings"/>
                <w:sz w:val="16"/>
                <w:szCs w:val="16"/>
                <w:b w:val="1"/>
                <w:bCs w:val="1"/>
                <w:color w:val="auto"/>
                <w:w w:val="97"/>
              </w:rPr>
              <w:t>o</w:t>
            </w:r>
          </w:p>
        </w:tc>
      </w:tr>
      <w:tr>
        <w:trPr>
          <w:trHeight w:val="27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20" w:type="dxa"/>
            <w:vAlign w:val="bottom"/>
          </w:tcPr>
          <w:p>
            <w:pPr>
              <w:ind w:left="520"/>
              <w:spacing w:after="0"/>
              <w:rPr>
                <w:sz w:val="20"/>
                <w:szCs w:val="20"/>
                <w:color w:val="auto"/>
              </w:rPr>
            </w:pPr>
            <w:r>
              <w:rPr>
                <w:rFonts w:ascii="Wingdings" w:cs="Wingdings" w:eastAsia="Wingdings" w:hAnsi="Wingdings"/>
                <w:sz w:val="16"/>
                <w:szCs w:val="16"/>
                <w:b w:val="1"/>
                <w:bCs w:val="1"/>
                <w:color w:val="auto"/>
              </w:rPr>
              <w:t>o</w:t>
            </w:r>
          </w:p>
        </w:tc>
        <w:tc>
          <w:tcPr>
            <w:tcW w:w="478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1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780" w:type="dxa"/>
            <w:vAlign w:val="bottom"/>
          </w:tcPr>
          <w:p>
            <w:pPr>
              <w:ind w:left="19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 w:lineRule="exact"/>
        <w:rPr>
          <w:sz w:val="24"/>
          <w:szCs w:val="24"/>
          <w:color w:val="auto"/>
        </w:rPr>
      </w:pPr>
    </w:p>
    <w:p>
      <w:pPr>
        <w:ind w:left="40" w:right="580"/>
        <w:spacing w:after="0" w:line="26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On October 30, 2024, Euronet Worldwide, Inc. had 43,931,630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342265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60" w:type="dxa"/>
            <w:vAlign w:val="bottom"/>
            <w:gridSpan w:val="10"/>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64"/>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60" w:type="dxa"/>
            <w:vAlign w:val="bottom"/>
            <w:gridSpan w:val="10"/>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5"/>
        </w:trPr>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196"/>
        </w:trPr>
        <w:tc>
          <w:tcPr>
            <w:tcW w:w="29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PART I—FINANCIAL INFORMATION</w:t>
            </w:r>
          </w:p>
        </w:tc>
        <w:tc>
          <w:tcPr>
            <w:tcW w:w="7680" w:type="dxa"/>
            <w:vAlign w:val="bottom"/>
            <w:tcBorders>
              <w:bottom w:val="single" w:sz="8" w:color="CCEEFF"/>
            </w:tcBorders>
            <w:gridSpan w:val="11"/>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7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September 30, 2024 and December 31, 2023</w:t>
            </w:r>
          </w:p>
        </w:tc>
        <w:tc>
          <w:tcPr>
            <w:tcW w:w="3900" w:type="dxa"/>
            <w:vAlign w:val="bottom"/>
            <w:tcBorders>
              <w:bottom w:val="single" w:sz="8" w:color="CCEEFF"/>
            </w:tcBorders>
            <w:gridSpan w:val="6"/>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840" w:type="dxa"/>
            <w:vAlign w:val="bottom"/>
          </w:tcPr>
          <w:p>
            <w:pPr>
              <w:spacing w:after="0"/>
              <w:rPr>
                <w:sz w:val="15"/>
                <w:szCs w:val="15"/>
                <w:color w:val="auto"/>
              </w:rPr>
            </w:pPr>
          </w:p>
        </w:tc>
        <w:tc>
          <w:tcPr>
            <w:tcW w:w="98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Three and Nine Months Ended September 30, 2024 and 2023</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72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Three and Nine Months Ended September 30, 2024 and 2023</w:t>
            </w:r>
          </w:p>
        </w:tc>
        <w:tc>
          <w:tcPr>
            <w:tcW w:w="9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840" w:type="dxa"/>
            <w:vAlign w:val="bottom"/>
          </w:tcPr>
          <w:p>
            <w:pPr>
              <w:spacing w:after="0"/>
              <w:rPr>
                <w:sz w:val="15"/>
                <w:szCs w:val="15"/>
                <w:color w:val="auto"/>
              </w:rPr>
            </w:pPr>
          </w:p>
        </w:tc>
        <w:tc>
          <w:tcPr>
            <w:tcW w:w="98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 for the Three and Nine Months Ended September 30, 2024 and 2023</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Nine Months Ended September 30, 2024 and 2023</w:t>
            </w:r>
          </w:p>
        </w:tc>
        <w:tc>
          <w:tcPr>
            <w:tcW w:w="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220" w:type="dxa"/>
            <w:vAlign w:val="bottom"/>
            <w:shd w:val="clear" w:color="auto" w:fill="CCEEFF"/>
          </w:tcPr>
          <w:p>
            <w:pPr>
              <w:spacing w:after="0"/>
              <w:rPr>
                <w:sz w:val="17"/>
                <w:szCs w:val="17"/>
                <w:color w:val="auto"/>
              </w:rPr>
            </w:pPr>
          </w:p>
        </w:tc>
      </w:tr>
      <w:tr>
        <w:trPr>
          <w:trHeight w:val="175"/>
        </w:trPr>
        <w:tc>
          <w:tcPr>
            <w:tcW w:w="8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08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Notes to the Unaudited Consolidated Financial Statements</w:t>
            </w:r>
          </w:p>
        </w:tc>
        <w:tc>
          <w:tcPr>
            <w:tcW w:w="2560" w:type="dxa"/>
            <w:vAlign w:val="bottom"/>
            <w:tcBorders>
              <w:top w:val="single" w:sz="8" w:color="CCEEFF"/>
            </w:tcBorders>
            <w:gridSpan w:val="4"/>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220" w:type="dxa"/>
            <w:vAlign w:val="bottom"/>
            <w:tcBorders>
              <w:top w:val="single" w:sz="8" w:color="CCEEFF"/>
            </w:tcBorders>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tcBorders>
              <w:bottom w:val="single" w:sz="8" w:color="CCEEFF"/>
            </w:tcBorders>
            <w:shd w:val="clear" w:color="auto" w:fill="CCEEFF"/>
          </w:tcPr>
          <w:p>
            <w:pPr>
              <w:spacing w:after="0"/>
              <w:rPr>
                <w:sz w:val="17"/>
                <w:szCs w:val="17"/>
                <w:color w:val="auto"/>
              </w:rPr>
            </w:pPr>
          </w:p>
        </w:tc>
        <w:tc>
          <w:tcPr>
            <w:tcW w:w="64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200" w:type="dxa"/>
            <w:vAlign w:val="bottom"/>
            <w:tcBorders>
              <w:bottom w:val="single" w:sz="8" w:color="CCEEFF"/>
            </w:tcBorders>
            <w:gridSpan w:val="5"/>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80" w:type="dxa"/>
            <w:vAlign w:val="bottom"/>
            <w:shd w:val="clear" w:color="auto" w:fill="CCEEFF"/>
          </w:tcPr>
          <w:p>
            <w:pPr>
              <w:spacing w:after="0"/>
              <w:rPr>
                <w:sz w:val="15"/>
                <w:szCs w:val="15"/>
                <w:color w:val="auto"/>
              </w:rPr>
            </w:pPr>
          </w:p>
        </w:tc>
        <w:tc>
          <w:tcPr>
            <w:tcW w:w="96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c>
          <w:tcPr>
            <w:tcW w:w="220" w:type="dxa"/>
            <w:vAlign w:val="bottom"/>
            <w:shd w:val="clear" w:color="auto" w:fill="CCEEFF"/>
          </w:tcPr>
          <w:p>
            <w:pPr>
              <w:spacing w:after="0"/>
              <w:rPr>
                <w:sz w:val="15"/>
                <w:szCs w:val="15"/>
                <w:color w:val="auto"/>
              </w:rPr>
            </w:pP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PART II—OTHER INFORMATION</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300" w:type="dxa"/>
            <w:vAlign w:val="bottom"/>
            <w:tcBorders>
              <w:bottom w:val="single" w:sz="8" w:color="CCEEFF"/>
            </w:tcBorders>
            <w:gridSpan w:val="14"/>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Borders>
              <w:bottom w:val="single" w:sz="8" w:color="CCEEFF"/>
            </w:tcBorders>
            <w:shd w:val="clear" w:color="auto" w:fill="CCEEFF"/>
          </w:tcPr>
          <w:p>
            <w:pPr>
              <w:spacing w:after="0"/>
              <w:rPr>
                <w:sz w:val="17"/>
                <w:szCs w:val="1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220" w:type="dxa"/>
            <w:vAlign w:val="bottom"/>
          </w:tcPr>
          <w:p>
            <w:pPr>
              <w:spacing w:after="0"/>
              <w:rPr>
                <w:sz w:val="15"/>
                <w:szCs w:val="15"/>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shd w:val="clear" w:color="auto" w:fill="CCEEFF"/>
          </w:tcPr>
          <w:p>
            <w:pPr>
              <w:spacing w:after="0"/>
              <w:rPr>
                <w:sz w:val="17"/>
                <w:szCs w:val="17"/>
                <w:color w:val="auto"/>
              </w:rPr>
            </w:pPr>
          </w:p>
        </w:tc>
        <w:tc>
          <w:tcPr>
            <w:tcW w:w="96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220" w:type="dxa"/>
            <w:vAlign w:val="bottom"/>
            <w:shd w:val="clear" w:color="auto" w:fill="CCEEFF"/>
          </w:tcPr>
          <w:p>
            <w:pPr>
              <w:spacing w:after="0"/>
              <w:rPr>
                <w:sz w:val="17"/>
                <w:szCs w:val="17"/>
                <w:color w:val="auto"/>
              </w:rPr>
            </w:pPr>
          </w:p>
        </w:tc>
      </w:tr>
      <w:tr>
        <w:trPr>
          <w:trHeight w:val="176"/>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80" w:type="dxa"/>
            <w:vAlign w:val="bottom"/>
            <w:tcBorders>
              <w:top w:val="single" w:sz="8" w:color="CCEEFF"/>
            </w:tcBorders>
          </w:tcPr>
          <w:p>
            <w:pPr>
              <w:spacing w:after="0"/>
              <w:rPr>
                <w:sz w:val="15"/>
                <w:szCs w:val="15"/>
                <w:color w:val="auto"/>
              </w:rPr>
            </w:pPr>
          </w:p>
        </w:tc>
        <w:tc>
          <w:tcPr>
            <w:tcW w:w="434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300" w:type="dxa"/>
            <w:vAlign w:val="bottom"/>
            <w:tcBorders>
              <w:top w:val="single" w:sz="8" w:color="CCEEFF"/>
            </w:tcBorders>
            <w:gridSpan w:val="8"/>
          </w:tcPr>
          <w:p>
            <w:pPr>
              <w:spacing w:after="0"/>
              <w:rPr>
                <w:sz w:val="15"/>
                <w:szCs w:val="15"/>
                <w:color w:val="auto"/>
              </w:rPr>
            </w:pPr>
          </w:p>
        </w:tc>
        <w:tc>
          <w:tcPr>
            <w:tcW w:w="3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c>
          <w:tcPr>
            <w:tcW w:w="220" w:type="dxa"/>
            <w:vAlign w:val="bottom"/>
            <w:tcBorders>
              <w:top w:val="single" w:sz="8" w:color="CCEEFF"/>
            </w:tcBorders>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80" w:type="dxa"/>
            <w:vAlign w:val="bottom"/>
            <w:shd w:val="clear" w:color="auto" w:fill="CCEEFF"/>
          </w:tcPr>
          <w:p>
            <w:pPr>
              <w:spacing w:after="0"/>
              <w:rPr>
                <w:sz w:val="15"/>
                <w:szCs w:val="15"/>
                <w:color w:val="auto"/>
              </w:rPr>
            </w:pPr>
          </w:p>
        </w:tc>
        <w:tc>
          <w:tcPr>
            <w:tcW w:w="96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c>
          <w:tcPr>
            <w:tcW w:w="220" w:type="dxa"/>
            <w:vAlign w:val="bottom"/>
            <w:shd w:val="clear" w:color="auto" w:fill="CCEEFF"/>
          </w:tcPr>
          <w:p>
            <w:pPr>
              <w:spacing w:after="0"/>
              <w:rPr>
                <w:sz w:val="15"/>
                <w:szCs w:val="15"/>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tcPr>
          <w:p>
            <w:pPr>
              <w:spacing w:after="0"/>
              <w:rPr>
                <w:sz w:val="15"/>
                <w:szCs w:val="15"/>
                <w:color w:val="auto"/>
              </w:rPr>
            </w:pPr>
          </w:p>
        </w:tc>
      </w:tr>
      <w:tr>
        <w:trPr>
          <w:trHeight w:val="338"/>
        </w:trPr>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left="406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0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9"/>
        </w:trPr>
        <w:tc>
          <w:tcPr>
            <w:tcW w:w="8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r>
      <w:tr>
        <w:trPr>
          <w:trHeight w:val="201"/>
        </w:trPr>
        <w:tc>
          <w:tcPr>
            <w:tcW w:w="8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1,254.2</w:t>
            </w:r>
          </w:p>
        </w:tc>
      </w:tr>
      <w:tr>
        <w:trPr>
          <w:trHeight w:val="216"/>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ATM cash</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525.2</w:t>
            </w:r>
          </w:p>
        </w:tc>
      </w:tr>
      <w:tr>
        <w:trPr>
          <w:trHeight w:val="216"/>
        </w:trPr>
        <w:tc>
          <w:tcPr>
            <w:tcW w:w="8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Settlement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1,681.5</w:t>
            </w:r>
          </w:p>
        </w:tc>
      </w:tr>
      <w:tr>
        <w:trPr>
          <w:trHeight w:val="216"/>
        </w:trPr>
        <w:tc>
          <w:tcPr>
            <w:tcW w:w="8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Trade accounts receivable, net of credit losses of $4.2 and $3.6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370.6</w:t>
            </w:r>
          </w:p>
        </w:tc>
      </w:tr>
      <w:tr>
        <w:trPr>
          <w:trHeight w:val="216"/>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316.0</w:t>
            </w:r>
          </w:p>
        </w:tc>
      </w:tr>
      <w:tr>
        <w:trPr>
          <w:trHeight w:val="210"/>
        </w:trPr>
        <w:tc>
          <w:tcPr>
            <w:tcW w:w="820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right of use lease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r>
      <w:tr>
        <w:trPr>
          <w:trHeight w:val="216"/>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$608.6 and $656.9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332.1</w:t>
            </w:r>
          </w:p>
        </w:tc>
      </w:tr>
      <w:tr>
        <w:trPr>
          <w:trHeight w:val="216"/>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847.5</w:t>
            </w:r>
          </w:p>
        </w:tc>
      </w:tr>
      <w:tr>
        <w:trPr>
          <w:trHeight w:val="216"/>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intangible assets, net of accumulated amortization of $237.5 and $214.1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167.6</w:t>
            </w:r>
          </w:p>
        </w:tc>
      </w:tr>
      <w:tr>
        <w:trPr>
          <w:trHeight w:val="216"/>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net of accumulated amortization of $82.1 and $76.3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181.9</w:t>
            </w:r>
          </w:p>
        </w:tc>
      </w:tr>
      <w:tr>
        <w:trPr>
          <w:trHeight w:val="216"/>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49"/>
        </w:trPr>
        <w:tc>
          <w:tcPr>
            <w:tcW w:w="820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6,289.1</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5,894.4</w:t>
            </w:r>
          </w:p>
        </w:tc>
        <w:tc>
          <w:tcPr>
            <w:tcW w:w="100" w:type="dxa"/>
            <w:vAlign w:val="bottom"/>
            <w:tcBorders>
              <w:bottom w:val="single" w:sz="8" w:color="auto"/>
            </w:tcBorders>
          </w:tcPr>
          <w:p>
            <w:pPr>
              <w:spacing w:after="0"/>
              <w:rPr>
                <w:sz w:val="21"/>
                <w:szCs w:val="21"/>
                <w:color w:val="auto"/>
              </w:rPr>
            </w:pPr>
          </w:p>
        </w:tc>
      </w:tr>
      <w:tr>
        <w:trPr>
          <w:trHeight w:val="197"/>
        </w:trPr>
        <w:tc>
          <w:tcPr>
            <w:tcW w:w="820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LIABILITIES AND EQUITY</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Settlement obligations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1,461.0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1,681.5</w:t>
            </w:r>
          </w:p>
        </w:tc>
      </w:tr>
      <w:tr>
        <w:trPr>
          <w:trHeight w:val="216"/>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241.2</w:t>
            </w:r>
          </w:p>
        </w:tc>
      </w:tr>
      <w:tr>
        <w:trPr>
          <w:trHeight w:val="216"/>
        </w:trPr>
        <w:tc>
          <w:tcPr>
            <w:tcW w:w="8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439.0</w:t>
            </w:r>
          </w:p>
        </w:tc>
      </w:tr>
      <w:tr>
        <w:trPr>
          <w:trHeight w:val="216"/>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8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150.3</w:t>
            </w:r>
          </w:p>
        </w:tc>
      </w:tr>
      <w:tr>
        <w:trPr>
          <w:trHeight w:val="216"/>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8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r>
      <w:tr>
        <w:trPr>
          <w:trHeight w:val="209"/>
        </w:trPr>
        <w:tc>
          <w:tcPr>
            <w:tcW w:w="8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obligations, net of current portion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1,715.4</w:t>
            </w:r>
          </w:p>
        </w:tc>
      </w:tr>
      <w:tr>
        <w:trPr>
          <w:trHeight w:val="216"/>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w:t>
            </w:r>
          </w:p>
        </w:tc>
      </w:tr>
      <w:tr>
        <w:trPr>
          <w:trHeight w:val="216"/>
        </w:trPr>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r>
      <w:tr>
        <w:trPr>
          <w:trHeight w:val="210"/>
        </w:trPr>
        <w:tc>
          <w:tcPr>
            <w:tcW w:w="8200" w:type="dxa"/>
            <w:vAlign w:val="bottom"/>
            <w:tcBorders>
              <w:top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4,927.1</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4,644.7</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r>
      <w:tr>
        <w:trPr>
          <w:trHeight w:val="209"/>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Euronet Worldwide, Inc. stockholders’ equity:</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$0.02 par value. 10,000,000 shares authorized; none issued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$0.02 par value. 90,000,000 shares authorized; shares issued 64,529,642 and 64,376,923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1,311.6</w:t>
            </w:r>
          </w:p>
        </w:tc>
      </w:tr>
      <w:tr>
        <w:trPr>
          <w:trHeight w:val="216"/>
        </w:trPr>
        <w:tc>
          <w:tcPr>
            <w:tcW w:w="8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Treasury stock, at cost, shares issued 20,600,062 and 18,598,961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(1,487.7)</w:t>
            </w:r>
          </w:p>
        </w:tc>
      </w:tr>
      <w:tr>
        <w:trPr>
          <w:trHeight w:val="216"/>
        </w:trPr>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1,627.9</w:t>
            </w:r>
          </w:p>
        </w:tc>
      </w:tr>
      <w:tr>
        <w:trPr>
          <w:trHeight w:val="216"/>
        </w:trPr>
        <w:tc>
          <w:tcPr>
            <w:tcW w:w="8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(203.2)</w:t>
            </w:r>
          </w:p>
        </w:tc>
      </w:tr>
      <w:tr>
        <w:trPr>
          <w:trHeight w:val="209"/>
        </w:trPr>
        <w:tc>
          <w:tcPr>
            <w:tcW w:w="82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Euronet Worldwide, Inc. stockholders’ equity</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w:t>
            </w: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820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100" w:type="dxa"/>
            <w:vAlign w:val="bottom"/>
            <w:tcBorders>
              <w:bottom w:val="single" w:sz="8" w:color="CCEEFF"/>
            </w:tcBorders>
          </w:tcPr>
          <w:p>
            <w:pPr>
              <w:spacing w:after="0"/>
              <w:rPr>
                <w:sz w:val="18"/>
                <w:szCs w:val="18"/>
                <w:color w:val="auto"/>
              </w:rPr>
            </w:pPr>
          </w:p>
        </w:tc>
      </w:tr>
      <w:tr>
        <w:trPr>
          <w:trHeight w:val="209"/>
        </w:trPr>
        <w:tc>
          <w:tcPr>
            <w:tcW w:w="82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8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5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5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2,730.3</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1,626.4</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153.6</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444.9</w:t>
            </w:r>
          </w:p>
        </w:tc>
      </w:tr>
      <w:tr>
        <w:trPr>
          <w:trHeight w:val="23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224.4</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w:t>
            </w:r>
          </w:p>
        </w:tc>
      </w:tr>
      <w:tr>
        <w:trPr>
          <w:trHeight w:val="209"/>
        </w:trPr>
        <w:tc>
          <w:tcPr>
            <w:tcW w:w="5520" w:type="dxa"/>
            <w:vAlign w:val="bottom"/>
            <w:tcBorders>
              <w:top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 gain (loss), net</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(losses) gains, net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09"/>
        </w:trPr>
        <w:tc>
          <w:tcPr>
            <w:tcW w:w="55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18"/>
                <w:szCs w:val="18"/>
                <w:color w:val="auto"/>
              </w:rPr>
            </w:pPr>
          </w:p>
        </w:tc>
      </w:tr>
      <w:tr>
        <w:trPr>
          <w:trHeight w:val="21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w:t>
            </w:r>
          </w:p>
        </w:tc>
      </w:tr>
      <w:tr>
        <w:trPr>
          <w:trHeight w:val="209"/>
        </w:trPr>
        <w:tc>
          <w:tcPr>
            <w:tcW w:w="5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0"/>
        </w:trPr>
        <w:tc>
          <w:tcPr>
            <w:tcW w:w="5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Euronet Worldwide, Inc.</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attributable to Euronet Worldwide, Inc. stockholders: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w:t>
            </w:r>
          </w:p>
        </w:tc>
        <w:tc>
          <w:tcPr>
            <w:tcW w:w="4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5.77</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r>
      <w:tr>
        <w:trPr>
          <w:trHeight w:val="196"/>
        </w:trPr>
        <w:tc>
          <w:tcPr>
            <w:tcW w:w="552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44,416,803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48,406,473</w:t>
            </w:r>
          </w:p>
        </w:tc>
        <w:tc>
          <w:tcPr>
            <w:tcW w:w="26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45,221,248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49,285,143</w:t>
            </w:r>
          </w:p>
        </w:tc>
      </w:tr>
      <w:tr>
        <w:trPr>
          <w:trHeight w:val="197"/>
        </w:trPr>
        <w:tc>
          <w:tcPr>
            <w:tcW w:w="552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47,554,606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51,470,603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48,421,545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52,446,292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20" w:type="dxa"/>
            <w:vAlign w:val="bottom"/>
          </w:tcPr>
          <w:p>
            <w:pPr>
              <w:spacing w:after="0"/>
              <w:rPr>
                <w:sz w:val="18"/>
                <w:szCs w:val="18"/>
                <w:color w:val="auto"/>
              </w:rPr>
            </w:pPr>
          </w:p>
        </w:tc>
        <w:tc>
          <w:tcPr>
            <w:tcW w:w="29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8"/>
                <w:szCs w:val="18"/>
                <w:color w:val="auto"/>
              </w:rPr>
            </w:pPr>
          </w:p>
        </w:tc>
        <w:tc>
          <w:tcPr>
            <w:tcW w:w="26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1"/>
        </w:trPr>
        <w:tc>
          <w:tcPr>
            <w:tcW w:w="552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151.6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8"/>
                <w:szCs w:val="18"/>
                <w:color w:val="auto"/>
              </w:rPr>
            </w:pP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Translation adjustment</w:t>
            </w:r>
          </w:p>
        </w:tc>
        <w:tc>
          <w:tcPr>
            <w:tcW w:w="84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87.1</w:t>
            </w: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r>
      <w:tr>
        <w:trPr>
          <w:trHeight w:val="210"/>
        </w:trPr>
        <w:tc>
          <w:tcPr>
            <w:tcW w:w="55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238.7</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5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84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r>
        <w:trPr>
          <w:trHeight w:val="210"/>
        </w:trPr>
        <w:tc>
          <w:tcPr>
            <w:tcW w:w="55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Comprehensive income attributable to Euronet Worldwide, Inc.</w:t>
            </w:r>
          </w:p>
        </w:tc>
        <w:tc>
          <w:tcPr>
            <w:tcW w:w="84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239.0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173"/>
        </w:trPr>
        <w:tc>
          <w:tcPr>
            <w:tcW w:w="544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3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49,822,707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79,859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(276,400)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36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vMerge w:val="continue"/>
            <w:shd w:val="clear" w:color="auto" w:fill="CCEEFF"/>
          </w:tcPr>
          <w:p>
            <w:pPr>
              <w:spacing w:after="0"/>
              <w:rPr>
                <w:sz w:val="18"/>
                <w:szCs w:val="18"/>
                <w:color w:val="auto"/>
              </w:rPr>
            </w:pPr>
          </w:p>
        </w:tc>
        <w:tc>
          <w:tcPr>
            <w:tcW w:w="13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49,626,166</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1,266.6</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36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49,655,544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12,548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(3,507,049)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36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shd w:val="clear" w:color="auto" w:fill="CCEEFF"/>
          </w:tcPr>
          <w:p>
            <w:pPr>
              <w:spacing w:after="0"/>
              <w:rPr>
                <w:sz w:val="18"/>
                <w:szCs w:val="18"/>
                <w:color w:val="auto"/>
              </w:rPr>
            </w:pPr>
          </w:p>
        </w:tc>
        <w:tc>
          <w:tcPr>
            <w:tcW w:w="13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46,161,043</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440" w:type="dxa"/>
            <w:vAlign w:val="bottom"/>
          </w:tcPr>
          <w:p>
            <w:pPr>
              <w:spacing w:after="0"/>
              <w:rPr>
                <w:sz w:val="24"/>
                <w:szCs w:val="24"/>
                <w:color w:val="auto"/>
              </w:rPr>
            </w:pPr>
          </w:p>
        </w:tc>
        <w:tc>
          <w:tcPr>
            <w:tcW w:w="1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0" w:type="dxa"/>
            <w:vAlign w:val="bottom"/>
          </w:tcPr>
          <w:p>
            <w:pPr>
              <w:spacing w:after="0"/>
              <w:rPr>
                <w:sz w:val="1"/>
                <w:szCs w:val="1"/>
                <w:color w:val="auto"/>
              </w:rPr>
            </w:pPr>
          </w:p>
        </w:tc>
      </w:tr>
      <w:tr>
        <w:trPr>
          <w:trHeight w:val="187"/>
        </w:trPr>
        <w:tc>
          <w:tcPr>
            <w:tcW w:w="5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Shares Outstanding</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December 31, 2023</w:t>
            </w:r>
          </w:p>
        </w:tc>
        <w:tc>
          <w:tcPr>
            <w:tcW w:w="13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45,777,962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90,812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3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vMerge w:val="continue"/>
            <w:shd w:val="clear" w:color="auto" w:fill="CCEEFF"/>
          </w:tcPr>
          <w:p>
            <w:pPr>
              <w:spacing w:after="0"/>
              <w:rPr>
                <w:sz w:val="19"/>
                <w:szCs w:val="19"/>
                <w:color w:val="auto"/>
              </w:rPr>
            </w:pPr>
          </w:p>
        </w:tc>
        <w:tc>
          <w:tcPr>
            <w:tcW w:w="13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45,868,774</w:t>
            </w:r>
          </w:p>
        </w:tc>
        <w:tc>
          <w:tcPr>
            <w:tcW w:w="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(1,488.2)</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38,576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3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440" w:type="dxa"/>
            <w:vAlign w:val="bottom"/>
            <w:vMerge w:val="continue"/>
            <w:shd w:val="clear" w:color="auto" w:fill="CCEEFF"/>
          </w:tcPr>
          <w:p>
            <w:pPr>
              <w:spacing w:after="0"/>
              <w:rPr>
                <w:sz w:val="20"/>
                <w:szCs w:val="20"/>
                <w:color w:val="auto"/>
              </w:rPr>
            </w:pPr>
          </w:p>
        </w:tc>
        <w:tc>
          <w:tcPr>
            <w:tcW w:w="13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44,907,350</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1,336.9</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(1,603.5</w:t>
            </w:r>
          </w:p>
        </w:tc>
        <w:tc>
          <w:tcPr>
            <w:tcW w:w="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0"/>
        </w:trPr>
        <w:tc>
          <w:tcPr>
            <w:tcW w:w="5440" w:type="dxa"/>
            <w:vAlign w:val="bottom"/>
            <w:shd w:val="clear" w:color="auto" w:fill="CCEEFF"/>
          </w:tcPr>
          <w:p>
            <w:pPr>
              <w:spacing w:after="0" w:line="20" w:lineRule="exact"/>
              <w:rPr>
                <w:sz w:val="1"/>
                <w:szCs w:val="1"/>
                <w:color w:val="auto"/>
              </w:rPr>
            </w:pPr>
          </w:p>
        </w:tc>
        <w:tc>
          <w:tcPr>
            <w:tcW w:w="13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3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43,929,580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40" w:type="dxa"/>
            <w:vAlign w:val="bottom"/>
          </w:tcPr>
          <w:p>
            <w:pPr>
              <w:spacing w:after="0"/>
              <w:rPr>
                <w:sz w:val="24"/>
                <w:szCs w:val="24"/>
                <w:color w:val="auto"/>
              </w:rPr>
            </w:pPr>
          </w:p>
        </w:tc>
        <w:tc>
          <w:tcPr>
            <w:tcW w:w="136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4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right"/>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right w:val="single" w:sz="8" w:color="CCEEFF"/>
            </w:tcBorders>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2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2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tcBorders>
              <w:right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2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tcBorders>
              <w:right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2023</w:t>
            </w:r>
          </w:p>
        </w:tc>
        <w:tc>
          <w:tcPr>
            <w:tcW w:w="1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top w:val="single" w:sz="8" w:color="CCEEFF"/>
              <w:right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right w:val="single" w:sz="8" w:color="CCEEFF"/>
            </w:tcBorders>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2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tcBorders>
              <w:right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2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4"/>
                <w:szCs w:val="14"/>
                <w:color w:val="auto"/>
              </w:rPr>
            </w:pPr>
          </w:p>
        </w:tc>
        <w:tc>
          <w:tcPr>
            <w:tcW w:w="1440" w:type="dxa"/>
            <w:vAlign w:val="bottom"/>
            <w:gridSpan w:val="4"/>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22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300" w:type="dxa"/>
            <w:vAlign w:val="bottom"/>
            <w:tcBorders>
              <w:bottom w:val="single" w:sz="8" w:color="CCEEFF"/>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left w:val="single" w:sz="8" w:color="CCEEFF"/>
            </w:tcBorders>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tcBorders>
              <w:right w:val="single" w:sz="8" w:color="CCEEFF"/>
            </w:tcBorders>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2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tcBorders>
              <w:right w:val="single" w:sz="8" w:color="CCEEFF"/>
            </w:tcBorders>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2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tcBorders>
              <w:right w:val="single" w:sz="8" w:color="CCEEFF"/>
            </w:tcBorders>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2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tcBorders>
              <w:right w:val="single" w:sz="8" w:color="CCEEFF"/>
            </w:tcBorders>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3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shd w:val="clear" w:color="auto" w:fill="CCEEFF"/>
          </w:tcPr>
          <w:p>
            <w:pPr>
              <w:spacing w:after="0"/>
              <w:rPr>
                <w:sz w:val="19"/>
                <w:szCs w:val="19"/>
                <w:color w:val="auto"/>
              </w:rPr>
            </w:pPr>
          </w:p>
        </w:tc>
        <w:tc>
          <w:tcPr>
            <w:tcW w:w="1340" w:type="dxa"/>
            <w:vAlign w:val="bottom"/>
            <w:tcBorders>
              <w:right w:val="single" w:sz="8" w:color="CCEEFF"/>
            </w:tcBorders>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issued under employee stock plans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3"/>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12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tcBorders>
              <w:right w:val="single" w:sz="8" w:color="CCEEFF"/>
            </w:tcBorders>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0"/>
        </w:trPr>
        <w:tc>
          <w:tcPr>
            <w:tcW w:w="42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2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6"/>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4"/>
        </w:trPr>
        <w:tc>
          <w:tcPr>
            <w:tcW w:w="766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(gain) loss, net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working capital, net of amounts acquired: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taxes payable, net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receivable, including amounts in settlement assets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427.7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 including amounts in settlement assets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payable, including amounts in settlement obligations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 including amounts in settlement obligations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noncurrent assets and liabilities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76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7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and proceeds of property and equipment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other long-term assets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shares and other share movements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from credit agreements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5,844.1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credit agreements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(5,986.3)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(6,177.9)</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borrowings of short-term debt obligations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capital lease obligations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Increase in cash and cash equivalents and restricted cash</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7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2,043.3</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76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9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55.3</w:t>
            </w:r>
          </w:p>
        </w:tc>
        <w:tc>
          <w:tcPr>
            <w:tcW w:w="4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4"/>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9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74.4</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EURONET WORLDWIDE,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Euronet Worldwide, Inc. (the "Company" or "Euronet") was established as a Delaware corporation on December 13, 1996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ATM, point-of-sale ("POS"), card outsourcing, card issuing and merchant acquiring services, electronic distribution of prepaid mobile airtime and other electronic payment products, and international payment services.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Company's audited consolidated financial statements for the year ended December 31, 2023, including the notes thereto, set forth in the Company's 2023 Annual Report on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EFT Processing Segment normally experiences its heaviest demand for dynamic currency conversion ("DCC") services during the third quarter of the fiscal year, normally coinciding with the tourism season. The epay Segment is normally impacted by seasonality during the fourth quarter and first quarter of each year due to higher transaction levels during the holiday season and lower levels following the holiday season. Also, epay sells large loyalty rewards campaigns to retailers, which could be deployed in any given quarter and will impact the activity in that quarter accordingly. Seasonality in the Money Transfer Segment varies by region of the world. In most markets, the Company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RECENTLY ISSUED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issued a new accounting pronouncement regarding segment reporting. The standard requires that public entities expand reportable segment disclosures, primarily through enhanced disclosures about significant segment expenses. The Company is required to adopt the new standard for its 2024 annual reporting and effective January 1, 2025 for its interim reporting, using a retrospective approach. Management is currently evaluating the potential impact that the adoption of this standard will have on the Company’s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issued a new accounting pronouncement regarding income tax disclosures. The standard requires that public entities disclose more consistent and detailed categories in their statutory-to-effective income tax rate reconciliations and further disaggregate income taxes paid by jurisdiction. The Company is required to adopt the new standard for its 2025 annual reporting, using a prospective approach. Management is currently evaluating the potential impact that the adoption of this standard will have on the Company’s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2024</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 2024, Euronet acquired Infinitium Group, a leading regional solutions provider with Payments Authentication services, for a purchase consideration of $70.0 million cash and $5.0 million of the Company’s common stock to be paid over two installments on February 1, 2026 and 2027. The Company preliminarily allocated $51.0 million of the purchase consideration to customer relationships, $5.6 million to acquired net assets, and the remaining $18.4 million to goodwill. During the second quarter 2024 we subsequently increased the provisional amounts allocated to goodwill by $10.2 million and adjusted the deferred tax liability position to reflect facts and circumstances in existence at the effective time of the acquisition. For the quarter ended June 30, 2024, the Company made a measurement period adjustment to reflect facts and circumstances in existence as of the effective time of the acquisition. This adjustment primarily included an adjustment to deferred tax liabilities and goodwill of $10.2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SETTLEMENT ASSETS AND OBLIGATIONS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us within two weeks after initial receipt by the business partner. Receivables from business partners represent funds collected by such business partners that are in transit to 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us. Money order accrued expenses represent amounts not yet presented for payment. Due to the agent funding and settlement process, accrued expenses to agents represent amounts due to agents for money transfers that have not been settled with transferees.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8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3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credit losses of $33.0 and $35.7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settlement assets</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obligations: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 payables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961.6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settlement obligations</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1"/>
                <w:szCs w:val="11"/>
                <w:color w:val="auto"/>
              </w:rPr>
            </w:pPr>
          </w:p>
        </w:tc>
        <w:tc>
          <w:tcPr>
            <w:tcW w:w="130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1"/>
                <w:szCs w:val="11"/>
                <w:color w:val="auto"/>
              </w:rPr>
            </w:pPr>
          </w:p>
        </w:tc>
        <w:tc>
          <w:tcPr>
            <w:tcW w:w="1300" w:type="dxa"/>
            <w:vAlign w:val="bottom"/>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4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ATM cash</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805.4</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525.2</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Settlement cash and cash equivalents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438.6</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327.4</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restricted cash</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154.8</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units and the assumed conversion of the Company’s convertible debt, if such conversion would be dilutive.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following table provides the computation of diluted earnings and diluted weighted average number of common shares outstanding: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Pr>
          <w:p>
            <w:pPr>
              <w:spacing w:after="0"/>
              <w:rPr>
                <w:sz w:val="13"/>
                <w:szCs w:val="13"/>
                <w:color w:val="auto"/>
              </w:rPr>
            </w:pPr>
          </w:p>
        </w:tc>
        <w:tc>
          <w:tcPr>
            <w:tcW w:w="270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52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Computation of diluted earnings: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151.5</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260.8</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Interest expense from assumed conversion of convertible notes, net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tax</w:t>
            </w: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for diluted earnings per share calculation</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4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Computation of diluted weighted average shares outstanding:</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44,416,803</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48,406,473</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45,221,248</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49,285,143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Incremental shares from assumed exercise of stock options and vesting of</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2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355,985</w:t>
            </w:r>
          </w:p>
        </w:tc>
        <w:tc>
          <w:tcPr>
            <w:tcW w:w="4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282,312</w:t>
            </w:r>
          </w:p>
        </w:tc>
        <w:tc>
          <w:tcPr>
            <w:tcW w:w="2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418,479</w:t>
            </w:r>
          </w:p>
        </w:tc>
        <w:tc>
          <w:tcPr>
            <w:tcW w:w="4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379,331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shares from assumed conversion of convertible debt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2,781,818</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2,781,818</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2,781,818</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2,781,818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47,554,606</w:t>
            </w: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51,470,603</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48,421,545</w:t>
            </w: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52,446,292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includes all stock options and restricted stock units that are dilutive to the Company's weighted average common shares outstanding during the period. The calculation of diluted earnings per share excludes stock options or shares of restricted stock units that are anti-dilutive to the Company's weighted average common shares outstanding of approximately 3.1 million and 3.1 million for the three and nine months ended September 30, 2024 and 3.6 million and 2.7 million for the three and nine months ended September 30, 2023, respectively.</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issued Convertible Senior Notes ("Convertible Notes") due March 2049 on March 18, 2019. The Convertible Notes currently have a settlement feature requiring us upon conversion to settle the principal amount of the debt and any conversion value in excess of the principal value ("conversion premium"), for cash or shares of Euronet's common stock or a combination thereof, at the Company's option. The Company has stated its intent to settle any conversion of these notes by paying cash for the principal value and issuing common stock for any conversion premium; however, after adopting ASU 2020-06, 2.8 million incremental shares assumed for conversion of convertible notes is required to be included in the dilutive earnings per share calculation, if dilutive, regardless of whether the market price trigger has been met. Therefore, the Convertible Notes were included in the calculation of diluted earnings per share if their inclusion was dilutive. The dilutive effect increases the more the market price for the Company's common stock exceeds the conversion price of $188.73 per share. See Note 10, Debt Obligations, to the consolidated financial statements for more information about the Convertible Notes.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13, 2023, the Company put a repurchase program in place to repurchase up to $350 million in value, but not more than 7.0 million shares of common stock through September 13, 2025. As of September 30, 2024, 5.9 million shares were available to be repurchased under this repurchase program. On September 11, 2024, the Company put a repurchase program in place to repurchase up to $350 million in value, but not more than 7.0 million shares of common stock through September 11, 2026. As of September 30, 2024, 7.0 million shares were available to be repurchased under this repurchase program. Repurchases under the programs may take place in the open market or in privately negotiated transactions, including derivative transactions, and may be made under a Rule 10b5-1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Accumulated other comprehensive income (loss) consists entirely of foreign currency translation adjustments. The Company recorded foreign currency translation adjustments of $87.1 million and $32.1 million for the three and nine months ended September 30, 2024 and ($61.0) million and ($30.1) million for the three and nine months ended September 30, 2023, respectively. There were no reclassifications of foreign currency translation adjustments into the consolidated statements of income for the three and nine months ended September 30, 2024 and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(6) GOODWILL AND ACQUIRED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acquired intangible assets and goodwill activity for the nine months ended September 30, 2024 is presented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Acquired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8"/>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r>
      <w:tr>
        <w:trPr>
          <w:trHeight w:val="187"/>
        </w:trPr>
        <w:tc>
          <w:tcPr>
            <w:tcW w:w="686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6"/>
                <w:szCs w:val="16"/>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209"/>
        </w:trPr>
        <w:tc>
          <w:tcPr>
            <w:tcW w:w="68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(decreases):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09"/>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total goodwill balance of $913.3 million as of September 30, 2024, $396.1 million relates to the Money Transfer Segment, $390.5 million relates to the EFT Processing Segment and the remaining $126.7 million relates to the epay Segment. Estimated amortization expense on acquired intangible assets with finite lives as of September 30, 2024, is expected to total $5.0 million for the remainder of 2024, $17.8 million for 2025, $18.3 million for 2026, $17.0 million for 2027, $16.6 million for 2028 and $16.6 million for 2029.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NOTES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loaned a total of $60.0 million to Koin Mobile, LLC and Marker Trax, LLC under two promissory notes (the "Notes"), which were fully executed on October 19, 2023. Under the terms of the Notes, interest will accrue on the Notes at 2% per annum and all unpaid principal and interest will be due and payable on October 18, 2028 if not converted earlier as discussed below. The Company has a security interest in all of the assets of Koin Mobile, LLC and Marker Trax, LLC. The outstanding principal and accrued interest were $60.0 million and $1.1 million at September 30, 2024,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Notes are convertible into preferred equity of Koin Mobile, LLC and Marker Trax, LLC at the option of the Company upon the occurrence of certain events including a qualified equity financing, change in control, achievement of profitability or at the option of the Company at maturity, as defined in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0"/>
                <w:szCs w:val="10"/>
                <w:color w:val="auto"/>
              </w:rPr>
            </w:pPr>
          </w:p>
        </w:tc>
        <w:tc>
          <w:tcPr>
            <w:tcW w:w="132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3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84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tax payables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Accrued payroll expenses</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DEFERRED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or due in advance of the Company's performance. The increase in the deferred revenue balance for the nine months ended September 30, 2024 is the result of $32.5 million of cash payments received in the current year for which the Company has not yet satisfied the performance obligations, offset by $31.7 million of revenues recognized.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(10) DEBT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obligations consist of the following:</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50"/>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8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Revolving credit agreement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536.9</w:t>
            </w:r>
          </w:p>
        </w:tc>
      </w:tr>
      <w:tr>
        <w:trPr>
          <w:trHeight w:val="216"/>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0.75% Convertible Notes, unsecured, due 2049</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525.0</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1.375% Senior Notes, due 2026</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662.2</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Uncommitted credit agreements</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obligations</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8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84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Total debt obligations</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gridSpan w:val="2"/>
            <w:shd w:val="clear" w:color="auto" w:fill="CCEEFF"/>
          </w:tcPr>
          <w:p>
            <w:pPr>
              <w:spacing w:after="0"/>
              <w:rPr>
                <w:sz w:val="18"/>
                <w:szCs w:val="18"/>
                <w:color w:val="auto"/>
              </w:rPr>
            </w:pPr>
          </w:p>
        </w:tc>
      </w:tr>
      <w:tr>
        <w:trPr>
          <w:trHeight w:val="210"/>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Carrying value of debt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debt obligations and current maturities of long-term debt obligations</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(1,079.8)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(150.3)</w:t>
            </w:r>
          </w:p>
        </w:tc>
      </w:tr>
      <w:tr>
        <w:trPr>
          <w:trHeight w:val="209"/>
        </w:trPr>
        <w:tc>
          <w:tcPr>
            <w:tcW w:w="8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24, 2022, the Company amended its revolving credit agreement (the “Credit Facility”) to increase the facility from $1.03 billion to $1.25 billion and to extend the expiration to October 24, 2027.</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revolving credit facility contains a sublimit of up to $250 million, with $150 million committed, for the issuance of letters of credit and a $75 million sublimit for U.S. dollar swingline loans and a $75 million sublimit for swingline loans in euros or British pounds sterling. The Credit Facility allows for borrowings in British pounds sterling, euro and U.S. dollars. Subject to certain conditions, the Company has the option to increase the credit facility by up to an additional $ 500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1.25% including the facility fee.</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 contains customary affirmative and negative covenants, events of default and financial covenants, including (all as defined in the Credit Facility): (i) a Consolidated Total Leverage Ratio, depending on certain circumstances defined in the Credit Facility, not to exceed a range between 3.5 to 1.0 and 4.5 to 1.0; and (ii) a Consolidated Interest Coverage Ratio of not less than 3.0 to 1.0. Subject to meeting certain customary covenants (as defined in the Credit Facility), the Company is permitted to repurchase common stock and debt. The Company was in compliance with all debt covenants as of September 30, 2024.</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 In connection with the issuance of the Convertible Notes, the Company recorded $12.8 million in debt issuance costs, which are being amortized through March 1, 2025.</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redeem for cash all or any portion of the Convertible Notes, at its option, (i) if the closing sale price of the Company's Common Stock has been at least 130 %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and (ii) on or after March 20, 2025 and prior to the maturity date, regardless of the foregoing sale price condition, in each case at a redemption price equal to 100% of the principal amount of the Convertible Notes to be redeemed, plus accrued and unpaid interest to, but excluding, the redemption date. No sinking fund is provided for the Convertible Notes. In addition, if a fundamental change, as defined in the Indenture, occurs prior to the maturity date, holders may require the Company to repurchase for cash all or part of their Convertible Notes at a repurchase price equal to 100% of the principal amount of the Convertible Notes to be repurchased, plus accrued and unpaid interest to, but excluding, the fundamental change repurchase date. As of September 30, 2024, the conversion threshold was not met. Contractual interest expense for the Convertible Notes was $1.1 million and $3.2 million for the three and nine months ended September 30, 2024, respectively. Contractual interest expense for the Convertible Notes was $1.1 million and $3.1 million for the three and nine months ended September 30, 2023,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1.375% Senior Notes due 2026</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22, 2019, the Company completed the sale of €600.0 million ($669.9 million) aggregate principal amount of Senior Notes that are due in May 2026 (the “Senior Notes”). The Senior Notes accrue interest at a rate of 1.375% per year, payable annually in arrears commencing May 22, 2020, until maturity or earlier redemption. As of September 30, 2024, the Company has outstanding €600.0 million ($668.0 million) principal amount of the Senior Notes. In addition, the Company may redeem some or all of these notes on or after February 22, 2026 at their principal amount plus any accrued and unpaid interest.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Uncommitted Credit Agreements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26, 2023, the Company entered into an Uncommitted Loan Agreement for $150 million, which expired on June 21, 2024. This loan was a Prime rate loan, a Bloomberg Short-term Bank Yield (“BSBY”) rate loan plus 0.95% or bore interest at the rate agreed to by the Bank and the Company at the time a loan was made. The weighted average interest rate from the loan inception date to June 21, 2024, was 6.32%.</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2024, the Company rolled the $150 million Uncommitted Loan Agreement into a new Uncommitted Loan Agreement with a $400 million credit limit on or before September 30, 2024, and a credit limit of $250 million on or after October 1, 2024 for the sole purpose of providing vault cash for ATMs and expires no later than June 20, 2025. The loan had an outstanding balance of $250 million at September 30, 2024. The loan is a Prime Rate Loan, a Daily SOFR Rate Loan plus 1.05% or shall bear interest at the rate agreed to by the Bank and the Borrower at the time such Loan is made. The weighted-average interest rate from loan inception date to September 30, 2024, was 6.30%.</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2024, the Company entered into an Uncommitted Loan Agreement for $300 million, fully drawn and outstanding at September 30, 2024, for the sole purpose of providing vault cash for ATMs, that expires no later than November 30, 2024. The loan is a Prime Rate Loan, a Daily Simple SOFR Rate Loan plus 1.125% or shall bear interest at the rate agreed to by the Bank and the Borrower at the time such Loan is made. The weighted-average interest rate from the loan inception date to September 30, 2024 was 6.39%.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Company's subsidiaries have available lines of credit and overdraft credit facilities that generally provide for short-term borrowings that are used from time to time for working capital purposes. As of September 30, 2024 and December 31, 2023, borrowings under these arrangements were $4.8 million and $0.3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unamortized debt issuance costs of $2.5 million for the Credit Facility, $1.0 million for the Convertible Notes and $2.0 million for the Senior Notes that will be amortized through October 2027, March 2025 and May 2026,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DERIVATIVE INSTRUMENTS AND HEDGING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Ria Operations and Corporate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 foreign currency forward contracts outstanding in the U.S. with a notional value of $531.3 million and $393.3 million as of September 30, 2024 and December 31, 2023, respectively. The foreign currency forward contracts consist primarily in Australian dollars, Canadian dollars, British pounds sterling, euros and Mexican pesos.</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uses forward contracts, typically with maturities from a few days to less than one year, to offset foreign exchange rate fluctuations on certain short-term borrowings that are payable in currencies other than the U.S dollar. The Company had foreign currency forward contracts outstanding with a notional value of $193.7 million and $563.1 million as of September 30, 2024 and December 31, 2023, respectively, primarily in euro.</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Foreign currency exchange contracts - xe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$23.2 million and $66.5 million for the three and nine months ended September 30, 2024, respectively, and $22.2 million and $63.8 million for the three and nine months ended September 30, 2023, respectively. All of the derivative contracts used in the Company's xe operations are economic hedges and are not designated as hedges under ASC 815. The duration of these derivative contracts is generally less than one year.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equivalent U.S. dollar notional amount of foreign currency derivative customer contracts held by the Company in its xe operations as of September 30, 2024 and December 31, 2023 was $1.1 billion and $1.1 billion, respectively. The significant majority of customer contracts are written in major currencies such as the euro, U.S. dollar, British pounds sterling, Australian dollar and New Zealand dollar.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Balance Sheet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derivative instruments as recorded in the Consolidated Balance Sheets as of the dates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40" w:type="dxa"/>
            <w:vAlign w:val="bottom"/>
            <w:tcBorders>
              <w:bottom w:val="single" w:sz="8" w:color="auto"/>
            </w:tcBorders>
            <w:gridSpan w:val="4"/>
          </w:tcPr>
          <w:p>
            <w:pPr>
              <w:ind w:left="140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360" w:type="dxa"/>
            <w:vAlign w:val="bottom"/>
            <w:tcBorders>
              <w:bottom w:val="single" w:sz="8" w:color="auto"/>
            </w:tcBorders>
            <w:gridSpan w:val="5"/>
          </w:tcPr>
          <w:p>
            <w:pPr>
              <w:ind w:left="158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17"/>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4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22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100" w:type="dxa"/>
            <w:vAlign w:val="bottom"/>
            <w:tcBorders>
              <w:top w:val="single" w:sz="8" w:color="auto"/>
            </w:tcBorders>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292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22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2860" w:type="dxa"/>
            <w:vAlign w:val="bottom"/>
            <w:tcBorders>
              <w:top w:val="single" w:sz="8" w:color="auto"/>
            </w:tcBorders>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Derivatives not designated as</w:t>
            </w:r>
          </w:p>
        </w:tc>
        <w:tc>
          <w:tcPr>
            <w:tcW w:w="6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1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tcPr>
          <w:p>
            <w:pPr>
              <w:spacing w:after="0"/>
              <w:rPr>
                <w:sz w:val="20"/>
                <w:szCs w:val="20"/>
                <w:color w:val="auto"/>
              </w:rPr>
            </w:pPr>
          </w:p>
        </w:tc>
        <w:tc>
          <w:tcPr>
            <w:tcW w:w="22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Other current liabilities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gross and net fair value of derivative assets and liabilities as of September 30, 2024 and December 31, 2023 (in millions):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Derivative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4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Not Offset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4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3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14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80" w:type="dxa"/>
            <w:vAlign w:val="bottom"/>
          </w:tcPr>
          <w:p>
            <w:pPr>
              <w:spacing w:after="0"/>
              <w:rPr>
                <w:sz w:val="12"/>
                <w:szCs w:val="12"/>
                <w:color w:val="auto"/>
              </w:rPr>
            </w:pPr>
          </w:p>
        </w:tc>
        <w:tc>
          <w:tcPr>
            <w:tcW w:w="1300" w:type="dxa"/>
            <w:vAlign w:val="bottom"/>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in the Consolidated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73"/>
        </w:trPr>
        <w:tc>
          <w:tcPr>
            <w:tcW w:w="4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4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80" w:type="dxa"/>
            <w:vAlign w:val="bottom"/>
          </w:tcPr>
          <w:p>
            <w:pPr>
              <w:spacing w:after="0"/>
              <w:rPr>
                <w:sz w:val="15"/>
                <w:szCs w:val="15"/>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351"/>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Offsetting of Derivative Liabilities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Derivatives Not</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40" w:type="dxa"/>
            <w:vAlign w:val="bottom"/>
          </w:tcPr>
          <w:p>
            <w:pPr>
              <w:spacing w:after="0"/>
              <w:rPr>
                <w:sz w:val="12"/>
                <w:szCs w:val="12"/>
                <w:color w:val="auto"/>
              </w:rPr>
            </w:pPr>
          </w:p>
        </w:tc>
        <w:tc>
          <w:tcPr>
            <w:tcW w:w="122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40" w:type="dxa"/>
            <w:vAlign w:val="bottom"/>
          </w:tcPr>
          <w:p>
            <w:pPr>
              <w:spacing w:after="0"/>
              <w:rPr>
                <w:sz w:val="12"/>
                <w:szCs w:val="12"/>
                <w:color w:val="auto"/>
              </w:rPr>
            </w:pPr>
          </w:p>
        </w:tc>
        <w:tc>
          <w:tcPr>
            <w:tcW w:w="14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 Balance</w:t>
            </w:r>
          </w:p>
        </w:tc>
        <w:tc>
          <w:tcPr>
            <w:tcW w:w="180" w:type="dxa"/>
            <w:vAlign w:val="bottom"/>
          </w:tcPr>
          <w:p>
            <w:pPr>
              <w:spacing w:after="0"/>
              <w:rPr>
                <w:sz w:val="12"/>
                <w:szCs w:val="12"/>
                <w:color w:val="auto"/>
              </w:rPr>
            </w:pPr>
          </w:p>
        </w:tc>
        <w:tc>
          <w:tcPr>
            <w:tcW w:w="120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Net Amounts</w:t>
            </w:r>
          </w:p>
        </w:tc>
        <w:tc>
          <w:tcPr>
            <w:tcW w:w="0" w:type="dxa"/>
            <w:vAlign w:val="bottom"/>
          </w:tcPr>
          <w:p>
            <w:pPr>
              <w:spacing w:after="0"/>
              <w:rPr>
                <w:sz w:val="1"/>
                <w:szCs w:val="1"/>
                <w:color w:val="auto"/>
              </w:rPr>
            </w:pPr>
          </w:p>
        </w:tc>
      </w:tr>
      <w:tr>
        <w:trPr>
          <w:trHeight w:val="173"/>
        </w:trPr>
        <w:tc>
          <w:tcPr>
            <w:tcW w:w="4160" w:type="dxa"/>
            <w:vAlign w:val="bottom"/>
            <w:gridSpan w:val="2"/>
            <w:vMerge w:val="continue"/>
          </w:tcPr>
          <w:p>
            <w:pPr>
              <w:spacing w:after="0"/>
              <w:rPr>
                <w:sz w:val="15"/>
                <w:szCs w:val="15"/>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Recognized Liabilities</w:t>
            </w:r>
          </w:p>
        </w:tc>
        <w:tc>
          <w:tcPr>
            <w:tcW w:w="140" w:type="dxa"/>
            <w:vAlign w:val="bottom"/>
          </w:tcPr>
          <w:p>
            <w:pPr>
              <w:spacing w:after="0"/>
              <w:rPr>
                <w:sz w:val="15"/>
                <w:szCs w:val="15"/>
                <w:color w:val="auto"/>
              </w:rPr>
            </w:pPr>
          </w:p>
        </w:tc>
        <w:tc>
          <w:tcPr>
            <w:tcW w:w="12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Sheet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99"/>
        </w:trPr>
        <w:tc>
          <w:tcPr>
            <w:tcW w:w="4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2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Derivatives subject to a master netting arrangement or</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similar agreement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Fair Value Measurements, for the determination of the fair values of derivatives.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Presentation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amount of gains (losses) on derivatives in the Consolidated Statements of Income for the three and nine months ended September 30,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38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Gain (Loss) Recognized in Income on Derivative Contracts (a)</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1"/>
                <w:szCs w:val="21"/>
                <w:color w:val="auto"/>
              </w:rPr>
            </w:pPr>
          </w:p>
        </w:tc>
        <w:tc>
          <w:tcPr>
            <w:tcW w:w="2400" w:type="dxa"/>
            <w:vAlign w:val="bottom"/>
            <w:gridSpan w:val="4"/>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Gain (Loss) Recognized in Income on</w:t>
            </w:r>
          </w:p>
        </w:tc>
        <w:tc>
          <w:tcPr>
            <w:tcW w:w="3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0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tcPr>
          <w:p>
            <w:pPr>
              <w:spacing w:after="0"/>
              <w:rPr>
                <w:sz w:val="3"/>
                <w:szCs w:val="3"/>
                <w:color w:val="auto"/>
              </w:rPr>
            </w:pPr>
          </w:p>
        </w:tc>
        <w:tc>
          <w:tcPr>
            <w:tcW w:w="35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vMerge w:val="restart"/>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line="20" w:lineRule="exact"/>
              <w:rPr>
                <w:sz w:val="1"/>
                <w:szCs w:val="1"/>
                <w:color w:val="auto"/>
              </w:rPr>
            </w:pPr>
          </w:p>
        </w:tc>
      </w:tr>
      <w:tr>
        <w:trPr>
          <w:trHeight w:val="173"/>
        </w:trPr>
        <w:tc>
          <w:tcPr>
            <w:tcW w:w="2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40" w:type="dxa"/>
            <w:vAlign w:val="bottom"/>
            <w:tcBorders>
              <w:top w:val="single" w:sz="8" w:color="auto"/>
            </w:tcBorders>
            <w:shd w:val="clear" w:color="auto" w:fill="CCEEFF"/>
          </w:tcPr>
          <w:p>
            <w:pPr>
              <w:ind w:left="40"/>
              <w:spacing w:after="0" w:line="191" w:lineRule="exact"/>
              <w:rPr>
                <w:sz w:val="20"/>
                <w:szCs w:val="20"/>
                <w:color w:val="auto"/>
              </w:rPr>
            </w:pPr>
            <w:r>
              <w:rPr>
                <w:rFonts w:ascii="Times New Roman" w:cs="Times New Roman" w:eastAsia="Times New Roman" w:hAnsi="Times New Roman"/>
                <w:sz w:val="18"/>
                <w:szCs w:val="18"/>
                <w:color w:val="auto"/>
              </w:rPr>
              <w:t>Foreign currency exchange</w:t>
            </w:r>
          </w:p>
        </w:tc>
        <w:tc>
          <w:tcPr>
            <w:tcW w:w="120" w:type="dxa"/>
            <w:vAlign w:val="bottom"/>
            <w:tcBorders>
              <w:top w:val="single" w:sz="8" w:color="CCEEFF"/>
            </w:tcBorders>
            <w:shd w:val="clear" w:color="auto" w:fill="CCEEFF"/>
          </w:tcPr>
          <w:p>
            <w:pPr>
              <w:spacing w:after="0"/>
              <w:rPr>
                <w:sz w:val="16"/>
                <w:szCs w:val="16"/>
                <w:color w:val="auto"/>
              </w:rPr>
            </w:pPr>
          </w:p>
        </w:tc>
        <w:tc>
          <w:tcPr>
            <w:tcW w:w="3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contracts</w:t>
            </w:r>
          </w:p>
        </w:tc>
        <w:tc>
          <w:tcPr>
            <w:tcW w:w="120" w:type="dxa"/>
            <w:vAlign w:val="bottom"/>
            <w:shd w:val="clear" w:color="auto" w:fill="CCEEFF"/>
          </w:tcPr>
          <w:p>
            <w:pPr>
              <w:spacing w:after="0"/>
              <w:rPr>
                <w:sz w:val="20"/>
                <w:szCs w:val="20"/>
                <w:color w:val="auto"/>
              </w:rPr>
            </w:pPr>
          </w:p>
        </w:tc>
        <w:tc>
          <w:tcPr>
            <w:tcW w:w="3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Foreign currency exchange gain (loss), net</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66" w:lineRule="auto"/>
        <w:tabs>
          <w:tab w:leader="none" w:pos="2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right="20"/>
        <w:spacing w:after="0" w:line="250" w:lineRule="auto"/>
        <w:rPr>
          <w:sz w:val="20"/>
          <w:szCs w:val="20"/>
          <w:color w:val="auto"/>
        </w:rPr>
      </w:pPr>
      <w:r>
        <w:rPr>
          <w:rFonts w:ascii="Times New Roman" w:cs="Times New Roman" w:eastAsia="Times New Roman" w:hAnsi="Times New Roman"/>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-234315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0"/>
        <w:spacing w:after="0" w:line="260" w:lineRule="auto"/>
        <w:rPr>
          <w:sz w:val="20"/>
          <w:szCs w:val="20"/>
          <w:color w:val="auto"/>
        </w:rPr>
      </w:pPr>
      <w:r>
        <w:rPr>
          <w:rFonts w:ascii="Times New Roman" w:cs="Times New Roman" w:eastAsia="Times New Roman" w:hAnsi="Times New Roman"/>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-245110</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following table details financial assets and liabilities measured and recorded at fair value on a recurring basis: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gridSpan w:val="2"/>
            <w:vMerge w:val="restart"/>
          </w:tcPr>
          <w:p>
            <w:pPr>
              <w:spacing w:after="0"/>
              <w:rPr>
                <w:sz w:val="11"/>
                <w:szCs w:val="11"/>
                <w:color w:val="auto"/>
              </w:rPr>
            </w:pPr>
          </w:p>
        </w:tc>
        <w:tc>
          <w:tcPr>
            <w:tcW w:w="12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60" w:type="dxa"/>
            <w:vAlign w:val="bottom"/>
            <w:tcBorders>
              <w:bottom w:val="single" w:sz="8" w:color="auto"/>
            </w:tcBorders>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Other current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assets</w:t>
            </w: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70"/>
        </w:trPr>
        <w:tc>
          <w:tcPr>
            <w:tcW w:w="4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Marketable securities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23"/>
                <w:szCs w:val="23"/>
                <w:color w:val="auto"/>
              </w:rPr>
            </w:pPr>
          </w:p>
        </w:tc>
        <w:tc>
          <w:tcPr>
            <w:tcW w:w="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Other current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0" w:type="dxa"/>
            <w:vAlign w:val="bottom"/>
          </w:tcPr>
          <w:p>
            <w:pPr>
              <w:spacing w:after="0"/>
              <w:rPr>
                <w:sz w:val="20"/>
                <w:szCs w:val="20"/>
                <w:color w:val="auto"/>
              </w:rPr>
            </w:pPr>
          </w:p>
        </w:tc>
        <w:tc>
          <w:tcPr>
            <w:tcW w:w="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479"/>
        </w:trPr>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120" w:type="dxa"/>
            <w:vAlign w:val="bottom"/>
            <w:vMerge w:val="restart"/>
          </w:tcPr>
          <w:p>
            <w:pPr>
              <w:spacing w:after="0"/>
              <w:rPr>
                <w:sz w:val="11"/>
                <w:szCs w:val="11"/>
                <w:color w:val="auto"/>
              </w:rPr>
            </w:pPr>
          </w:p>
        </w:tc>
        <w:tc>
          <w:tcPr>
            <w:tcW w:w="1240" w:type="dxa"/>
            <w:vAlign w:val="bottom"/>
            <w:gridSpan w:val="2"/>
          </w:tcPr>
          <w:p>
            <w:pPr>
              <w:jc w:val="center"/>
              <w:ind w:right="20"/>
              <w:spacing w:after="0" w:line="137"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20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240" w:type="dxa"/>
            <w:vAlign w:val="bottom"/>
            <w:gridSpan w:val="2"/>
            <w:shd w:val="clear" w:color="auto" w:fill="CCEEFF"/>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w w:val="99"/>
              </w:rPr>
              <w:t>Other current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gridSpan w:val="3"/>
            <w:vMerge w:val="continue"/>
            <w:shd w:val="clear" w:color="auto" w:fill="CCEEFF"/>
          </w:tcPr>
          <w:p>
            <w:pPr>
              <w:spacing w:after="0"/>
              <w:rPr>
                <w:sz w:val="20"/>
                <w:szCs w:val="20"/>
                <w:color w:val="auto"/>
              </w:rPr>
            </w:pPr>
          </w:p>
        </w:tc>
        <w:tc>
          <w:tcPr>
            <w:tcW w:w="1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assets</w:t>
            </w: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4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420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240" w:type="dxa"/>
            <w:vAlign w:val="bottom"/>
            <w:gridSpan w:val="2"/>
            <w:shd w:val="clear" w:color="auto" w:fill="CCEEFF"/>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w w:val="99"/>
              </w:rPr>
              <w:t>Other current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gridSpan w:val="3"/>
            <w:vMerge w:val="continue"/>
            <w:shd w:val="clear" w:color="auto" w:fill="CCEEFF"/>
          </w:tcPr>
          <w:p>
            <w:pPr>
              <w:spacing w:after="0"/>
              <w:rPr>
                <w:sz w:val="20"/>
                <w:szCs w:val="20"/>
                <w:color w:val="auto"/>
              </w:rPr>
            </w:pPr>
          </w:p>
        </w:tc>
        <w:tc>
          <w:tcPr>
            <w:tcW w:w="12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liabilities</w:t>
            </w:r>
          </w:p>
        </w:tc>
        <w:tc>
          <w:tcPr>
            <w:tcW w:w="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4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Disclosures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as of September 30, 2024 was based on the Secured Overnight Financing Rate ("SOFR") that resets at various intervals of less than one year. The Company estimates the fair value of the Convertible Notes and Senior Notes using quoted prices in inactive markets for identical liabilities (Level 2). </w:t>
      </w:r>
      <w:r>
        <w:rPr>
          <w:rFonts w:ascii="Times New Roman" w:cs="Times New Roman" w:eastAsia="Times New Roman" w:hAnsi="Times New Roman"/>
          <w:sz w:val="18"/>
          <w:szCs w:val="18"/>
          <w:color w:val="252525"/>
        </w:rPr>
        <w:t>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September 30, 2024, </w:t>
      </w:r>
      <w:r>
        <w:rPr>
          <w:rFonts w:ascii="Times New Roman" w:cs="Times New Roman" w:eastAsia="Times New Roman" w:hAnsi="Times New Roman"/>
          <w:sz w:val="18"/>
          <w:szCs w:val="18"/>
          <w:color w:val="000000"/>
        </w:rPr>
        <w:t>the fair values of the Convertible Notes and Senior Notes were $514.8 million and $646.7 million, respectively, with carrying values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of $525.0 million and $668.0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Our reportable operating segments have been determined in accordance with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("ASC 280")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currently operates in the following three reportable operating segments:</w:t>
      </w:r>
    </w:p>
    <w:p>
      <w:pPr>
        <w:spacing w:after="0" w:line="160" w:lineRule="exact"/>
        <w:rPr>
          <w:sz w:val="20"/>
          <w:szCs w:val="20"/>
          <w:color w:val="auto"/>
        </w:rPr>
      </w:pPr>
    </w:p>
    <w:p>
      <w:pPr>
        <w:jc w:val="both"/>
        <w:ind w:firstLine="278"/>
        <w:spacing w:after="0" w:line="258" w:lineRule="auto"/>
        <w:tabs>
          <w:tab w:leader="none" w:pos="4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EFT Processing Segment, the Company processes transactions for a network of ATMs and POS terminals across Europe, the Middle East, Africa, Asia Pacific and North America. Euronet provides comprehensive electronic payment solutions consisting of ATM cash withdrawal and deposit services, ATM network participation, outsourced ATM and POS management solutions, credit, debit and prepaid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9" w:name="page20"/>
    <w:bookmarkEnd w:id="19"/>
    <w:p>
      <w:pPr>
        <w:jc w:val="both"/>
        <w:ind w:firstLine="278"/>
        <w:spacing w:after="0" w:line="266" w:lineRule="auto"/>
        <w:tabs>
          <w:tab w:leader="none" w:pos="4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epay Segment, the Company provides distribution, processing and collection services for electronic payment products, and prepaid mobile airtime through a network of POS terminals in Europe, the Middle East, Asia Pacific, South America and North America. The epay Segment also provides vouchers and physical gift fulfillment services in Europe.</w:t>
      </w:r>
    </w:p>
    <w:p>
      <w:pPr>
        <w:spacing w:after="0" w:line="175" w:lineRule="exact"/>
        <w:rPr>
          <w:rFonts w:ascii="Times New Roman" w:cs="Times New Roman" w:eastAsia="Times New Roman" w:hAnsi="Times New Roman"/>
          <w:sz w:val="18"/>
          <w:szCs w:val="18"/>
          <w:color w:val="auto"/>
        </w:rPr>
      </w:pPr>
    </w:p>
    <w:p>
      <w:pPr>
        <w:jc w:val="both"/>
        <w:ind w:firstLine="278"/>
        <w:spacing w:after="0" w:line="254" w:lineRule="auto"/>
        <w:tabs>
          <w:tab w:leader="none" w:pos="4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Money Transfer Segment, the Company provides global consumer-to-consumer money transfer services, primarily under the brand names Ria, IME, AFEX, and xe, and global account-to-account money transfer services under the brand name xe. The Company offers services under the brand names Ria and IME through a network of sending agents, Company-owned stores, Company-owned websites, and mobile applications, disbursing money transfers through a worldwide correspondent network. xe is a provider of foreign currency exchange information and offers money transfer services on its currency data websites. The Company also offers customers bill payment services (primarily in the U.S.), payment alternatives such as money orders and prepaid debit cards, comprehensive check cashing services for a wide variety of issued checks, along with competitive foreign currency exchange services and prepaid mobile top-up. Furthermore, xe provides cash management solutions and foreign currency risk management services to small-to-medium sized businesses.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accounts for non-operating activity, share-based compensation expense, certain intersegment eliminations and the costs of providing corporate and other administrative services in the administrative division, "Corporate Services, Eliminations and Other." These services are not directly identifiable with the Company’s reportable operating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reportable segment results for the three months and nine months ended September 30, 2024 and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EFT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Corporate Services,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26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epay</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373.0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438.2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1,099.3</w:t>
            </w:r>
          </w:p>
        </w:tc>
        <w:tc>
          <w:tcPr>
            <w:tcW w:w="0" w:type="dxa"/>
            <w:vAlign w:val="bottom"/>
          </w:tcPr>
          <w:p>
            <w:pPr>
              <w:spacing w:after="0"/>
              <w:rPr>
                <w:sz w:val="1"/>
                <w:szCs w:val="1"/>
                <w:color w:val="auto"/>
              </w:rPr>
            </w:pPr>
          </w:p>
        </w:tc>
      </w:tr>
      <w:tr>
        <w:trPr>
          <w:trHeight w:val="209"/>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634.0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261.2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380.1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917.1</w:t>
            </w:r>
          </w:p>
        </w:tc>
        <w:tc>
          <w:tcPr>
            <w:tcW w:w="0" w:type="dxa"/>
            <w:vAlign w:val="bottom"/>
          </w:tcPr>
          <w:p>
            <w:pPr>
              <w:spacing w:after="0"/>
              <w:rPr>
                <w:sz w:val="1"/>
                <w:szCs w:val="1"/>
                <w:color w:val="auto"/>
              </w:rPr>
            </w:pPr>
          </w:p>
        </w:tc>
      </w:tr>
      <w:tr>
        <w:trPr>
          <w:trHeight w:val="210"/>
        </w:trPr>
        <w:tc>
          <w:tcPr>
            <w:tcW w:w="4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2023</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EFT</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Corporate Services,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26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epay</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345.8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264.5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395.9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1,004.0</w:t>
            </w:r>
          </w:p>
        </w:tc>
        <w:tc>
          <w:tcPr>
            <w:tcW w:w="0" w:type="dxa"/>
            <w:vAlign w:val="bottom"/>
          </w:tcPr>
          <w:p>
            <w:pPr>
              <w:spacing w:after="0"/>
              <w:rPr>
                <w:sz w:val="1"/>
                <w:szCs w:val="1"/>
                <w:color w:val="auto"/>
              </w:rPr>
            </w:pPr>
          </w:p>
        </w:tc>
      </w:tr>
      <w:tr>
        <w:trPr>
          <w:trHeight w:val="210"/>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576.7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837.0</w:t>
            </w:r>
          </w:p>
        </w:tc>
        <w:tc>
          <w:tcPr>
            <w:tcW w:w="0" w:type="dxa"/>
            <w:vAlign w:val="bottom"/>
          </w:tcPr>
          <w:p>
            <w:pPr>
              <w:spacing w:after="0"/>
              <w:rPr>
                <w:sz w:val="1"/>
                <w:szCs w:val="1"/>
                <w:color w:val="auto"/>
              </w:rPr>
            </w:pPr>
          </w:p>
        </w:tc>
      </w:tr>
      <w:tr>
        <w:trPr>
          <w:trHeight w:val="210"/>
        </w:trPr>
        <w:tc>
          <w:tcPr>
            <w:tcW w:w="4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EFT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Corporate Services,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22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epay</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895.6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808.3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1,244.6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2,942.5</w:t>
            </w:r>
          </w:p>
        </w:tc>
        <w:tc>
          <w:tcPr>
            <w:tcW w:w="0" w:type="dxa"/>
            <w:vAlign w:val="bottom"/>
          </w:tcPr>
          <w:p>
            <w:pPr>
              <w:spacing w:after="0"/>
              <w:rPr>
                <w:sz w:val="1"/>
                <w:szCs w:val="1"/>
                <w:color w:val="auto"/>
              </w:rPr>
            </w:pPr>
          </w:p>
        </w:tc>
      </w:tr>
      <w:tr>
        <w:trPr>
          <w:trHeight w:val="209"/>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1,748.5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482.3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676.9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726.4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1,102.0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2,562.0</w:t>
            </w:r>
          </w:p>
        </w:tc>
        <w:tc>
          <w:tcPr>
            <w:tcW w:w="0" w:type="dxa"/>
            <w:vAlign w:val="bottom"/>
          </w:tcPr>
          <w:p>
            <w:pPr>
              <w:spacing w:after="0"/>
              <w:rPr>
                <w:sz w:val="1"/>
                <w:szCs w:val="1"/>
                <w:color w:val="auto"/>
              </w:rPr>
            </w:pPr>
          </w:p>
        </w:tc>
      </w:tr>
      <w:tr>
        <w:trPr>
          <w:trHeight w:val="210"/>
        </w:trPr>
        <w:tc>
          <w:tcPr>
            <w:tcW w:w="4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218.7</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380.5</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2023</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EFT</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Money</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Corporate Services,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22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epay</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820.4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765.7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1,150.1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2,730.3</w:t>
            </w:r>
          </w:p>
        </w:tc>
        <w:tc>
          <w:tcPr>
            <w:tcW w:w="0" w:type="dxa"/>
            <w:vAlign w:val="bottom"/>
          </w:tcPr>
          <w:p>
            <w:pPr>
              <w:spacing w:after="0"/>
              <w:rPr>
                <w:sz w:val="1"/>
                <w:szCs w:val="1"/>
                <w:color w:val="auto"/>
              </w:rPr>
            </w:pPr>
          </w:p>
        </w:tc>
      </w:tr>
      <w:tr>
        <w:trPr>
          <w:trHeight w:val="209"/>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 exclusive of depreciation</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426.8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1,626.4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18"/>
                <w:szCs w:val="18"/>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444.9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639.6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683.1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1,016.6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2,395.1</w:t>
            </w:r>
          </w:p>
        </w:tc>
        <w:tc>
          <w:tcPr>
            <w:tcW w:w="0" w:type="dxa"/>
            <w:vAlign w:val="bottom"/>
          </w:tcPr>
          <w:p>
            <w:pPr>
              <w:spacing w:after="0"/>
              <w:rPr>
                <w:sz w:val="1"/>
                <w:szCs w:val="1"/>
                <w:color w:val="auto"/>
              </w:rPr>
            </w:pPr>
          </w:p>
        </w:tc>
      </w:tr>
      <w:tr>
        <w:trPr>
          <w:trHeight w:val="209"/>
        </w:trPr>
        <w:tc>
          <w:tcPr>
            <w:tcW w:w="4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335.2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total assets by reportable segment: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0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Total Assets as of</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vMerge w:val="continue"/>
          </w:tcPr>
          <w:p>
            <w:pPr>
              <w:spacing w:after="0"/>
              <w:rPr>
                <w:sz w:val="12"/>
                <w:szCs w:val="12"/>
                <w:color w:val="auto"/>
              </w:rPr>
            </w:pPr>
          </w:p>
        </w:tc>
        <w:tc>
          <w:tcPr>
            <w:tcW w:w="4080" w:type="dxa"/>
            <w:vAlign w:val="bottom"/>
          </w:tcPr>
          <w:p>
            <w:pPr>
              <w:spacing w:after="0"/>
              <w:rPr>
                <w:sz w:val="12"/>
                <w:szCs w:val="12"/>
                <w:color w:val="auto"/>
              </w:rPr>
            </w:pPr>
          </w:p>
        </w:tc>
        <w:tc>
          <w:tcPr>
            <w:tcW w:w="14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1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4480" w:type="dxa"/>
            <w:vAlign w:val="bottom"/>
            <w:tcBorders>
              <w:top w:val="single" w:sz="8" w:color="auto"/>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3,006.6</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2,442.0</w:t>
            </w:r>
          </w:p>
        </w:tc>
        <w:tc>
          <w:tcPr>
            <w:tcW w:w="0" w:type="dxa"/>
            <w:vAlign w:val="bottom"/>
          </w:tcPr>
          <w:p>
            <w:pPr>
              <w:spacing w:after="0"/>
              <w:rPr>
                <w:sz w:val="1"/>
                <w:szCs w:val="1"/>
                <w:color w:val="auto"/>
              </w:rPr>
            </w:pPr>
          </w:p>
        </w:tc>
      </w:tr>
      <w:tr>
        <w:trPr>
          <w:trHeight w:val="216"/>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4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986.6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1,204.9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4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1,917.3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1,921.1</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Corporate Services, Eliminations and Other</w:t>
            </w:r>
          </w:p>
        </w:tc>
        <w:tc>
          <w:tcPr>
            <w:tcW w:w="40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326.4</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6,289.1</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5,894.4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08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6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36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3"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10"/>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Revenues for the Three Months Ended September 30, 2024</w:t>
            </w: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1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Revenues for the Nine Months Ended September 30, 2024</w:t>
            </w:r>
          </w:p>
        </w:tc>
        <w:tc>
          <w:tcPr>
            <w:tcW w:w="0" w:type="dxa"/>
            <w:vAlign w:val="bottom"/>
          </w:tcPr>
          <w:p>
            <w:pPr>
              <w:spacing w:after="0"/>
              <w:rPr>
                <w:sz w:val="1"/>
                <w:szCs w:val="1"/>
                <w:color w:val="auto"/>
              </w:rPr>
            </w:pPr>
          </w:p>
        </w:tc>
      </w:tr>
      <w:tr>
        <w:trPr>
          <w:trHeight w:val="13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6"/>
              <w:spacing w:after="0" w:line="136" w:lineRule="exact"/>
              <w:rPr>
                <w:sz w:val="20"/>
                <w:szCs w:val="20"/>
                <w:color w:val="auto"/>
              </w:rPr>
            </w:pPr>
            <w:r>
              <w:rPr>
                <w:rFonts w:ascii="Times New Roman" w:cs="Times New Roman" w:eastAsia="Times New Roman" w:hAnsi="Times New Roman"/>
                <w:sz w:val="14"/>
                <w:szCs w:val="14"/>
                <w:b w:val="1"/>
                <w:bCs w:val="1"/>
                <w:color w:val="auto"/>
              </w:rPr>
              <w:t>EFT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epay</w:t>
            </w:r>
          </w:p>
        </w:tc>
        <w:tc>
          <w:tcPr>
            <w:tcW w:w="160" w:type="dxa"/>
            <w:vAlign w:val="bottom"/>
          </w:tcPr>
          <w:p>
            <w:pPr>
              <w:spacing w:after="0"/>
              <w:rPr>
                <w:sz w:val="11"/>
                <w:szCs w:val="11"/>
                <w:color w:val="auto"/>
              </w:rPr>
            </w:pPr>
          </w:p>
        </w:tc>
        <w:tc>
          <w:tcPr>
            <w:tcW w:w="840" w:type="dxa"/>
            <w:vAlign w:val="bottom"/>
          </w:tcPr>
          <w:p>
            <w:pPr>
              <w:jc w:val="center"/>
              <w:ind w:right="75"/>
              <w:spacing w:after="0" w:line="136" w:lineRule="exact"/>
              <w:rPr>
                <w:sz w:val="20"/>
                <w:szCs w:val="20"/>
                <w:color w:val="auto"/>
              </w:rPr>
            </w:pPr>
            <w:r>
              <w:rPr>
                <w:rFonts w:ascii="Times New Roman" w:cs="Times New Roman" w:eastAsia="Times New Roman" w:hAnsi="Times New Roman"/>
                <w:sz w:val="14"/>
                <w:szCs w:val="14"/>
                <w:b w:val="1"/>
                <w:bCs w:val="1"/>
                <w:color w:val="auto"/>
              </w:rPr>
              <w:t>Money</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1"/>
                <w:szCs w:val="11"/>
                <w:color w:val="auto"/>
              </w:rPr>
            </w:pPr>
          </w:p>
        </w:tc>
        <w:tc>
          <w:tcPr>
            <w:tcW w:w="1000" w:type="dxa"/>
            <w:vAlign w:val="bottom"/>
            <w:gridSpan w:val="3"/>
          </w:tcPr>
          <w:p>
            <w:pPr>
              <w:jc w:val="center"/>
              <w:ind w:right="120"/>
              <w:spacing w:after="0" w:line="136" w:lineRule="exact"/>
              <w:rPr>
                <w:sz w:val="20"/>
                <w:szCs w:val="20"/>
                <w:color w:val="auto"/>
              </w:rPr>
            </w:pPr>
            <w:r>
              <w:rPr>
                <w:rFonts w:ascii="Times New Roman" w:cs="Times New Roman" w:eastAsia="Times New Roman" w:hAnsi="Times New Roman"/>
                <w:sz w:val="14"/>
                <w:szCs w:val="14"/>
                <w:b w:val="1"/>
                <w:bCs w:val="1"/>
                <w:color w:val="auto"/>
              </w:rPr>
              <w:t>EFT</w:t>
            </w:r>
          </w:p>
        </w:tc>
        <w:tc>
          <w:tcPr>
            <w:tcW w:w="80" w:type="dxa"/>
            <w:vAlign w:val="bottom"/>
          </w:tcPr>
          <w:p>
            <w:pPr>
              <w:spacing w:after="0"/>
              <w:rPr>
                <w:sz w:val="11"/>
                <w:szCs w:val="11"/>
                <w:color w:val="auto"/>
              </w:rPr>
            </w:pPr>
          </w:p>
        </w:tc>
        <w:tc>
          <w:tcPr>
            <w:tcW w:w="9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epay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60"/>
              <w:spacing w:after="0" w:line="136" w:lineRule="exact"/>
              <w:rPr>
                <w:sz w:val="20"/>
                <w:szCs w:val="20"/>
                <w:color w:val="auto"/>
              </w:rPr>
            </w:pPr>
            <w:r>
              <w:rPr>
                <w:rFonts w:ascii="Times New Roman" w:cs="Times New Roman" w:eastAsia="Times New Roman" w:hAnsi="Times New Roman"/>
                <w:sz w:val="14"/>
                <w:szCs w:val="14"/>
                <w:b w:val="1"/>
                <w:bCs w:val="1"/>
                <w:color w:val="auto"/>
              </w:rPr>
              <w:t>Money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7"/>
        </w:trPr>
        <w:tc>
          <w:tcPr>
            <w:tcW w:w="2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60" w:type="dxa"/>
            <w:vAlign w:val="bottom"/>
            <w:tcBorders>
              <w:top w:val="single" w:sz="8" w:color="auto"/>
            </w:tcBorders>
            <w:shd w:val="clear" w:color="auto" w:fill="CCEEFF"/>
          </w:tcPr>
          <w:p>
            <w:pPr>
              <w:ind w:left="40"/>
              <w:spacing w:after="0" w:line="186" w:lineRule="exact"/>
              <w:rPr>
                <w:sz w:val="20"/>
                <w:szCs w:val="20"/>
                <w:color w:val="auto"/>
              </w:rPr>
            </w:pPr>
            <w:r>
              <w:rPr>
                <w:rFonts w:ascii="Times New Roman" w:cs="Times New Roman" w:eastAsia="Times New Roman" w:hAnsi="Times New Roman"/>
                <w:sz w:val="18"/>
                <w:szCs w:val="18"/>
                <w:color w:val="auto"/>
              </w:rPr>
              <w:t>Europe</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294.2</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178.2</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186.1</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658.5</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CEEFF"/>
          </w:tcPr>
          <w:p>
            <w:pPr>
              <w:jc w:val="right"/>
              <w:ind w:right="60"/>
              <w:spacing w:after="0" w:line="186" w:lineRule="exact"/>
              <w:rPr>
                <w:sz w:val="20"/>
                <w:szCs w:val="20"/>
                <w:color w:val="auto"/>
              </w:rPr>
            </w:pPr>
            <w:r>
              <w:rPr>
                <w:rFonts w:ascii="Times New Roman" w:cs="Times New Roman" w:eastAsia="Times New Roman" w:hAnsi="Times New Roman"/>
                <w:sz w:val="18"/>
                <w:szCs w:val="18"/>
                <w:color w:val="auto"/>
              </w:rPr>
              <w:t>671.5</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shd w:val="clear" w:color="auto" w:fill="CCEEFF"/>
          </w:tcPr>
          <w:p>
            <w:pPr>
              <w:jc w:val="right"/>
              <w:ind w:right="40"/>
              <w:spacing w:after="0" w:line="186" w:lineRule="exact"/>
              <w:rPr>
                <w:sz w:val="20"/>
                <w:szCs w:val="20"/>
                <w:color w:val="auto"/>
              </w:rPr>
            </w:pPr>
            <w:r>
              <w:rPr>
                <w:rFonts w:ascii="Times New Roman" w:cs="Times New Roman" w:eastAsia="Times New Roman" w:hAnsi="Times New Roman"/>
                <w:sz w:val="18"/>
                <w:szCs w:val="18"/>
                <w:color w:val="auto"/>
              </w:rPr>
              <w:t>506.3</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shd w:val="clear" w:color="auto" w:fill="CCEEFF"/>
          </w:tcPr>
          <w:p>
            <w:pPr>
              <w:jc w:val="right"/>
              <w:ind w:right="40"/>
              <w:spacing w:after="0" w:line="186" w:lineRule="exact"/>
              <w:rPr>
                <w:sz w:val="20"/>
                <w:szCs w:val="20"/>
                <w:color w:val="auto"/>
              </w:rPr>
            </w:pPr>
            <w:r>
              <w:rPr>
                <w:rFonts w:ascii="Times New Roman" w:cs="Times New Roman" w:eastAsia="Times New Roman" w:hAnsi="Times New Roman"/>
                <w:sz w:val="18"/>
                <w:szCs w:val="18"/>
                <w:color w:val="auto"/>
              </w:rPr>
              <w:t>520.6</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CEEFF"/>
          </w:tcPr>
          <w:p>
            <w:pPr>
              <w:jc w:val="right"/>
              <w:ind w:right="60"/>
              <w:spacing w:after="0" w:line="186" w:lineRule="exact"/>
              <w:rPr>
                <w:sz w:val="20"/>
                <w:szCs w:val="20"/>
                <w:color w:val="auto"/>
              </w:rPr>
            </w:pPr>
            <w:r>
              <w:rPr>
                <w:rFonts w:ascii="Times New Roman" w:cs="Times New Roman" w:eastAsia="Times New Roman" w:hAnsi="Times New Roman"/>
                <w:sz w:val="18"/>
                <w:szCs w:val="18"/>
                <w:color w:val="auto"/>
              </w:rPr>
              <w:t>1,698.4</w:t>
            </w:r>
          </w:p>
        </w:tc>
        <w:tc>
          <w:tcPr>
            <w:tcW w:w="0" w:type="dxa"/>
            <w:vAlign w:val="bottom"/>
          </w:tcPr>
          <w:p>
            <w:pPr>
              <w:spacing w:after="0"/>
              <w:rPr>
                <w:sz w:val="1"/>
                <w:szCs w:val="1"/>
                <w:color w:val="auto"/>
              </w:rPr>
            </w:pPr>
          </w:p>
        </w:tc>
      </w:tr>
      <w:tr>
        <w:trPr>
          <w:trHeight w:val="179"/>
        </w:trPr>
        <w:tc>
          <w:tcPr>
            <w:tcW w:w="2560" w:type="dxa"/>
            <w:vAlign w:val="bottom"/>
            <w:tcBorders>
              <w:top w:val="single" w:sz="8" w:color="CCEEFF"/>
            </w:tcBorders>
          </w:tcPr>
          <w:p>
            <w:pPr>
              <w:ind w:left="40"/>
              <w:spacing w:after="0" w:line="179" w:lineRule="exact"/>
              <w:rPr>
                <w:sz w:val="20"/>
                <w:szCs w:val="20"/>
                <w:color w:val="auto"/>
              </w:rPr>
            </w:pPr>
            <w:r>
              <w:rPr>
                <w:rFonts w:ascii="Times New Roman" w:cs="Times New Roman" w:eastAsia="Times New Roman" w:hAnsi="Times New Roman"/>
                <w:sz w:val="18"/>
                <w:szCs w:val="18"/>
                <w:color w:val="auto"/>
              </w:rPr>
              <w:t>North America</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18.9</w:t>
            </w: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58.3</w:t>
            </w: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201.8</w:t>
            </w: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279.0</w:t>
            </w: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gridSpan w:val="2"/>
          </w:tcPr>
          <w:p>
            <w:pPr>
              <w:jc w:val="right"/>
              <w:ind w:right="60"/>
              <w:spacing w:after="0" w:line="179" w:lineRule="exact"/>
              <w:rPr>
                <w:sz w:val="20"/>
                <w:szCs w:val="20"/>
                <w:color w:val="auto"/>
              </w:rPr>
            </w:pPr>
            <w:r>
              <w:rPr>
                <w:rFonts w:ascii="Times New Roman" w:cs="Times New Roman" w:eastAsia="Times New Roman" w:hAnsi="Times New Roman"/>
                <w:sz w:val="18"/>
                <w:szCs w:val="18"/>
                <w:color w:val="auto"/>
              </w:rPr>
              <w:t>55.1</w:t>
            </w: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gridSpan w:val="2"/>
          </w:tcPr>
          <w:p>
            <w:pPr>
              <w:jc w:val="right"/>
              <w:ind w:right="40"/>
              <w:spacing w:after="0" w:line="179" w:lineRule="exact"/>
              <w:rPr>
                <w:sz w:val="20"/>
                <w:szCs w:val="20"/>
                <w:color w:val="auto"/>
              </w:rPr>
            </w:pPr>
            <w:r>
              <w:rPr>
                <w:rFonts w:ascii="Times New Roman" w:cs="Times New Roman" w:eastAsia="Times New Roman" w:hAnsi="Times New Roman"/>
                <w:sz w:val="18"/>
                <w:szCs w:val="18"/>
                <w:color w:val="auto"/>
              </w:rPr>
              <w:t>151.2</w:t>
            </w:r>
          </w:p>
        </w:tc>
        <w:tc>
          <w:tcPr>
            <w:tcW w:w="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gridSpan w:val="2"/>
          </w:tcPr>
          <w:p>
            <w:pPr>
              <w:jc w:val="right"/>
              <w:ind w:right="40"/>
              <w:spacing w:after="0" w:line="179" w:lineRule="exact"/>
              <w:rPr>
                <w:sz w:val="20"/>
                <w:szCs w:val="20"/>
                <w:color w:val="auto"/>
              </w:rPr>
            </w:pPr>
            <w:r>
              <w:rPr>
                <w:rFonts w:ascii="Times New Roman" w:cs="Times New Roman" w:eastAsia="Times New Roman" w:hAnsi="Times New Roman"/>
                <w:sz w:val="18"/>
                <w:szCs w:val="18"/>
                <w:color w:val="auto"/>
              </w:rPr>
              <w:t>577.9</w:t>
            </w: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784.2</w:t>
            </w:r>
          </w:p>
        </w:tc>
        <w:tc>
          <w:tcPr>
            <w:tcW w:w="60" w:type="dxa"/>
            <w:vAlign w:val="bottom"/>
            <w:tcBorders>
              <w:top w:val="single" w:sz="8" w:color="BBBBBB"/>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16"/>
        </w:trPr>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895.6</w:t>
            </w: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808.3</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1,244.6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2,942.5</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2"/>
        </w:trPr>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10"/>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Revenues for the Three Months Ended September 30, 2023</w:t>
            </w: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1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Revenues for the Nine Months Ended September 30, 2023</w:t>
            </w:r>
          </w:p>
        </w:tc>
        <w:tc>
          <w:tcPr>
            <w:tcW w:w="0" w:type="dxa"/>
            <w:vAlign w:val="bottom"/>
          </w:tcPr>
          <w:p>
            <w:pPr>
              <w:spacing w:after="0"/>
              <w:rPr>
                <w:sz w:val="1"/>
                <w:szCs w:val="1"/>
                <w:color w:val="auto"/>
              </w:rPr>
            </w:pPr>
          </w:p>
        </w:tc>
      </w:tr>
      <w:tr>
        <w:trPr>
          <w:trHeight w:val="136"/>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6"/>
              <w:spacing w:after="0" w:line="136" w:lineRule="exact"/>
              <w:rPr>
                <w:sz w:val="20"/>
                <w:szCs w:val="20"/>
                <w:color w:val="auto"/>
              </w:rPr>
            </w:pPr>
            <w:r>
              <w:rPr>
                <w:rFonts w:ascii="Times New Roman" w:cs="Times New Roman" w:eastAsia="Times New Roman" w:hAnsi="Times New Roman"/>
                <w:sz w:val="14"/>
                <w:szCs w:val="14"/>
                <w:b w:val="1"/>
                <w:bCs w:val="1"/>
                <w:color w:val="auto"/>
              </w:rPr>
              <w:t>EFT</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epay</w:t>
            </w:r>
          </w:p>
        </w:tc>
        <w:tc>
          <w:tcPr>
            <w:tcW w:w="160" w:type="dxa"/>
            <w:vAlign w:val="bottom"/>
          </w:tcPr>
          <w:p>
            <w:pPr>
              <w:spacing w:after="0"/>
              <w:rPr>
                <w:sz w:val="11"/>
                <w:szCs w:val="11"/>
                <w:color w:val="auto"/>
              </w:rPr>
            </w:pPr>
          </w:p>
        </w:tc>
        <w:tc>
          <w:tcPr>
            <w:tcW w:w="840" w:type="dxa"/>
            <w:vAlign w:val="bottom"/>
          </w:tcPr>
          <w:p>
            <w:pPr>
              <w:jc w:val="center"/>
              <w:ind w:right="75"/>
              <w:spacing w:after="0" w:line="136" w:lineRule="exact"/>
              <w:rPr>
                <w:sz w:val="20"/>
                <w:szCs w:val="20"/>
                <w:color w:val="auto"/>
              </w:rPr>
            </w:pPr>
            <w:r>
              <w:rPr>
                <w:rFonts w:ascii="Times New Roman" w:cs="Times New Roman" w:eastAsia="Times New Roman" w:hAnsi="Times New Roman"/>
                <w:sz w:val="14"/>
                <w:szCs w:val="14"/>
                <w:b w:val="1"/>
                <w:bCs w:val="1"/>
                <w:color w:val="auto"/>
              </w:rPr>
              <w:t>Money</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1"/>
                <w:szCs w:val="11"/>
                <w:color w:val="auto"/>
              </w:rPr>
            </w:pPr>
          </w:p>
        </w:tc>
        <w:tc>
          <w:tcPr>
            <w:tcW w:w="1000" w:type="dxa"/>
            <w:vAlign w:val="bottom"/>
            <w:gridSpan w:val="3"/>
          </w:tcPr>
          <w:p>
            <w:pPr>
              <w:jc w:val="center"/>
              <w:ind w:right="120"/>
              <w:spacing w:after="0" w:line="136" w:lineRule="exact"/>
              <w:rPr>
                <w:sz w:val="20"/>
                <w:szCs w:val="20"/>
                <w:color w:val="auto"/>
              </w:rPr>
            </w:pPr>
            <w:r>
              <w:rPr>
                <w:rFonts w:ascii="Times New Roman" w:cs="Times New Roman" w:eastAsia="Times New Roman" w:hAnsi="Times New Roman"/>
                <w:sz w:val="14"/>
                <w:szCs w:val="14"/>
                <w:b w:val="1"/>
                <w:bCs w:val="1"/>
                <w:color w:val="auto"/>
              </w:rPr>
              <w:t>EFT</w:t>
            </w:r>
          </w:p>
        </w:tc>
        <w:tc>
          <w:tcPr>
            <w:tcW w:w="80" w:type="dxa"/>
            <w:vAlign w:val="bottom"/>
          </w:tcPr>
          <w:p>
            <w:pPr>
              <w:spacing w:after="0"/>
              <w:rPr>
                <w:sz w:val="11"/>
                <w:szCs w:val="11"/>
                <w:color w:val="auto"/>
              </w:rPr>
            </w:pPr>
          </w:p>
        </w:tc>
        <w:tc>
          <w:tcPr>
            <w:tcW w:w="9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epay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60"/>
              <w:spacing w:after="0" w:line="136" w:lineRule="exact"/>
              <w:rPr>
                <w:sz w:val="20"/>
                <w:szCs w:val="20"/>
                <w:color w:val="auto"/>
              </w:rPr>
            </w:pPr>
            <w:r>
              <w:rPr>
                <w:rFonts w:ascii="Times New Roman" w:cs="Times New Roman" w:eastAsia="Times New Roman" w:hAnsi="Times New Roman"/>
                <w:sz w:val="14"/>
                <w:szCs w:val="14"/>
                <w:b w:val="1"/>
                <w:bCs w:val="1"/>
                <w:color w:val="auto"/>
              </w:rPr>
              <w:t>Money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Processing</w:t>
            </w: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Transfer</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North America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719.3</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216"/>
        </w:trPr>
        <w:tc>
          <w:tcPr>
            <w:tcW w:w="2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Eliminations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9"/>
        </w:trPr>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4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820.4</w:t>
            </w:r>
          </w:p>
        </w:tc>
        <w:tc>
          <w:tcPr>
            <w:tcW w:w="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765.7</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1,150.1</w:t>
            </w:r>
          </w:p>
        </w:tc>
        <w:tc>
          <w:tcPr>
            <w:tcW w:w="80" w:type="dxa"/>
            <w:vAlign w:val="bottom"/>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2,730.3</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4415790</wp:posOffset>
            </wp:positionH>
            <wp:positionV relativeFrom="paragraph">
              <wp:posOffset>-1709420</wp:posOffset>
            </wp:positionV>
            <wp:extent cx="85725"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336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-2256155</wp:posOffset>
            </wp:positionV>
            <wp:extent cx="34290"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1270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-2256155</wp:posOffset>
            </wp:positionV>
            <wp:extent cx="34290"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1270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-2256155</wp:posOffset>
            </wp:positionV>
            <wp:extent cx="34290"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1270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was 27.3% and 30.0% for the three and nine months ended September 30, 2024 respectively, compared to 29.2% and 30.6% for the three and nine months ended September 30, 2023, respectively.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for the three and nine months ended September 30, 2024 was higher than the applicable statutory income tax rate of 21% mainly as a result of certain foreign earnings being subject to higher local statutory tax rates and our U.S. deferred tax activity. Our effective income tax rate for the three and nine months ended September 30, 2023 was higher than the applicable statutory income tax rate of 21% as a result of our U.S. deferred tax activity and certain foreign earnings being subject to higher local statutory tax rates.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Pillar 2 guidelines published to date include transition and safe harbor rules around the implementation of the Pillar 2 global minimum tax of 15%. Based on current enacted legislation effective in 2024, the Company does not expect a material financial impact in 2024. We are monitoring developments and evaluating the impacts these new rules will have on our future income tax provision and effective income tax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$75.2 million of stand-by letters of credit/bank guarantees issued on the Company's behalf, of which $4.2 million are collateralized by cash deposits held by the respective issuing banks.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circumstances, the Company grants guarantees in support of obligations of subsidiaries. As of September 30, 2024, the Company had granted off balance sheet guarantees for cash in various ATM networks amounting to $11.1 million over the terms of the cash supply agreements and performance guarantees amounting to approximately $67.4 million over the terms of agreements with the Company's customers.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The Company's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139" w:lineRule="exact"/>
        <w:rPr>
          <w:sz w:val="20"/>
          <w:szCs w:val="20"/>
          <w:color w:val="auto"/>
        </w:rPr>
      </w:pPr>
    </w:p>
    <w:p>
      <w:pPr>
        <w:jc w:val="both"/>
        <w:ind w:left="540"/>
        <w:spacing w:after="0" w:line="257" w:lineRule="auto"/>
        <w:rPr>
          <w:sz w:val="20"/>
          <w:szCs w:val="20"/>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damage to ATMs and theft of ATM network cash. As of September 30, 2024, the balance of such cash used in the Company's ATM networks for which the Company was responsible was approximately $572.0 million.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In connection with contracts with financial institutions in the EFT Processing Segment, the Company is responsible for losses suffered by the Company's customers and other parties as a result of the breach of the Company's computer systems, including in particular, losses arising from fraudulent transactions made using information stolen through the Company's processing systems.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-508000</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The Company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-371475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0" w:lineRule="auto"/>
        <w:rPr>
          <w:sz w:val="20"/>
          <w:szCs w:val="20"/>
          <w:color w:val="auto"/>
        </w:rPr>
      </w:pPr>
      <w:r>
        <w:rPr>
          <w:rFonts w:ascii="Times New Roman" w:cs="Times New Roman" w:eastAsia="Times New Roman" w:hAnsi="Times New Roman"/>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the Company, the Company has agreed to indemnify the seller against third party claims made against the seller relating to the operating unit or asset and arising after the closing of the transaction, and (ii) in connection with dispositions made by the Company, the Company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-782320</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55" w:lineRule="auto"/>
        <w:rPr>
          <w:sz w:val="20"/>
          <w:szCs w:val="20"/>
          <w:color w:val="auto"/>
        </w:rPr>
      </w:pPr>
      <w:r>
        <w:rPr>
          <w:rFonts w:ascii="Times New Roman" w:cs="Times New Roman" w:eastAsia="Times New Roman" w:hAnsi="Times New Roman"/>
          <w:sz w:val="18"/>
          <w:szCs w:val="18"/>
          <w:color w:val="auto"/>
        </w:rPr>
        <w:t>The Company has entered into agreements with certain third parties, including banks that provide fiduciary and other services to the Company or the Company's benefit plans. Under such agreements, the Company has agreed to indemnify such service providers for third-party claims relating to carrying out their respective duties under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-379730</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required to meet minimum capitalization and cash requirements of various regulatory authorities in the jurisdictions in which the Company has operations. The Company has obtained surety bonds in compliance with money transfer licensing requirements of the applicable governmental authorities.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the Company is not aware of any significant claims made by the indemnified parties or third parties to guarantee agreements with the Company and, accordingly, no liabilities were recorded as of September 30, 2024 or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LITIGATION AND 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a party to legal or regulatory proceedings arising in the ordinary course of the Company's business. In accordance with U.S. GAAP, the Company records a liability when it is both probable that a liability has been incurred and the amount of the loss can be reasonably estimated. Currently, there are no legal proceedings or regulatory findings which are both probable that a liability has been incurred and can be reasonably estimated that management believes, either individually or in the aggregate, would have a material adverse effect on the Company's consolidated financial condition or results of operations. These provisions are reviewed at least quarterly and adjusted to reflect the impacts of negotiations, settlements, rulings, advice of legal counsel, and other information and events pertaining to a particular case.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July 2024, the Company received an adverse judicial decision related to withholding taxes on certain agency relationships in Italy within the Money Transfer Segment, which the Company plans to appeal. The Company completed an assessment and concluded that it is reasonably possible that a liability has been incurred, but not probable. The principal amount of the agent-based withholding tax could be approximately $16.5 million for all open periods.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enters into operating leases for ATM sites, office spaces, retail stores and equipment. The Company's finance leases are immaterial. Right of use assets (ROU) and lease liabilities are recognized at the lease commencement date based on the present value of the lease payments over the lease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 value of lease payments is determined using the incremental borrowing rate based on information available at the lease commencement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lease expense for these leases on a straight-line basis over the lease term.</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not to exercise termination options, payments for ATM site leases with termination options subject to the short-term lease exemption are expensed in the period incurred and corresponding leases are excluded from the right of use lease asset and lease liability balances.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minimum lease payments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lease terms in excess of one year) as of September 30, 2024 are:</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0" w:type="dxa"/>
            <w:vAlign w:val="bottom"/>
          </w:tcPr>
          <w:p>
            <w:pPr>
              <w:spacing w:after="0"/>
              <w:rPr>
                <w:sz w:val="1"/>
                <w:szCs w:val="1"/>
                <w:color w:val="auto"/>
              </w:rPr>
            </w:pPr>
          </w:p>
        </w:tc>
      </w:tr>
      <w:tr>
        <w:trPr>
          <w:trHeight w:val="195"/>
        </w:trPr>
        <w:tc>
          <w:tcPr>
            <w:tcW w:w="9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9"/>
        </w:trPr>
        <w:tc>
          <w:tcPr>
            <w:tcW w:w="9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Maturity of Lease Liabilities </w:t>
            </w: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95"/>
        </w:trPr>
        <w:tc>
          <w:tcPr>
            <w:tcW w:w="9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14"/>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0"/>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16"/>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0"/>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540" w:right="2580" w:hanging="5208"/>
        <w:spacing w:after="0" w:line="548" w:lineRule="auto"/>
        <w:tabs>
          <w:tab w:leader="none" w:pos="6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payments reflect the Company's current fixed obligations under the operating lease agreements.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Lease expense recognized in the Consolidated Statements of Income is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Lease Expense</w:t>
            </w: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06"/>
        </w:trPr>
        <w:tc>
          <w:tcPr>
            <w:tcW w:w="206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44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3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20" w:type="dxa"/>
            <w:vAlign w:val="bottom"/>
            <w:vMerge w:val="restart"/>
          </w:tcPr>
          <w:p>
            <w:pPr>
              <w:spacing w:after="0"/>
              <w:rPr>
                <w:sz w:val="7"/>
                <w:szCs w:val="7"/>
                <w:color w:val="auto"/>
              </w:rPr>
            </w:pPr>
          </w:p>
        </w:tc>
        <w:tc>
          <w:tcPr>
            <w:tcW w:w="1480" w:type="dxa"/>
            <w:vAlign w:val="bottom"/>
            <w:gridSpan w:val="2"/>
          </w:tcPr>
          <w:p>
            <w:pPr>
              <w:jc w:val="center"/>
              <w:ind w:right="200"/>
              <w:spacing w:after="0" w:line="81" w:lineRule="exact"/>
              <w:rPr>
                <w:sz w:val="20"/>
                <w:szCs w:val="20"/>
                <w:color w:val="auto"/>
              </w:rPr>
            </w:pPr>
            <w:r>
              <w:rPr>
                <w:rFonts w:ascii="Times New Roman" w:cs="Times New Roman" w:eastAsia="Times New Roman" w:hAnsi="Times New Roman"/>
                <w:sz w:val="9"/>
                <w:szCs w:val="9"/>
                <w:b w:val="1"/>
                <w:bCs w:val="1"/>
                <w:color w:val="auto"/>
              </w:rPr>
              <w:t>Ended</w:t>
            </w:r>
          </w:p>
        </w:tc>
        <w:tc>
          <w:tcPr>
            <w:tcW w:w="1440" w:type="dxa"/>
            <w:vAlign w:val="bottom"/>
            <w:gridSpan w:val="2"/>
            <w:vMerge w:val="continue"/>
          </w:tcPr>
          <w:p>
            <w:pPr>
              <w:spacing w:after="0"/>
              <w:rPr>
                <w:sz w:val="7"/>
                <w:szCs w:val="7"/>
                <w:color w:val="auto"/>
              </w:rPr>
            </w:pPr>
          </w:p>
        </w:tc>
        <w:tc>
          <w:tcPr>
            <w:tcW w:w="1440" w:type="dxa"/>
            <w:vAlign w:val="bottom"/>
            <w:gridSpan w:val="2"/>
          </w:tcPr>
          <w:p>
            <w:pPr>
              <w:jc w:val="center"/>
              <w:ind w:right="200"/>
              <w:spacing w:after="0" w:line="81" w:lineRule="exact"/>
              <w:rPr>
                <w:sz w:val="20"/>
                <w:szCs w:val="20"/>
                <w:color w:val="auto"/>
              </w:rPr>
            </w:pPr>
            <w:r>
              <w:rPr>
                <w:rFonts w:ascii="Times New Roman" w:cs="Times New Roman" w:eastAsia="Times New Roman" w:hAnsi="Times New Roman"/>
                <w:sz w:val="9"/>
                <w:szCs w:val="9"/>
                <w:b w:val="1"/>
                <w:bCs w:val="1"/>
                <w:color w:val="auto"/>
              </w:rPr>
              <w:t>Ended</w:t>
            </w:r>
          </w:p>
        </w:tc>
        <w:tc>
          <w:tcPr>
            <w:tcW w:w="124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Ended</w:t>
            </w:r>
          </w:p>
        </w:tc>
        <w:tc>
          <w:tcPr>
            <w:tcW w:w="0" w:type="dxa"/>
            <w:vAlign w:val="bottom"/>
          </w:tcPr>
          <w:p>
            <w:pPr>
              <w:spacing w:after="0"/>
              <w:rPr>
                <w:sz w:val="1"/>
                <w:szCs w:val="1"/>
                <w:color w:val="auto"/>
              </w:rPr>
            </w:pPr>
          </w:p>
        </w:tc>
      </w:tr>
      <w:tr>
        <w:trPr>
          <w:trHeight w:val="175"/>
        </w:trPr>
        <w:tc>
          <w:tcPr>
            <w:tcW w:w="2060" w:type="dxa"/>
            <w:vAlign w:val="bottom"/>
            <w:tcBorders>
              <w:bottom w:val="single" w:sz="8" w:color="auto"/>
            </w:tcBorders>
            <w:vMerge w:val="continue"/>
          </w:tcPr>
          <w:p>
            <w:pPr>
              <w:spacing w:after="0"/>
              <w:rPr>
                <w:sz w:val="15"/>
                <w:szCs w:val="15"/>
                <w:color w:val="auto"/>
              </w:rPr>
            </w:pPr>
          </w:p>
        </w:tc>
        <w:tc>
          <w:tcPr>
            <w:tcW w:w="33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tbl>
      <w:tblPr>
        <w:tblLayout w:type="fixed"/>
        <w:tblInd w:w="0" w:type="dxa"/>
        <w:tblCellMar>
          <w:top w:w="0" w:type="dxa"/>
          <w:left w:w="0" w:type="dxa"/>
          <w:bottom w:w="0" w:type="dxa"/>
          <w:right w:w="0" w:type="dxa"/>
        </w:tblCellMar>
      </w:tblPr>
      <w:tr>
        <w:trPr>
          <w:trHeight w:val="198"/>
        </w:trPr>
        <w:tc>
          <w:tcPr>
            <w:tcW w:w="2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Operating lease expense</w:t>
            </w:r>
          </w:p>
        </w:tc>
        <w:tc>
          <w:tcPr>
            <w:tcW w:w="3080" w:type="dxa"/>
            <w:vAlign w:val="bottom"/>
          </w:tcPr>
          <w:p>
            <w:pPr>
              <w:jc w:val="center"/>
              <w:ind w:left="70"/>
              <w:spacing w:after="0" w:line="198" w:lineRule="exact"/>
              <w:rPr>
                <w:sz w:val="20"/>
                <w:szCs w:val="20"/>
                <w:color w:val="auto"/>
              </w:rPr>
            </w:pPr>
            <w:r>
              <w:rPr>
                <w:rFonts w:ascii="Times New Roman" w:cs="Times New Roman" w:eastAsia="Times New Roman" w:hAnsi="Times New Roman"/>
                <w:sz w:val="18"/>
                <w:szCs w:val="18"/>
                <w:color w:val="auto"/>
                <w:w w:val="99"/>
              </w:rPr>
              <w:t>Selling, general and administrative and</w:t>
            </w:r>
          </w:p>
        </w:tc>
        <w:tc>
          <w:tcPr>
            <w:tcW w:w="0" w:type="dxa"/>
            <w:vAlign w:val="bottom"/>
          </w:tcPr>
          <w:p>
            <w:pPr>
              <w:spacing w:after="0"/>
              <w:rPr>
                <w:sz w:val="1"/>
                <w:szCs w:val="1"/>
                <w:color w:val="auto"/>
              </w:rPr>
            </w:pPr>
          </w:p>
        </w:tc>
      </w:tr>
      <w:tr>
        <w:trPr>
          <w:trHeight w:val="234"/>
        </w:trPr>
        <w:tc>
          <w:tcPr>
            <w:tcW w:w="2340" w:type="dxa"/>
            <w:vAlign w:val="bottom"/>
            <w:vMerge w:val="continue"/>
          </w:tcPr>
          <w:p>
            <w:pPr>
              <w:spacing w:after="0"/>
              <w:rPr>
                <w:sz w:val="20"/>
                <w:szCs w:val="20"/>
                <w:color w:val="auto"/>
              </w:rPr>
            </w:pPr>
          </w:p>
        </w:tc>
        <w:tc>
          <w:tcPr>
            <w:tcW w:w="3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Direct operating costs</w:t>
            </w:r>
          </w:p>
        </w:tc>
        <w:tc>
          <w:tcPr>
            <w:tcW w:w="0" w:type="dxa"/>
            <w:vAlign w:val="bottom"/>
          </w:tcPr>
          <w:p>
            <w:pPr>
              <w:spacing w:after="0"/>
              <w:rPr>
                <w:sz w:val="1"/>
                <w:szCs w:val="1"/>
                <w:color w:val="auto"/>
              </w:rPr>
            </w:pPr>
          </w:p>
        </w:tc>
      </w:tr>
      <w:tr>
        <w:trPr>
          <w:trHeight w:val="238"/>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and variable lease</w:t>
            </w:r>
          </w:p>
        </w:tc>
        <w:tc>
          <w:tcPr>
            <w:tcW w:w="30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Selling, general and administrative and</w:t>
            </w:r>
          </w:p>
        </w:tc>
        <w:tc>
          <w:tcPr>
            <w:tcW w:w="0" w:type="dxa"/>
            <w:vAlign w:val="bottom"/>
          </w:tcPr>
          <w:p>
            <w:pPr>
              <w:spacing w:after="0"/>
              <w:rPr>
                <w:sz w:val="1"/>
                <w:szCs w:val="1"/>
                <w:color w:val="auto"/>
              </w:rPr>
            </w:pPr>
          </w:p>
        </w:tc>
      </w:tr>
      <w:tr>
        <w:trPr>
          <w:trHeight w:val="255"/>
        </w:trPr>
        <w:tc>
          <w:tcPr>
            <w:tcW w:w="2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expense</w:t>
            </w:r>
          </w:p>
        </w:tc>
        <w:tc>
          <w:tcPr>
            <w:tcW w:w="3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Direct operating costs</w:t>
            </w:r>
          </w:p>
        </w:tc>
        <w:tc>
          <w:tcPr>
            <w:tcW w:w="0" w:type="dxa"/>
            <w:vAlign w:val="bottom"/>
          </w:tcPr>
          <w:p>
            <w:pPr>
              <w:spacing w:after="0"/>
              <w:rPr>
                <w:sz w:val="1"/>
                <w:szCs w:val="1"/>
                <w:color w:val="auto"/>
              </w:rPr>
            </w:pPr>
          </w:p>
        </w:tc>
      </w:tr>
      <w:tr>
        <w:trPr>
          <w:trHeight w:val="243"/>
        </w:trPr>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lease expense</w:t>
            </w: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486"/>
        </w:trPr>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w:t>
            </w:r>
          </w:p>
        </w:tc>
        <w:tc>
          <w:tcPr>
            <w:tcW w:w="4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126.3</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r>
      <w:tr>
        <w:trPr>
          <w:trHeight w:val="20"/>
        </w:trPr>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50"/>
        </w:trPr>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165.0</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-196850</wp:posOffset>
            </wp:positionV>
            <wp:extent cx="713232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420" w:space="120"/>
            <w:col w:w="5700"/>
          </w:cols>
          <w:pgMar w:left="320" w:top="55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Other information about lease amounts recognized in the consolidated financial statements is summarized as follows:</w:t>
      </w:r>
    </w:p>
    <w:p>
      <w:pPr>
        <w:sectPr>
          <w:pgSz w:w="11900" w:h="16838" w:orient="portrait"/>
          <w:cols w:equalWidth="0" w:num="1">
            <w:col w:w="11240"/>
          </w:cols>
          <w:pgMar w:left="320" w:top="553" w:right="339" w:bottom="1440" w:gutter="0" w:footer="0" w:header="0"/>
          <w:type w:val="continuous"/>
        </w:sectPr>
      </w:pPr>
    </w:p>
    <w:p>
      <w:pPr>
        <w:spacing w:after="0" w:line="3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Lease Term and Discount Rate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(years)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non-cash information related to leases.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4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4.2</w:t>
      </w:r>
    </w:p>
    <w:p>
      <w:pPr>
        <w:spacing w:after="0" w:line="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2.9%</w:t>
      </w:r>
    </w:p>
    <w:p>
      <w:pPr>
        <w:spacing w:after="0" w:line="659" w:lineRule="exact"/>
        <w:rPr>
          <w:sz w:val="20"/>
          <w:szCs w:val="20"/>
          <w:color w:val="auto"/>
        </w:rPr>
      </w:pPr>
    </w:p>
    <w:p>
      <w:pPr>
        <w:sectPr>
          <w:pgSz w:w="11900" w:h="16838" w:orient="portrait"/>
          <w:cols w:equalWidth="0" w:num="2">
            <w:col w:w="9260" w:space="720"/>
            <w:col w:w="1260"/>
          </w:cols>
          <w:pgMar w:left="320" w:top="553" w:right="339" w:bottom="1440" w:gutter="0" w:footer="0" w:header="0"/>
          <w:type w:val="continuous"/>
        </w:sectPr>
      </w:pPr>
    </w:p>
    <w:p>
      <w:pPr>
        <w:spacing w:after="0" w:line="2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Other Information </w:t>
      </w: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Cash paid for amounts included in the measurement of lease liabilities </w:t>
      </w:r>
      <w:r>
        <w:rPr>
          <w:rFonts w:ascii="Times New Roman" w:cs="Times New Roman" w:eastAsia="Times New Roman" w:hAnsi="Times New Roman"/>
          <w:sz w:val="18"/>
          <w:szCs w:val="18"/>
          <w:i w:val="1"/>
          <w:iCs w:val="1"/>
          <w:color w:val="auto"/>
        </w:rPr>
        <w:t>(a)</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Supplemental non-cash information on lease liabilities arising from obtaining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2806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1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439"/>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63"/>
        </w:trPr>
        <w:tc>
          <w:tcPr>
            <w:tcW w:w="5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540"/>
        </w:trPr>
        <w:tc>
          <w:tcPr>
            <w:tcW w:w="5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bl>
    <w:p>
      <w:pPr>
        <w:spacing w:after="0" w:line="169" w:lineRule="exact"/>
        <w:rPr>
          <w:sz w:val="20"/>
          <w:szCs w:val="20"/>
          <w:color w:val="auto"/>
        </w:rPr>
      </w:pPr>
    </w:p>
    <w:p>
      <w:pPr>
        <w:sectPr>
          <w:pgSz w:w="11900" w:h="16838" w:orient="portrait"/>
          <w:cols w:equalWidth="0" w:num="2">
            <w:col w:w="7720" w:space="720"/>
            <w:col w:w="2800"/>
          </w:cols>
          <w:pgMar w:left="320" w:top="553" w:right="339" w:bottom="1440" w:gutter="0" w:footer="0" w:header="0"/>
          <w:type w:val="continuous"/>
        </w:sectPr>
      </w:pPr>
    </w:p>
    <w:p>
      <w:pPr>
        <w:ind w:left="5540" w:right="2460" w:hanging="5127"/>
        <w:spacing w:after="0" w:line="550" w:lineRule="auto"/>
        <w:tabs>
          <w:tab w:leader="none" w:pos="674"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Included in Net cash provided by operating activities on the Company's Consolidated Statements of Cash Flows. </w:t>
      </w: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-80645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believe that the expectations reflected in these forward-looking statements are reasonable, we can give no assurance that these expectations will prove to be correct.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COVID-19 or other pandemics; inflation; the war in the Ukraine, and related economic sanctions; military conflicts in the Middle East; our ability to successfully integrate any acquired operations;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privacy and the European Union's General Data Protection Regulation, and Second Revised Payment Service Directive requirements; changes in laws and regulations affecting our business, including tax and immigration laws and any laws regulating payments, including Dynamic Currency Conversion (DCC) transactions</w:t>
      </w:r>
      <w:r>
        <w:rPr>
          <w:rFonts w:ascii="Times New Roman" w:cs="Times New Roman" w:eastAsia="Times New Roman" w:hAnsi="Times New Roman"/>
          <w:sz w:val="18"/>
          <w:szCs w:val="18"/>
          <w:u w:val="single" w:color="auto"/>
          <w:color w:val="008080"/>
        </w:rPr>
        <w:t>;</w:t>
      </w:r>
      <w:r>
        <w:rPr>
          <w:rFonts w:ascii="Times New Roman" w:cs="Times New Roman" w:eastAsia="Times New Roman" w:hAnsi="Times New Roman"/>
          <w:sz w:val="18"/>
          <w:szCs w:val="18"/>
          <w:color w:val="auto"/>
        </w:rPr>
        <w:t xml:space="preserve">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and those factors referred to above and as set forth and more fully described in Part I, Item 1A — Risk Factors of our Annual Report on Form 10-K for the year ended December 31, 2023. Our Annual Report on Form 10-K is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GEOGRAPHIC LOCATIONS AND PRINCIPAL PRODUCTS AND SERVICES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Euronet is a leading global financial technology solutions and payments provider. We offer payment and transaction processing and distribution solutions to financial institutions, retailers, service providers and individual consumers. Our primary product offerings include comprehensive ATM, point-of-sale ("POS"), card outsourcing, card issuing and merchant acquiring services, software solutions, electronic distribution of prepaid mobile airtime, managed services and other electronic payment products, foreign currency exchange services and global money transfer services. We operate in the following three segments:</w:t>
      </w:r>
    </w:p>
    <w:p>
      <w:pPr>
        <w:spacing w:after="0" w:line="183" w:lineRule="exact"/>
        <w:rPr>
          <w:sz w:val="20"/>
          <w:szCs w:val="20"/>
          <w:color w:val="auto"/>
        </w:rPr>
      </w:pPr>
    </w:p>
    <w:p>
      <w:pPr>
        <w:jc w:val="both"/>
        <w:ind w:firstLine="8"/>
        <w:spacing w:after="0" w:line="261" w:lineRule="auto"/>
        <w:tabs>
          <w:tab w:leader="none" w:pos="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meets the needs of financial institutions and consumers through Euronet-owned and outsourced ATMs and POS terminals combined with value added and transaction processing services. We deploy and operate our own ATMs, providing ATM services for financial institutions and providing electronic payment processing solutions. EFT offers a suite of integrated electronic financial transaction software solutions for electronic payment and transaction delivery systems. Transactions processed span a network of 54,020 active ATMs and approximately 949,000 POS terminals.</w:t>
      </w:r>
    </w:p>
    <w:p>
      <w:pPr>
        <w:spacing w:after="0" w:line="179" w:lineRule="exact"/>
        <w:rPr>
          <w:rFonts w:ascii="Times New Roman" w:cs="Times New Roman" w:eastAsia="Times New Roman" w:hAnsi="Times New Roman"/>
          <w:sz w:val="18"/>
          <w:szCs w:val="18"/>
          <w:color w:val="auto"/>
        </w:rPr>
      </w:pPr>
    </w:p>
    <w:p>
      <w:pPr>
        <w:jc w:val="both"/>
        <w:ind w:firstLine="8"/>
        <w:spacing w:after="0" w:line="255" w:lineRule="auto"/>
        <w:tabs>
          <w:tab w:leader="none" w:pos="2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provides retail payment solutions and delivers innovative connections between the digital content of the world’s leading brands and consumers. epay has one of the largest retail networks across Europe and Asia for the distribution of physical and digital third-party content, including branded payments, mobile, and alternative payments, partnering with 1,000+ of the world’s leading brands. In addition, through our own products, we have leveraged our technology to solve business challenges, delivering scalable solutions to drive efficiency and effectiveness. Our comprehensive range of consumer products simplifies transactions and provides financial convenience across a wide range of branded payments. epay operates in 60+ countries. We operate a network that includes approximately 766,000 POS terminals that enable electronic processing of prepaid mobile airtime "top-up" services and other digital media content.</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205 countries and territories, enabling banks, fintechs and big tech platforms to integrate an international payments solution into their own platforms. Ria Money Transfer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six processing centers in Europe, five in Asia Pacific and two in North America. We have 35 principal offices in Europe, 14 in Asia Pacific, 10 in North America, three in the Middle East, two in South America and three in Africa. Our executive offices are located in Leawood, Kansas, USA. With approximately 75.3%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REVENUES AND CASH FLOW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EFT Processing Segment </w:t>
      </w:r>
      <w:r>
        <w:rPr>
          <w:rFonts w:ascii="Times New Roman" w:cs="Times New Roman" w:eastAsia="Times New Roman" w:hAnsi="Times New Roman"/>
          <w:sz w:val="18"/>
          <w:szCs w:val="18"/>
          <w:color w:val="auto"/>
        </w:rPr>
        <w:t>— Revenues in the EFT Processing Segment, which represented approximately 34% and 31% of total consolidated revenues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and nine months ended September 30, 2024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epay Segment </w:t>
      </w:r>
      <w:r>
        <w:rPr>
          <w:rFonts w:ascii="Times New Roman" w:cs="Times New Roman" w:eastAsia="Times New Roman" w:hAnsi="Times New Roman"/>
          <w:sz w:val="18"/>
          <w:szCs w:val="18"/>
          <w:color w:val="auto"/>
        </w:rPr>
        <w:t>— Revenues in the epay Segment, which represented approximately 26% and 27% of total consolidated revenues for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2024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as compared with other electronic products has decreased over time, and digital media content now produces approximately 66% of epay Segment revenues. Other electronic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Money Transfer Segment </w:t>
      </w:r>
      <w:r>
        <w:rPr>
          <w:rFonts w:ascii="Times New Roman" w:cs="Times New Roman" w:eastAsia="Times New Roman" w:hAnsi="Times New Roman"/>
          <w:sz w:val="18"/>
          <w:szCs w:val="18"/>
          <w:color w:val="auto"/>
        </w:rPr>
        <w:t>— Revenues in the Money Transfer Segment, which represented approximately 40% and 42% of total consolidated revenues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and nine months ended September 30, 2024, respectively,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Ria, and xe branded websites, along with a worldwide network of correspondent agents, consisting primarily of financial institutions in the transfer destination countries. Under the brand "Dandelion", Ria offers payment processing services to third party partners. The Dandelion cross-border payments platform provides financial institutions, fintechs such as digital wallets and banks, and enterprise software companies access to Euronet's money transfer network through an API connection. Sending and correspondent agents each earn fees for cash collection and distribution services, which are recognized as direct operating costs at the time of sale.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Corporate Services, Eliminations and Other </w:t>
      </w:r>
      <w:r>
        <w:rPr>
          <w:rFonts w:ascii="Times New Roman" w:cs="Times New Roman" w:eastAsia="Times New Roman" w:hAnsi="Times New Roman"/>
          <w:sz w:val="18"/>
          <w:szCs w:val="18"/>
          <w:color w:val="auto"/>
        </w:rPr>
        <w:t>— In addition to operating in our principal operating segments described above, our “Corporate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Opportunities and Challenges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174" w:lineRule="exact"/>
        <w:rPr>
          <w:sz w:val="20"/>
          <w:szCs w:val="20"/>
          <w:color w:val="auto"/>
        </w:rPr>
      </w:pPr>
    </w:p>
    <w:p>
      <w:pPr>
        <w:jc w:val="both"/>
        <w:ind w:firstLine="8"/>
        <w:spacing w:after="0" w:line="246" w:lineRule="auto"/>
        <w:tabs>
          <w:tab w:leader="none" w:pos="19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EFT Processing Segment opportunities include physical expansion into target markets, developing value-added products or services, increasing high value DCC and surcharge transactions and efficiently leveraging our portfolio of software solutions. Our opportunities are dependent on renewing and expanding our card acceptance, ATM, POS and merchant acquiring services, cash supply and other commercial agreements with customers and financial institutions. Operational challenges in the EFT Processing Segment include obtaining and maintaining the required licenses and sponsorship agreements in markets in which we operate and navigating frequently changing rules imposed by international card organizations, such as Visa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Mastercard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that govern ATM interchange fees, direct access fees and other restrictions. Our profitability is dependent on the laws and regulations that govern DCC transactions, specifically in the E.U., as well as the laws and regulations of each country in which we operate. These laws and regulations may impact our cross-border and cross-currency transactions. The timing and amount of revenues in the EFT Processing Segment is uncertain and unpredictable due to inherent limitations in managing our estate of ATMs. Our ATM estate is dependent on contracts that cover large numbers of ATMs, and management is complicated by legal and regulatory considerations of local countries, as well as customers' decisions whether to outsource ATMs. Inflationary pressure may impact our business as travelers have less cash available to spend on vacations.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8" w:name="page29"/>
    <w:bookmarkEnd w:id="28"/>
    <w:p>
      <w:pPr>
        <w:jc w:val="both"/>
        <w:ind w:firstLine="8"/>
        <w:spacing w:after="0" w:line="254" w:lineRule="auto"/>
        <w:tabs>
          <w:tab w:leader="none" w:pos="1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epay Segment opportunities include renewing existing and negotiating new agreements in target markets in which we operate, primarily with digital content providers, mobile operators, financial institutions and retailers. The overall growth rate in the digital media content and prepaid mobile phone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2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inherent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 Recently, inflation has been increasing our cost structure in many parts of the world in which we operate.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SEGMENT SUMMARY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and operating income by segment for the three and nine months ended September 30, 2024 and 2023 are summarized in the tables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 for the Three Months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Revenues for the Nine Months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Ended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5"/>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4"/>
                <w:szCs w:val="14"/>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20" w:type="dxa"/>
            <w:vAlign w:val="bottom"/>
          </w:tcPr>
          <w:p>
            <w:pPr>
              <w:spacing w:after="0"/>
              <w:rPr>
                <w:sz w:val="12"/>
                <w:szCs w:val="12"/>
                <w:color w:val="auto"/>
              </w:rPr>
            </w:pPr>
          </w:p>
        </w:tc>
        <w:tc>
          <w:tcPr>
            <w:tcW w:w="7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8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3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1"/>
        </w:trPr>
        <w:tc>
          <w:tcPr>
            <w:tcW w:w="2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345.8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264.5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25.8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42.6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395.9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42.3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1,150.1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94.5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2,736.2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212.3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eliminations and other</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1,004.0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95.3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2,942.5</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2,730.3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212.2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Operating Income (Loss) for the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Operating Income (Loss) for the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2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20" w:type="dxa"/>
            <w:vAlign w:val="bottom"/>
            <w:gridSpan w:val="7"/>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7"/>
            <w:vMerge w:val="continue"/>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vMerge w:val="restart"/>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6"/>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40" w:type="dxa"/>
            <w:vAlign w:val="bottom"/>
          </w:tcPr>
          <w:p>
            <w:pPr>
              <w:spacing w:after="0"/>
              <w:rPr>
                <w:sz w:val="12"/>
                <w:szCs w:val="12"/>
                <w:color w:val="auto"/>
              </w:rPr>
            </w:pPr>
          </w:p>
        </w:tc>
        <w:tc>
          <w:tcPr>
            <w:tcW w:w="1920" w:type="dxa"/>
            <w:vAlign w:val="bottom"/>
            <w:gridSpan w:val="3"/>
            <w:vMerge w:val="restart"/>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30,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0"/>
        </w:trPr>
        <w:tc>
          <w:tcPr>
            <w:tcW w:w="2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EFT Processing</w:t>
            </w:r>
          </w:p>
        </w:tc>
        <w:tc>
          <w:tcPr>
            <w:tcW w:w="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40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12.5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38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epay</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Transfer</w:t>
            </w: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46.3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eliminations and other</w:t>
            </w: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40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3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45.3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changes in foreign currency exchange rates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Translation Rate</w:t>
            </w: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Translation Rate</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2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Currency (dollars per foreign currency)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200" w:type="dxa"/>
            <w:vAlign w:val="bottom"/>
          </w:tcPr>
          <w:p>
            <w:pPr>
              <w:spacing w:after="0"/>
              <w:rPr>
                <w:sz w:val="12"/>
                <w:szCs w:val="12"/>
                <w:color w:val="auto"/>
              </w:rPr>
            </w:pPr>
          </w:p>
        </w:tc>
        <w:tc>
          <w:tcPr>
            <w:tcW w:w="114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1"/>
        </w:trPr>
        <w:tc>
          <w:tcPr>
            <w:tcW w:w="25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Australian dollar</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0.6699</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0.6543</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0.6620</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0.6687</w:t>
            </w:r>
          </w:p>
        </w:tc>
        <w:tc>
          <w:tcPr>
            <w:tcW w:w="100" w:type="dxa"/>
            <w:vAlign w:val="bottom"/>
            <w:tcBorders>
              <w:top w:val="single" w:sz="8" w:color="CCEEFF"/>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British pounds sterling</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1.3009</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1.2655</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1.2767</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1.2440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Canadian dollar</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0.7333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0.7454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0.7354</w:t>
            </w:r>
          </w:p>
        </w:tc>
        <w:tc>
          <w:tcPr>
            <w:tcW w:w="4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0.7433</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1.0991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1.0877</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1.0868</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Hungarian forint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0.0028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0.0028</w:t>
            </w: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0.0028</w:t>
            </w:r>
          </w:p>
        </w:tc>
        <w:tc>
          <w:tcPr>
            <w:tcW w:w="4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0.0028</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Indian rupee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0.0119</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0.0121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0.0120</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0.0121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Malaysian ringgit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0.2251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0.2162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0.2161</w:t>
            </w:r>
          </w:p>
        </w:tc>
        <w:tc>
          <w:tcPr>
            <w:tcW w:w="4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0.2219</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Zealand dollar</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0.6113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0.6045</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0.6095</w:t>
            </w:r>
          </w:p>
        </w:tc>
        <w:tc>
          <w:tcPr>
            <w:tcW w:w="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0.6174</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Polish zloty</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0.2569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0.2421</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0.2528</w:t>
            </w:r>
          </w:p>
        </w:tc>
        <w:tc>
          <w:tcPr>
            <w:tcW w:w="4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0.2366</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1014"/>
              <w:spacing w:after="0"/>
              <w:rPr>
                <w:sz w:val="20"/>
                <w:szCs w:val="20"/>
                <w:color w:val="auto"/>
              </w:rPr>
            </w:pPr>
            <w:r>
              <w:rPr>
                <w:rFonts w:ascii="Times New Roman" w:cs="Times New Roman" w:eastAsia="Times New Roman" w:hAnsi="Times New Roman"/>
                <w:sz w:val="18"/>
                <w:szCs w:val="18"/>
                <w:color w:val="auto"/>
                <w:w w:val="99"/>
              </w:rPr>
              <w:t>28</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COMPARISON OF OPERATING RESULTS FOR THE THREE AND NINE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EFT PROCESSING SEGMENT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operations for our EFT Processing Segment for the three and nine months ended September 30, 2024 and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00" w:type="dxa"/>
            <w:vAlign w:val="bottom"/>
            <w:gridSpan w:val="3"/>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0" w:type="dxa"/>
            <w:vAlign w:val="bottom"/>
          </w:tcPr>
          <w:p>
            <w:pPr>
              <w:spacing w:after="0"/>
              <w:rPr>
                <w:sz w:val="13"/>
                <w:szCs w:val="13"/>
                <w:color w:val="auto"/>
              </w:rPr>
            </w:pPr>
          </w:p>
        </w:tc>
        <w:tc>
          <w:tcPr>
            <w:tcW w:w="2320" w:type="dxa"/>
            <w:vAlign w:val="bottom"/>
            <w:gridSpan w:val="3"/>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38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00" w:type="dxa"/>
            <w:vAlign w:val="bottom"/>
          </w:tcPr>
          <w:p>
            <w:pPr>
              <w:spacing w:after="0"/>
              <w:rPr>
                <w:sz w:val="17"/>
                <w:szCs w:val="17"/>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17"/>
                <w:szCs w:val="17"/>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3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7"/>
        </w:trPr>
        <w:tc>
          <w:tcPr>
            <w:tcW w:w="20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31.1</w:t>
            </w:r>
          </w:p>
        </w:tc>
        <w:tc>
          <w:tcPr>
            <w:tcW w:w="1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9"/>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14.0</w:t>
            </w:r>
          </w:p>
        </w:tc>
        <w:tc>
          <w:tcPr>
            <w:tcW w:w="14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5"/>
        </w:trPr>
        <w:tc>
          <w:tcPr>
            <w:tcW w:w="2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1"/>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0.9</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3.1</w:t>
            </w:r>
          </w:p>
        </w:tc>
        <w:tc>
          <w:tcPr>
            <w:tcW w:w="1480" w:type="dxa"/>
            <w:vAlign w:val="bottom"/>
            <w:tcBorders>
              <w:bottom w:val="single" w:sz="8" w:color="CCEEFF"/>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2120" w:type="dxa"/>
            <w:vAlign w:val="bottom"/>
            <w:gridSpan w:val="2"/>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37.3</w:t>
            </w:r>
          </w:p>
        </w:tc>
        <w:tc>
          <w:tcPr>
            <w:tcW w:w="1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83"/>
        </w:trPr>
        <w:tc>
          <w:tcPr>
            <w:tcW w:w="212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12.5</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37.9</w:t>
            </w:r>
          </w:p>
        </w:tc>
        <w:tc>
          <w:tcPr>
            <w:tcW w:w="1480" w:type="dxa"/>
            <w:vAlign w:val="bottom"/>
            <w:tcBorders>
              <w:bottom w:val="single" w:sz="8" w:color="CCEEFF"/>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65"/>
        </w:trPr>
        <w:tc>
          <w:tcPr>
            <w:tcW w:w="2120" w:type="dxa"/>
            <w:vAlign w:val="bottom"/>
            <w:gridSpan w:val="2"/>
            <w:shd w:val="clear" w:color="auto" w:fill="CCEEFF"/>
          </w:tcPr>
          <w:p>
            <w:pPr>
              <w:ind w:left="180"/>
              <w:spacing w:after="0" w:line="164" w:lineRule="exact"/>
              <w:rPr>
                <w:sz w:val="20"/>
                <w:szCs w:val="20"/>
                <w:color w:val="auto"/>
              </w:rPr>
            </w:pPr>
            <w:r>
              <w:rPr>
                <w:rFonts w:ascii="Times New Roman" w:cs="Times New Roman" w:eastAsia="Times New Roman" w:hAnsi="Times New Roman"/>
                <w:sz w:val="18"/>
                <w:szCs w:val="18"/>
                <w:color w:val="auto"/>
              </w:rPr>
              <w:t>Transactions processed</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(millions)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751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2,118</w:t>
            </w:r>
          </w:p>
        </w:tc>
        <w:tc>
          <w:tcPr>
            <w:tcW w:w="1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1"/>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Active ATMs as of</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54,020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51,496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2,524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2,524</w:t>
            </w:r>
          </w:p>
        </w:tc>
        <w:tc>
          <w:tcPr>
            <w:tcW w:w="14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0"/>
        </w:trPr>
        <w:tc>
          <w:tcPr>
            <w:tcW w:w="2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Active ATMs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54,200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51,865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2,335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51,727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2,248</w:t>
            </w:r>
          </w:p>
        </w:tc>
        <w:tc>
          <w:tcPr>
            <w:tcW w:w="1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EFT Processing Segment total revenues were $373.0 million for the three months ended September 30, 2024, an increase of $27.2 million or 8% compared to the same period in 2023. EFT Processing Segment total revenues were $895.6 million for the nine months ended September 30, 2024, an increase of $75.2 million or 9% compared to the same period in 2023. The increase in revenues was primarily due to the increase in POS acquiring transactions, expanding our own ATM network to new geographic markets, increase in domestic cash withdrawal transactions, international surcharge fees optimization, the increase in low-value point-of-sale transactions in Europe and low-value payment processing transactions in Asia Pacific. Fluctuations in foreign currency exchange rates increased revenues by approximately $2.0 million and $0.5 million for the three and nine months ended September 30, 2024 compared to the same periods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EFT Processing Segment direct operating costs were $174.3 million for the three months ended September 30, 2024, an increase of $8.6 million or 5% compared to the same period in 2023. EFT Processing Segment direct operating costs were $457.9 million for the nine months ended September 30, 2024, an increase of $31.1 million or 7% compared to the same period in 2023.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direct costs was primarily due to the increase in number of ATMs, and an increase in high volume low value cash transactions in Asia Pacific. Furthermore, direct costs are increasing due to higher funding costs following the trend of interest rates and higher scheme costs. Fluctuations in foreign currency exchange rates increased direct operating costs by approximately $1.4 million and $0.2 million for the three and nine months ended September 30, 2024 compared to the same periods in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Gross profit, which is calculated as revenues less direct operating costs, was $198.7 million for the three months ended September 30, 2024, an increase of $18.6 million or 10% compared to $180.1 million for the same period in 2023. Gross profit was $437.7 million for the nine months ended September 30, 2024, an increase of $44.1 million or 11% compared to $393.6 million for the same period in 2023. Gross profit as a percentage of revenues (“gross margin”) increased to 53.3% and 48.9% for the three and nine months ended September 30, 2024, compared to 52.1% and 48.0% for the same periods in 2023. The increase in gross profit was primarily due to the increase in POS acquiring transactions, expanding new geographic markets, increase in domestic and international cash withdrawal transactions resulting from the increase in travel bringing more tourists, the increase in low-value point-of-sale transactions in Europe and low-value payment processing transactions in Asia Pacific.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benefits expenses were $41.3 million for the three months ended September 30, 2024, an increase of $6.1 million or 17% compared to the same period in 2023. Salaries and benefits expenses were $107.5 million for the nine months ended September 30, 2024, an increase of $14.0 million or 15% compared to the same period in 2023. The increase is primarily due to an increase in headcount to support the growth of the business and salary increases due to inflationary and market pressures. As a percentage of revenues, salary expense increased to 11.1% and 12.0% for the three and nine months ended September 30, 2024, compared to 10.2% and 11.4% for the same periods in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were $15.3 million for the three months ended September 30, 2024, a decrease of $0.9 million or 6% compared to the same period in 2023. Selling, general and administrative expenses were $38.0 million for the nine months ended September 30, 2024, a decrease of $10.9 million or 22% compared to the same period in 2023. The decrease was primarily due to a decrease in professional fees and the refund of a duty fee in the first quarter of 2024. As a percentage of revenues, these expenses decreased to 4.1% and 4.2% for the three and nine months ended September 30, 2024, compared to 4.7% and 6.0% for the same periods in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were $24.8 million for the three months ended September 30, 2024, an increase of $0.9 million or 4% compared to the same period in 2023. Depreciation and amortization expenses were $73.5 million for the nine months ended September 30, 2024, an increase of $3.1 million or 4% compared to the same period in 2023. As a percentage of revenues, these expenses decreased to 6.6% and 8.2% for the three and nine months ended September 30, 2024, compared to 6.9% and 8.6% for the same periods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EFT Processing Segment had operating income of $117.3 million for the three months ended September 30, 2024, an increase of $12.5 million or 12% compared to the same period in 2023. EFT Processing Segment had operating income of $218.7 million for the nine months ended September 30, 2024, an increase of $37.9 million or 21% compared to the same period in 2023. Operating income as a percentage of revenues (“operating margin”) increased to 31.4% and 24.4% for the three and nine months ended September 30, 2024, compared to 30.3% and 22.0% for the same periods in 2023. The increase in operating income (and operating margin) was primarily due to improved business performance compared to 2023 and expense management.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and nine months ended September 30, 2024 and 2023 for our epay Segment: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00" w:type="dxa"/>
            <w:vAlign w:val="bottom"/>
            <w:gridSpan w:val="3"/>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20" w:type="dxa"/>
            <w:vAlign w:val="bottom"/>
            <w:vMerge w:val="restart"/>
          </w:tcPr>
          <w:p>
            <w:pPr>
              <w:spacing w:after="0"/>
              <w:rPr>
                <w:sz w:val="13"/>
                <w:szCs w:val="13"/>
                <w:color w:val="auto"/>
              </w:rPr>
            </w:pPr>
          </w:p>
        </w:tc>
        <w:tc>
          <w:tcPr>
            <w:tcW w:w="20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20" w:type="dxa"/>
            <w:vAlign w:val="bottom"/>
          </w:tcPr>
          <w:p>
            <w:pPr>
              <w:spacing w:after="0"/>
              <w:rPr>
                <w:sz w:val="13"/>
                <w:szCs w:val="13"/>
                <w:color w:val="auto"/>
              </w:rPr>
            </w:pPr>
          </w:p>
        </w:tc>
        <w:tc>
          <w:tcPr>
            <w:tcW w:w="2220" w:type="dxa"/>
            <w:vAlign w:val="bottom"/>
            <w:gridSpan w:val="3"/>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8"/>
        </w:trPr>
        <w:tc>
          <w:tcPr>
            <w:tcW w:w="2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00" w:type="dxa"/>
            <w:vAlign w:val="bottom"/>
          </w:tcPr>
          <w:p>
            <w:pPr>
              <w:spacing w:after="0"/>
              <w:rPr>
                <w:sz w:val="12"/>
                <w:szCs w:val="12"/>
                <w:color w:val="auto"/>
              </w:rPr>
            </w:pPr>
          </w:p>
        </w:tc>
        <w:tc>
          <w:tcPr>
            <w:tcW w:w="7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2"/>
        </w:trPr>
        <w:tc>
          <w:tcPr>
            <w:tcW w:w="20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0.3</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40" w:type="dxa"/>
            <w:vAlign w:val="bottom"/>
            <w:gridSpan w:val="2"/>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1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43.3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14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0.8</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140" w:type="dxa"/>
            <w:vAlign w:val="bottom"/>
            <w:gridSpan w:val="2"/>
            <w:shd w:val="clear" w:color="auto" w:fill="CCEEFF"/>
          </w:tcPr>
          <w:p>
            <w:pPr>
              <w:ind w:left="180"/>
              <w:spacing w:after="0" w:line="164" w:lineRule="exact"/>
              <w:rPr>
                <w:sz w:val="20"/>
                <w:szCs w:val="20"/>
                <w:color w:val="auto"/>
              </w:rPr>
            </w:pPr>
            <w:r>
              <w:rPr>
                <w:rFonts w:ascii="Times New Roman" w:cs="Times New Roman" w:eastAsia="Times New Roman" w:hAnsi="Times New Roman"/>
                <w:sz w:val="18"/>
                <w:szCs w:val="18"/>
                <w:color w:val="auto"/>
              </w:rPr>
              <w:t>Transactions processed</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(millions)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306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epay Segment total revenues were $290.3 million for the three months ended September 30, 2024, an increase of $25.8 million or 10% compared to the same period in 2023. epay Segment total revenues were $808.3 million for the nine months ended September 30, 2024, an increase of $42.6 million or 6% compared to the same period in 2023. The increase in revenue for the nine months ended September 30, 2024 was driven by continued expansion in mobile and digital branded payments. Fluctuations in foreign currency exchange rates increased revenue by approximately $0.1 and $0.2 million for the three and nine months ended September 30, 2024, compared to the same period in 2023.</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per transaction decreased to $0.26 and $0.25 for the three and nine months ended September 30, 2024, compared to $0.29 and $0.27 for the same periods in 2023. The decrease in revenue per transaction was primarily due to the shift in the mix of transactions processed.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epay Segment direct operating costs were $223.5 million for the three months ended September 30, 2024, an increase of $22.2 million or 11% compared to the same period in 2023. epay Segment direct operating costs were $617.1 million for the nine months ended September 30, 2024, an increase of $33.5 million or 6% compared to the same period in 2023. Direct operating costs primarily consist of the commissions paid to retail merchants for the distribution and sale of prepaid mobile airtime and other prepaid products, expenses incurred to operate POS terminals and the cost of vouchers sold and physical gifts fulfilled. Fluctuations in foreign currency exchange rates increased direct operating costs by $0.2 million and $0.2 million for the three and nine months ended September 30, 2024, compared to the same period in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was $66.8 million for the three months ended September 30, 2024, an increase of $3.6 million or 6% compared to $63.2 million for the same period in 2023. Gross profit was $191.2 million for the nine months ended September 30, 2024, an increase of $9.1 million or 5% compared to $182.1 million for the same period in 2023. Gross margin decreased to 23.0% and 23.7% for the three and nine months ended September 30, 2024, compared to 23.9% and 23.8% for the same periods in 2023. The changes in gross profit and gross margin were primarily due to the shift in the mix of transactions processed.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benefits expenses were $26.2 million for the three months ended September 30, 2024, an increase of $2.8 million or 12% compared to the same period in 2023. Salaries and benefits expenses were $75.4 million for the nine months ended September 30, 2024, an increase of $8.6 million or 13% compared to the same period in 2023. The fluctuations in salaries and benefits were driven by an increase in headcount to support the growth of the business and salary increases due to inflationary pressures. As a percentage of revenues, these expenses increased to 9.0% and 9.3% for the three and nine months ended September 30, 2024, compared to 8.8% and 8.7% for the same periods in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$9.6 million for the three months ended September 30, 2024, a decrease of $0.1 million or 1% compared to the same period in 2023. Selling, general and administrative expenses were $28.5 million for the nine months ended September 30, 2024, an increase of $0.9 million or 3% compared to the same period in 2023. As a percentage of revenues, these expenses were 3.3% and 3.5% for the three and nine months ended September 30, 2024, compared to 3.7% and 3.6% for the same periods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expenses were $1.9 million for the three months ended September 30, 2024, an increase of $0.1 million or 6% compared to the same period in 2023. Depreciation and amortization expenses were $5.4 million for the nine months ended September 30, 2024 an increase of $0.3 million or 6% compared to the same period in 2023. Depreciation and amortization expense primarily represents depreciation of POS terminals we install in retail stores and amortization of acquired intangible assets. As a percentage of revenues, these expenses were 0.7% for both the three and nine months ended September 30, 2024, respectively, with no change compared to the same periods in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epay Segment operating income was $29.1 million for the three months ended September 30, 2024, an increase of $0.8 million or 3% compared to the same period in 2023. epay Segment operating income was $81.9 million for the nine months ended September 30, 2024, a decrease of $0.7 million or 1% compared to the same period in 2023. Operating margin decreased to 10.0% and 10.1% for the three and nine months ended September 30, 2024, compared to 10.7% and 10.8% for the same periods in 2023. Operating income per transaction was $0.03 for both the three and nine months ended September 30, 2024, unchanged from the same periods in 2023. Changes in operating income and operating margin for the three and nine months ended September 30, 2024 compared to the same periods in 2023 were primarily due to the shift in the mix of transactions processed and a decline in the promotional campaign activity in 2024 compared to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results of operations for the three and nine months ended September 30, 2024 and 2023 for the Money Transfer Segment: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340" w:type="dxa"/>
            <w:vAlign w:val="bottom"/>
            <w:gridSpan w:val="3"/>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300" w:type="dxa"/>
            <w:vAlign w:val="bottom"/>
          </w:tcPr>
          <w:p>
            <w:pPr>
              <w:spacing w:after="0"/>
              <w:rPr>
                <w:sz w:val="13"/>
                <w:szCs w:val="13"/>
                <w:color w:val="auto"/>
              </w:rPr>
            </w:pPr>
          </w:p>
        </w:tc>
        <w:tc>
          <w:tcPr>
            <w:tcW w:w="1880" w:type="dxa"/>
            <w:vAlign w:val="bottom"/>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gridSpan w:val="3"/>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23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3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8"/>
        </w:trPr>
        <w:tc>
          <w:tcPr>
            <w:tcW w:w="2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2"/>
        </w:trPr>
        <w:tc>
          <w:tcPr>
            <w:tcW w:w="2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395.9</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1,244.6</w:t>
            </w:r>
          </w:p>
        </w:tc>
        <w:tc>
          <w:tcPr>
            <w:tcW w:w="1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operating costs</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211.9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57.6</w:t>
            </w:r>
          </w:p>
        </w:tc>
        <w:tc>
          <w:tcPr>
            <w:tcW w:w="14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9"/>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Salaries and benefits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17.9</w:t>
            </w: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5"/>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administrative</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13.5</w:t>
            </w:r>
          </w:p>
        </w:tc>
        <w:tc>
          <w:tcPr>
            <w:tcW w:w="14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1"/>
        </w:trPr>
        <w:tc>
          <w:tcPr>
            <w:tcW w:w="2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80" w:type="dxa"/>
            <w:vAlign w:val="bottom"/>
            <w:tcBorders>
              <w:bottom w:val="single" w:sz="8" w:color="CCEEFF"/>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200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Total operating</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342.2</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85.4</w:t>
            </w:r>
          </w:p>
        </w:tc>
        <w:tc>
          <w:tcPr>
            <w:tcW w:w="14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10"/>
        </w:trPr>
        <w:tc>
          <w:tcPr>
            <w:tcW w:w="2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80" w:type="dxa"/>
            <w:vAlign w:val="bottom"/>
          </w:tcPr>
          <w:p>
            <w:pPr>
              <w:spacing w:after="0"/>
              <w:rPr>
                <w:sz w:val="24"/>
                <w:szCs w:val="24"/>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9.1</w:t>
            </w:r>
          </w:p>
        </w:tc>
        <w:tc>
          <w:tcPr>
            <w:tcW w:w="14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65"/>
        </w:trPr>
        <w:tc>
          <w:tcPr>
            <w:tcW w:w="2000" w:type="dxa"/>
            <w:vAlign w:val="bottom"/>
            <w:tcBorders>
              <w:top w:val="single" w:sz="8" w:color="CCEEFF"/>
            </w:tcBorders>
            <w:shd w:val="clear" w:color="auto" w:fill="CCEEFF"/>
          </w:tcPr>
          <w:p>
            <w:pPr>
              <w:ind w:left="340"/>
              <w:spacing w:after="0" w:line="164" w:lineRule="exact"/>
              <w:rPr>
                <w:sz w:val="20"/>
                <w:szCs w:val="20"/>
                <w:color w:val="auto"/>
              </w:rPr>
            </w:pPr>
            <w:r>
              <w:rPr>
                <w:rFonts w:ascii="Times New Roman" w:cs="Times New Roman" w:eastAsia="Times New Roman" w:hAnsi="Times New Roman"/>
                <w:sz w:val="18"/>
                <w:szCs w:val="18"/>
                <w:color w:val="auto"/>
              </w:rPr>
              <w:t>Transactions</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processed (millions)</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10.8</w:t>
            </w:r>
          </w:p>
        </w:tc>
        <w:tc>
          <w:tcPr>
            <w:tcW w:w="14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Money Transfer Segment total revenues were $438.2 million for the three months ended September 30, 2024, an increase of $42.3 million or 11% compared to the same period in 2023. Money Transfer Segment total revenues were $1,244.6 million for the nine months ended September 30, 2024, an increase of $94.5 million or 8% compared to the same period in 2023. The increase in revenues was primarily due to an increase in international-originated money transfers, U.S. outbound transactions, and direct-to-consumer digital transactions, partially offset by a decrease in U.S. domestic transactions. Revenues per transaction decreased to $9.72 and $9.57 for the three and nine months ended September 30, 2024, compared to $9.75 and $9.65 for the same periods in 2023 due to a shift in the mix of transactions processed. Fluctuations in foreign currency exchange rates increased revenues by approximately $2.4 million and $0.1 million for the three and nine months ended September 30, 2024 compared to the same periods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operating costs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Money Transfer Segment direct operating costs were $238.4 million for the three months ended September 30, 2024, an increase of $26.5 million or 13% compared to the same period in 2023. Money Transfer Segment direct operating costs were $679.5 million for the nine months ended September 30, 2024, an increase of $57.6 million or 9% compared to the same period in 2023.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international-originated and U.S. outbound money transfer transactions. Fluctuations in foreign currency exchange rates increased direct costs by approximately $1.3 million and $0.1 million for the three and nine months ended September 30, 2024 compared to the same periods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was $199.8 million for the three months ended September 30, 2024, an increase of $15.8 million or 9% compared to $184.0 million for the same period in 2023. Gross profit was $565.1 million for the nine months ended September 30, 2024, an increase of $36.9 million or 7% compared to $528.2 million for the same period in 2023. Gross margin decreased to 45.6% and 45.4% for the three and nine months ended September 30, 2024, compared to 46.5% and 45.9% for the same periods in 2023. The increase in gross profit was primarily due to increases in international-originated money transfers, U.S. outbound transactions and direct-to-consumer digital transactions.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Salaries and benefits expenses were $84.9 million for the three months ended September 30, 2024, an increase of $7.3 million or 9% compared to the same period in 2023. Salaries and benefits expenses were $248.3 million for the nine months ended September 30, 2024, an increase of $17.9 million or 8% compared to the same period in 2023. The increase in salaries and benefits was primarily driven by an increase in headcount to support the growth of the business and salary increases due to inflationary pressures. As a percentage of revenues, these expenses decreased to 19.4% for the three months ended September 30, 2024, compared to 19.6% for the same period in 2023 and were 20.0% for the nine months ended September 30, 2024 and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$50.8 million for the three months ended September 30, 2024, an increase of $5.1 million or 11% compared to the same period in 2023. Selling, general and administrative expenses were $154.2 million for the nine months ended September 30, 2024, an increase of $13.5 million or 10% compared to the same period in 2023. As a percentage of revenues, these expenses increased to 11.6% and 12.4% for the three and nine months ended September 30, 2024, compared to 11.5% and 12.2% for the same periods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expenses were $6.0 million for the three months ended September 30, 2024, a decrease of $1.0 million or 14% compared to the same period in 2023. Depreciation and amortization expenses were $20.0 million for the nine months ended September 30, 2024, a decrease of $3.6 million or 15% compared to the same period in 2023. Depreciation and amortization expense primarily represents amortization of acquired intangible assets and depreciation of money transfer terminals, computers and software, leasehold improvements and office equipment. As a percentage of revenues, these expenses decreased to 1.4% and 1.6% for the three and nine months ended September 30, 2024, compared to 1.8% and 2.1% for the same periods in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Money Transfer Segment operating income was $58.1 million for the three months ended September 30, 2024, an increase of $4.4 million compared to the same period in 2023. Money Transfer Segment had operating income of $ 142.6 million for the nine months ended September 30, 2024, an increase of $9.1 million or 7% compared to the same period in 2023. Operating margin decreased to 13.3% and 11.5% for the three and nine months ended September 30, 2024, compared to 13.6% and 11.6% for the same periods in 2023. Operating income per transaction decreased to $1.29, and $1.10 for the three and nine months ended September 30, 2024, compared to $1.32 and $1.12 for the same periods in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operating expenses for the three and nine months ended September 30, 2024 and 2023 for Corporate Services: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940" w:type="dxa"/>
            <w:vAlign w:val="bottom"/>
            <w:gridSpan w:val="3"/>
            <w:vMerge w:val="restart"/>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2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00" w:type="dxa"/>
            <w:vAlign w:val="bottom"/>
          </w:tcPr>
          <w:p>
            <w:pPr>
              <w:spacing w:after="0"/>
              <w:rPr>
                <w:sz w:val="15"/>
                <w:szCs w:val="15"/>
                <w:color w:val="auto"/>
              </w:rPr>
            </w:pPr>
          </w:p>
        </w:tc>
        <w:tc>
          <w:tcPr>
            <w:tcW w:w="2060" w:type="dxa"/>
            <w:vAlign w:val="bottom"/>
            <w:gridSpan w:val="3"/>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39"/>
              <w:spacing w:after="0" w:line="14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39"/>
              <w:spacing w:after="0" w:line="14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2"/>
                <w:szCs w:val="12"/>
                <w:color w:val="auto"/>
              </w:rPr>
            </w:pPr>
          </w:p>
        </w:tc>
        <w:tc>
          <w:tcPr>
            <w:tcW w:w="1060" w:type="dxa"/>
            <w:vAlign w:val="bottom"/>
          </w:tcPr>
          <w:p>
            <w:pPr>
              <w:jc w:val="center"/>
              <w:ind w:right="24"/>
              <w:spacing w:after="0" w:line="14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2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200" w:type="dxa"/>
            <w:vAlign w:val="bottom"/>
          </w:tcPr>
          <w:p>
            <w:pPr>
              <w:spacing w:after="0"/>
              <w:rPr>
                <w:sz w:val="12"/>
                <w:szCs w:val="12"/>
                <w:color w:val="auto"/>
              </w:rPr>
            </w:pPr>
          </w:p>
        </w:tc>
        <w:tc>
          <w:tcPr>
            <w:tcW w:w="80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8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0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95"/>
        </w:trPr>
        <w:tc>
          <w:tcPr>
            <w:tcW w:w="23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41"/>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00" w:type="dxa"/>
            <w:vAlign w:val="bottom"/>
            <w:tcBorders>
              <w:top w:val="single" w:sz="8" w:color="auto"/>
            </w:tcBorders>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1"/>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tcPr>
          <w:p>
            <w:pPr>
              <w:spacing w:after="0"/>
              <w:rPr>
                <w:sz w:val="20"/>
                <w:szCs w:val="20"/>
                <w:color w:val="auto"/>
              </w:rPr>
            </w:pPr>
          </w:p>
        </w:tc>
        <w:tc>
          <w:tcPr>
            <w:tcW w:w="8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8"/>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operating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Corporate operating expenses were $22.3 million and $62.7 million for the three and nine months ended September 30, 2024, an increase of $2.5 million or 13% and $1.0 million or 2% compared to the same periods in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2340" w:type="dxa"/>
            <w:vAlign w:val="bottom"/>
            <w:gridSpan w:val="3"/>
            <w:vMerge w:val="restart"/>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80" w:type="dxa"/>
            <w:vAlign w:val="bottom"/>
          </w:tcPr>
          <w:p>
            <w:pPr>
              <w:spacing w:after="0"/>
              <w:rPr>
                <w:sz w:val="13"/>
                <w:szCs w:val="13"/>
                <w:color w:val="auto"/>
              </w:rPr>
            </w:pPr>
          </w:p>
        </w:tc>
        <w:tc>
          <w:tcPr>
            <w:tcW w:w="1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3"/>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120" w:type="dxa"/>
            <w:vAlign w:val="bottom"/>
          </w:tcPr>
          <w:p>
            <w:pPr>
              <w:spacing w:after="0"/>
              <w:rPr>
                <w:sz w:val="12"/>
                <w:szCs w:val="12"/>
                <w:color w:val="auto"/>
              </w:rPr>
            </w:pPr>
          </w:p>
        </w:tc>
        <w:tc>
          <w:tcPr>
            <w:tcW w:w="136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8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48"/>
        </w:trPr>
        <w:tc>
          <w:tcPr>
            <w:tcW w:w="1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(dollar amounts in millions)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exchange income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net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36.2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Other gains (losses)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1"/>
                <w:szCs w:val="21"/>
                <w:color w:val="auto"/>
              </w:rPr>
            </w:pPr>
          </w:p>
        </w:tc>
        <w:tc>
          <w:tcPr>
            <w:tcW w:w="136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46.0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25.2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was $6.5 million for the three months ended September 30, 2024, an increase of $2.5 million or 63% compared to the same period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Interest income was $18.1 million for the nine months ended September 30, 2024, an increase of $8.0 million or 79% compared to the same period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2023.This increase was driven by an increase in interest rates on our interest bearing bank accounts.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$24.2 million for the three months ended September 30, 2024, an increase of $9.2 million or 61% compared to the same period in 2023. Interest expense was $59.2 million for the nine months ended September 30, 2024, an increase of $20.1 million or 51% compared to the same period in 2023. This increase was driven by an increase in interest rates and outstanding balances on our Credit Facility and uncommitted credit facilities.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loss,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net foreign currency exchange income of $27.4 million and $16.4 million for the three and nine months ended September 30, 2024, compared to net foreign currency exchange loss of $8.8 million and $3.6 million for the same periods in 2023. These realized and unrealized foreign currency exchange gains and losses reflect the fluctuation in the value of the U.S. dollar against the currencies of the countries in which we operated during the respective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gains (losses)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other gains of $16.5 million and $17.2 million for the three and nine months ended September 30, 2024, compared to no gain and a loss of $(0.1) million for the same periods in 2023. These other gains in 2024 relate to a discrete non-cash investment gain.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was 27.3% and 30.0% for the three and nine months ended September 30, 2024, compared to 29.2% and 30.6% for the same periods ended September 30, 2023. The Company's effective income tax rate for the three and nine months ended September 30, 2024 was higher than the applicable statutory income tax rate of 21% as a result of certain foreign earnings being subject to higher local statutory tax rates and the Company’s U.S. deferred tax activity.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Noncontrolling interests represent the elimination of net income or loss attributable to the minority shareholders’ portion of the following consolidated subsidiaries that are not wholly owned: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Owned</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Segment - Country</w:t>
            </w:r>
          </w:p>
        </w:tc>
      </w:tr>
      <w:tr>
        <w:trPr>
          <w:trHeight w:val="248"/>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Movilcarga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epay - Spain</w:t>
            </w:r>
          </w:p>
        </w:tc>
      </w:tr>
      <w:tr>
        <w:trPr>
          <w:trHeight w:val="243"/>
        </w:trPr>
        <w:tc>
          <w:tcPr>
            <w:tcW w:w="8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Euronet China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100" w:type="dxa"/>
            <w:vAlign w:val="bottom"/>
          </w:tcPr>
          <w:p>
            <w:pPr>
              <w:spacing w:after="0"/>
              <w:rPr>
                <w:sz w:val="21"/>
                <w:szCs w:val="21"/>
                <w:color w:val="auto"/>
              </w:rPr>
            </w:pPr>
          </w:p>
        </w:tc>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EFT - China</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Euronet Pakistan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EFT - Pakistan</w:t>
            </w:r>
          </w:p>
        </w:tc>
      </w:tr>
      <w:tr>
        <w:trPr>
          <w:trHeight w:val="243"/>
        </w:trPr>
        <w:tc>
          <w:tcPr>
            <w:tcW w:w="8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Latam ATM Solutions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51%</w:t>
            </w:r>
          </w:p>
        </w:tc>
        <w:tc>
          <w:tcPr>
            <w:tcW w:w="100" w:type="dxa"/>
            <w:vAlign w:val="bottom"/>
          </w:tcPr>
          <w:p>
            <w:pPr>
              <w:spacing w:after="0"/>
              <w:rPr>
                <w:sz w:val="21"/>
                <w:szCs w:val="21"/>
                <w:color w:val="auto"/>
              </w:rPr>
            </w:pPr>
          </w:p>
        </w:tc>
        <w:tc>
          <w:tcPr>
            <w:tcW w:w="2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EFT - Spain</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EURONET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Euronet was $151.5 million for the three months ended September 30, 2024, an increase of $47.3 million or 45% compared to the same period in 2023. Net income attributable to Euronet was $260.8 million for the nine months ended September 30, 2024, an increase of $50.4 million or 24% compared to the same period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we had working capital of $914.6 million, which is calculated as the difference between total current assets and total current liabilities, compared to working capital of $1,462.1 million as of December 31, 2023. The decrease in working capital was primarily due to the net effect of the classification of the convertible debt to current liabilities, additional financing for the ATMs, operational results, acquisitions, repurchases of shares and working capital changes. Our ratio of current assets to current liabilities was 1.26 and 1.54 at September 30, 2024 and December 31, 2023, respectively.</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in order to cover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uncommitted credit agreements and cash flows from operations. As of September 30, 2024, we had $805.4 million of our own cash in use or designated for use in our ATM network, which is recorded in ATM cash on Euronet's Consolidated Balance Sheet. ATM cash increased $280.2 million from $525.2 million as of December 31, 2023 to $805.4 million as of September 30, 2024 as a result of the increase in number of active ATMs as of September 30, 2024 compared to December 31, 2023. The Company has $1,524.1 million of unrestricted cash as of September 30, 2024 compared to $1,254.2 million as of December 31, 2023. Including the $805.4 million of cash in ATMs at September 30, 2024, we have access to $2,941.8 million in available cash, and $669.8 million available under the Credit Facility.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following table identifies cash and cash equivalents provided by/(used in) our operating, investing and financing activities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(in millions):</w:t>
      </w:r>
    </w:p>
    <w:p>
      <w:pPr>
        <w:spacing w:after="0" w:line="29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24765</wp:posOffset>
            </wp:positionV>
            <wp:extent cx="17741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Liquidity</w:t>
            </w:r>
          </w:p>
        </w:tc>
        <w:tc>
          <w:tcPr>
            <w:tcW w:w="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8"/>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and restricted cash provided by (used in):</w:t>
            </w: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652.5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507.4</w:t>
            </w:r>
          </w:p>
        </w:tc>
      </w:tr>
      <w:tr>
        <w:trPr>
          <w:trHeight w:val="27"/>
        </w:trPr>
        <w:tc>
          <w:tcPr>
            <w:tcW w:w="7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63"/>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r>
      <w:tr>
        <w:trPr>
          <w:trHeight w:val="277"/>
        </w:trPr>
        <w:tc>
          <w:tcPr>
            <w:tcW w:w="7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 and restricted cash</w:t>
            </w:r>
          </w:p>
        </w:tc>
        <w:tc>
          <w:tcPr>
            <w:tcW w:w="6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57"/>
        </w:trPr>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cash and cash equivalents and restricted cash</w:t>
            </w:r>
          </w:p>
        </w:tc>
        <w:tc>
          <w:tcPr>
            <w:tcW w:w="6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694.8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52.5</w:t>
            </w: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activity cash flow</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flows provided by operating activities were $652.5 million for the nine months ended September 30, 2024 compared to cash flows provided by operating activities of $52.5 million for the same period in 2023. The net increase in operating cash flows was primarily due to other working capital fluctuations.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activity cash flow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used in investing activities were $185.2 million for the nine months ended September 30, 2024 compared to $74.6 million for the same period in 2023. The increase in cash used in investing activities is primarily due to the $91.3 million of cash paid for the acquisitions during the first nine months of 2024. Additionally, we used $83.0 million for purchases of property and equipment, net of sale proceeds for the nine months ended September 30, 2024 compared to $69.1 million for the same period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activity cash flow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flows provided by financing activities were $185.4 million for the nine months ended September 30, 2024 compared to cash flows used by financing activities of $208.3 million for the same period in 2023. Our borrowing activities on the Credit Facility for the nine months ended September 30, 2024 consisted of net repayments of $4.5 million compared to net repayments of $333.8 million for the same period in 2023. The increase in financing activity is primarily the result of net borrowings of short-term obligations of $404.3 million offset by cash used to repurchase shares of $217.6 million. We received proceeds of $4.5 million and $3.1 million during the nine months ended September 30, 2024 and 2023, respectively, for the issuance of stock in connection with our Stock Incentive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rates on cash, cash equivalents and restricted cash</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42424"/>
        </w:rPr>
        <w:t>Fluctuations in f</w:t>
      </w:r>
      <w:r>
        <w:rPr>
          <w:rFonts w:ascii="Times New Roman" w:cs="Times New Roman" w:eastAsia="Times New Roman" w:hAnsi="Times New Roman"/>
          <w:sz w:val="18"/>
          <w:szCs w:val="18"/>
          <w:color w:val="000000"/>
        </w:rPr>
        <w:t>oreign currency exchange rates for the nine months ended September 30, 2024 and 2023 had a positive impact of $42.1 million and a</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negative impact of $172.0 million, respectively, on cash, cash equivalents, and restricted cash. The impact on cash, cash equivalents, and restricted cash for the nine months ended September 30, 2024 and 2023 was due primarily to the impact of the exchange rate of the U.S. dollar to the euro.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sources of capital</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Credit Facility - On October 24, 2022, the Company amended its revolving credit agreement (the “Credit Facility”) to increase the facility from $1.03 billion to $1.25 billion and to extend the expiration to October 24, 2027. The revolving credit facility contains a sublimit of up to $250 million, with $150 million committed, for the issuance of letters of credit, a $75 million sublimit both for U.S. dollar swingline loans and for swingline loans in euros or British pounds sterling.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Fees and interest on borrowings vary based upon the Company's corporate credit rating and will be based, in the case of letter of credit fees, on a margin, and in the case of interest, on a margin over a secured overnight financing rate, as defined in the agreement, with a margin, including the facility fee, ranging from 1.00% to 1.625% or the base rate, as selected by the Company. The applicable margin for borrowings under the credit facility, based on the Company's current credit rating is 1.25% including the facility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-1118235</wp:posOffset>
            </wp:positionV>
            <wp:extent cx="6718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1830" cy="8255"/>
                    </a:xfrm>
                    <a:prstGeom prst="rect">
                      <a:avLst/>
                    </a:prstGeom>
                    <a:noFill/>
                  </pic:spPr>
                </pic:pic>
              </a:graphicData>
            </a:graphic>
          </wp:anchor>
        </w:drawing>
      </w:r>
    </w:p>
    <w:p>
      <w:pPr>
        <w:spacing w:after="0" w:line="1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we had $533.0 million of borrowings and $47.2 million of stand-by letters of credit outstanding under the Credit Facility. The remaining $669.8 million under the Credit Facility was available for borrowing.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Convertible debt</w:t>
      </w:r>
      <w:r>
        <w:rPr>
          <w:rFonts w:ascii="Times New Roman" w:cs="Times New Roman" w:eastAsia="Times New Roman" w:hAnsi="Times New Roman"/>
          <w:sz w:val="18"/>
          <w:szCs w:val="18"/>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200" w:lineRule="exact"/>
        <w:rPr>
          <w:sz w:val="20"/>
          <w:szCs w:val="20"/>
          <w:color w:val="auto"/>
        </w:rPr>
      </w:pP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xml:space="preserve"> - On May 22, 2019, we completed the sale of €600 million ($669.9 million) aggregate principal amount of Senior Notes that expire on May 2026 (the “Senior Notes”). The Senior Notes accrue interest at a rate of 1.375% per year, payable annually in arrears on May 22 of each year, until maturity or earlier redemption. As of September 30, 2024, we have outstanding €600.0 million ($668.0 million) principal amount of the Senior Notes. In addition, we may redeem some or all of these notes on or after February 22, 2026 at their principal amount plus any accrued and unpaid interest.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Uncommitted Credit Agreements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26, 2023, the Company entered into an Uncommitted Loan Agreement for $150 million, which expired on June 21, 2024. This loan was a Prime rate loan, a Bloomberg Short-term Bank Yield (“BSBY”) rate loan plus 0.95% or bore interest at the rate agreed to by the Bank and the Company at the time a loan was made. The weighted average interest rate from the loan inception date to June 21, 2024, was 6.32%.</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21, 2024, the Company rolled the $150 million Uncommitted Loan Agreement into a new Uncommitted Loan Agreement with a $400 million credit limit on or before September 30, 2024, and a credit limit of $250 million on or after October 1, 2024 for the sole purpose of providing vault cash for ATMs and expires no later than June 20, 2025. The loan had an outstanding balance of $250 million at September 30, 2024. The loan is a Prime Rate Loan, a Daily SOFR Rate Loan plus 1.05% or shall bear interest at the rate agreed to by the Bank and the Borrower at the time such Loan is made. The weighted-average interest rate from loan inception date to September 30, 2024, was 6.30%.</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27, 2024, the Company entered into an Uncommitted Loan Agreement for $300 million, fully drawn and outstanding at September 30, 2024, for the sole purpose of providing vault cash for ATMs, that expires no later than November 30, 2024. The loan is a Prime Rate Loan, a Daily Simple SOFR Rate Loan plus 1.125% or shall bear interest at the rate agreed to by the Bank and the Borrower at the time such Loan is made. The weighted-average interest rate from the loan inception date to September 30, 2024 was 6.39%.</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Other debt obligations</w:t>
      </w:r>
      <w:r>
        <w:rPr>
          <w:rFonts w:ascii="Times New Roman" w:cs="Times New Roman" w:eastAsia="Times New Roman" w:hAnsi="Times New Roman"/>
          <w:sz w:val="18"/>
          <w:szCs w:val="18"/>
          <w:color w:val="auto"/>
        </w:rPr>
        <w:t xml:space="preserve"> — Certain of our subsidiaries have available credit lines and overdraft facilities to generally supplement short-term working capital requirements, when necessary. There was $4.8 million outstanding under these other obligation arrangements as of September 30,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uses of capital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Capital expenditures and needs</w:t>
      </w:r>
      <w:r>
        <w:rPr>
          <w:rFonts w:ascii="Times New Roman" w:cs="Times New Roman" w:eastAsia="Times New Roman" w:hAnsi="Times New Roman"/>
          <w:sz w:val="18"/>
          <w:szCs w:val="18"/>
          <w:color w:val="auto"/>
        </w:rPr>
        <w:t xml:space="preserve"> - Total capital expenditures for the nine months ended September 30, 2024 were $83.0 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2024 are currently estimated to range from approximately $100 million to $120 million. At current and projected cash flow levels, we anticipate that cash generated from operations, together with cash on hand and amounts available under our Credit Facility and other existing and potential future financing will be sufficient to meet our debt (including our uncommitted credit facilities),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Inflation and functional currencies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the countries in which we operate have experienced low and stable inflation. Therefore, the local currency in each of these markets is the functional currency. The current inflationary period has put pressure on our results of operations and our financial ition, primarily in the form of increased compensation expense. In addition, we have seen some signs of inflation impacting demand for our products and services by affecting discretionary spend items, such as gaming products, in our epay business, discretionary travel expenditures in EFT, as well as some pressure on send amounts in money transfer. As a consequence of this inflationary period, we expect to see increasing expenses forthcoming. We continually review inflation and the functional currency in each of the countries where we operate.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2024, there were no material changes from the disclosure in our Annual Report on Form 10-K for the year ended December 31, 2023. To date, we are not aware of any significant claims made by the indemnified parties or parties to whom we have provided guarantees on behalf of our subsidiaries and, accordingly, no liabilities have been recorded as of September 30, 2024. See also Note 15, Commitments,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there have been no material changes outside the ordinary course of business in our future contractual obligations from the amounts reported within our Annual Report on Form 10-K for the year ended December 31,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September 30, 2024, our total debt outstanding, excluding unamortized debt issuance costs, was $2,280.8 million. Of this amount, $525.0 million, net of debt discounts, or 23% of our total debt obligations, relates to our contingent Convertible Notes that have a fixed coupon rate. Our $525.0 million outstanding principal amount of Convertible Notes accrue cash interest at a rate of 0.75% of the principal amount per annum. Based on quoted market prices, as of September 30, 2024, the fair value of our fixed rate Convertible Notes was $514.8 million, compared to a carrying value of $525.0 million. Further, as of September 30, 2024 we had $533.0 million of borrowings under our Credit Facility, or 23% of our total debt obligations. If we were to maintain these borrowings for one year and maximize the potential borrowings available under the revolving credit facility for one year, a 1% (100 basis points) increase in the applicable interest rate would result in additional interest expense to the Company of approximately $12.5 million. The carrying values of the Credit Facility approximates fair value because interest as of September 30, 2024, was based on SOFR that resets at various intervals of less than one year. Additionally, $668.0 million, or 29% of our total debt obligations, relates to Senior Notes having a fixed coupon rate. Our $668.0 million outstanding principal amount of Senior Notes accrue cash interest at a rate of 1.375% of the principal amount per annum. Based on quoted market prices, as of September 30, 2024, the fair value of our fixed rate Senior Notes was $646.7 million, compared to a carrying value of $668.0 million. An additional $550.0 million, or 24% of our total debt, is related to short-term uncommitted credit agreements. The credit agreements are due within one year and accrue interest at variable rates. The remaining $4.8 million, or 1% of our total debt obligations, is related to borrowings by certain subsidiaries to fund, from time to time, working capital requirements. These arrangements generally are due within one year and accrue interest at variable rates.</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as of September 30, 2024 we had approximately $4.0 million of finance leases with fixed payment and interest terms that expire between the years of 2024 and 2028.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approximately 75.3% of our revenues were generated in non-U.S. dollar countries and we expect to continue generating a significant portion of our revenues in countries with currencies other than the U.S. dollar.</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September 30, 2024, we estimate that a 10% fluctuation in these foreign currency exchange rates would have the combined annualized effect on reported net income and working capital of approximately $140 million to $150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10% fluctuation in foreign currency exchange rates would have a non-cash impact on total comprehensive income of approximately ($100) million to ($110 million) as a result of the change in value of these items during translation to the U.S. dollar. For the fluctuations described above, a strengthening U.S. dollar produces a financial loss, while a weakening U.S. dollar produces a financial gain.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September 30, 2024, we had foreign currency derivative contracts outstanding with a notional value of $531.3 million, primarily in Australian dollars, British pounds, Canadian dollars, euros and Mexican pesos, that were not designated as hedges and mature within a few days.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longer-term foreign currency forward contracts to mitigate risks associated with changes in foreign currency exchange rates on certain foreign currency denominated other asset and liability positions. As of September 30, 2024, the Company had foreign currency forward contracts outstanding with a notional value of $193.7 million, primarily in euros.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September 30, 2024, we held foreign currency derivative contracts outstanding with a notional value of $1.1 billion, primarily in U.S. dollars, euros, British pounds, Australian dollars and New Zealand dollars, that were not designated as hedges and for which the majority mature within the next twelve months.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Derivative Instruments and Hedging Activities, to our unaudited consolidated financial statements for additional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2024.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Internal Controls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three month period ended September 30, 2024 that has materially affected, or is reasonably likely to materially affect, our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discussion regarding contingencies in Part I, Item 1 — Financial Statements (unaudited), Note 16, Litigation and Contingencies, to the unaudited consolidated financial statements in this report is incorporated herein by reference.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a party to legal or regulatory proceedings arising in the ordinary course of the Company's business. In accordance with U.S. GAAP, the Company records a liability when it is both probable that a liability has been incurred and the amount of the loss can be reasonable estimated. Currently, there are no legal proceeding s or regulatory findings which are both probable that a liability has been incurred and can be reasonably estimated that management believes, either individually or in the aggregate, would have a material adverse effect on the Company's consolidated financial condition or results of operations. These provisions are reviewed at least quarterly and adjusted to reflect the impacts of negotiations, settlements, rulings, advice of legal counsel, and other information and events pertaining to a particular case.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July 2024, the Company received an adverse judicial decision related to withholding taxes on certain agency relationships in Italy within the Money Transfer Segment, which the Company plans to appeal. The Company completed an assessment and concluded that it is reasonably possible that a liability has been incurred, but not probable. The principal amount of the agent-based withholding tax could be approximately $16.5 million for all open periods.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described herein, there were no material changes to the risk factors previously disclosed in our Annual Report on Form 10-K for the year ended 31 December 2023, as filed with the SEC.</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shares of the Company's common stock that were purchased by the Company during the three months ended September 30, 2024.</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00" w:type="dxa"/>
            <w:vAlign w:val="bottom"/>
          </w:tcPr>
          <w:p>
            <w:pPr>
              <w:spacing w:after="0"/>
              <w:rPr>
                <w:sz w:val="12"/>
                <w:szCs w:val="12"/>
                <w:color w:val="auto"/>
              </w:rPr>
            </w:pPr>
          </w:p>
        </w:tc>
        <w:tc>
          <w:tcPr>
            <w:tcW w:w="13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580" w:type="dxa"/>
            <w:vAlign w:val="bottom"/>
            <w:gridSpan w:val="2"/>
          </w:tcPr>
          <w:p>
            <w:pPr>
              <w:jc w:val="center"/>
              <w:ind w:left="19"/>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5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Programs</w:t>
            </w:r>
          </w:p>
        </w:tc>
        <w:tc>
          <w:tcPr>
            <w:tcW w:w="0" w:type="dxa"/>
            <w:vAlign w:val="bottom"/>
          </w:tcPr>
          <w:p>
            <w:pPr>
              <w:spacing w:after="0"/>
              <w:rPr>
                <w:sz w:val="1"/>
                <w:szCs w:val="1"/>
                <w:color w:val="auto"/>
              </w:rPr>
            </w:pPr>
          </w:p>
        </w:tc>
      </w:tr>
      <w:tr>
        <w:trPr>
          <w:trHeight w:val="195"/>
        </w:trPr>
        <w:tc>
          <w:tcPr>
            <w:tcW w:w="568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(1)</w:t>
            </w:r>
          </w:p>
        </w:tc>
        <w:tc>
          <w:tcPr>
            <w:tcW w:w="0" w:type="dxa"/>
            <w:vAlign w:val="bottom"/>
          </w:tcPr>
          <w:p>
            <w:pPr>
              <w:spacing w:after="0"/>
              <w:rPr>
                <w:sz w:val="1"/>
                <w:szCs w:val="1"/>
                <w:color w:val="auto"/>
              </w:rPr>
            </w:pPr>
          </w:p>
        </w:tc>
      </w:tr>
      <w:tr>
        <w:trPr>
          <w:trHeight w:val="255"/>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 1 - Jul 31, 2024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0" w:type="dxa"/>
            <w:vAlign w:val="bottom"/>
          </w:tcPr>
          <w:p>
            <w:pPr>
              <w:spacing w:after="0"/>
              <w:rPr>
                <w:sz w:val="1"/>
                <w:szCs w:val="1"/>
                <w:color w:val="auto"/>
              </w:rPr>
            </w:pPr>
          </w:p>
        </w:tc>
      </w:tr>
      <w:tr>
        <w:trPr>
          <w:trHeight w:val="243"/>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 1 - Aug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905,472</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 1- Sept 30, 2024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94,528</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8"/>
        <w:spacing w:after="0" w:line="256"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13, 2023, the Company put a repurchase program in place to repurchase up to $350 million in value, but not more than 7.0 million shares of common stock through September 13, 2025. As of September 30, 2024, 5.9 million shares were available to be repurchased under this repurchase program. On September 11, 2024, the Company put a repurchase program in place to repurchase up to $350 million in value, but not more than 7.0 million shares of common stock through September 11, 2026. As of September 30, 2024, 7.0 million shares were available to be repurchased under this repurchase program. Repurchases under the programs may take place in the open market or in privately negotiated transactions, including derivative transactions, and may be made under a Rule 10b5-1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30, 2024, none of the Company’s directors or "officers," as defined in Rule 16a-1(f) of the Securities Exchange Act of 1934, as amended (the "Exchange Act"), adopted or terminated a "Rule 10b5-1 trading arrangement" or a "non-Rule 10b5-1 trading arrangement," as each term is defined in Item 408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31"/>
        </w:trPr>
        <w:tc>
          <w:tcPr>
            <w:tcW w:w="1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302</w:t>
            </w:r>
          </w:p>
        </w:tc>
        <w:tc>
          <w:tcPr>
            <w:tcW w:w="3120" w:type="dxa"/>
            <w:vAlign w:val="bottom"/>
            <w:tcBorders>
              <w:top w:val="single" w:sz="8" w:color="auto"/>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99"/>
              </w:rPr>
              <w:t>— Certification of Chief Executive Officer</w:t>
            </w:r>
          </w:p>
        </w:tc>
        <w:tc>
          <w:tcPr>
            <w:tcW w:w="6080" w:type="dxa"/>
            <w:vAlign w:val="bottom"/>
            <w:tcBorders>
              <w:top w:val="single" w:sz="8" w:color="auto"/>
            </w:tcBorders>
          </w:tcPr>
          <w:p>
            <w:pPr>
              <w:spacing w:after="0"/>
              <w:rPr>
                <w:sz w:val="24"/>
                <w:szCs w:val="24"/>
                <w:color w:val="auto"/>
              </w:rPr>
            </w:pPr>
          </w:p>
        </w:tc>
      </w:tr>
      <w:tr>
        <w:trPr>
          <w:trHeight w:val="25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0000EE"/>
              </w:rPr>
              <w:t>Section 302</w:t>
            </w:r>
          </w:p>
        </w:tc>
        <w:tc>
          <w:tcPr>
            <w:tcW w:w="9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 Certification of Chief Financial Officer</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5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906</w:t>
            </w:r>
          </w:p>
        </w:tc>
        <w:tc>
          <w:tcPr>
            <w:tcW w:w="312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99"/>
              </w:rPr>
              <w:t>— Certification of Chief Executive Officer</w:t>
            </w:r>
          </w:p>
        </w:tc>
        <w:tc>
          <w:tcPr>
            <w:tcW w:w="6080" w:type="dxa"/>
            <w:vAlign w:val="bottom"/>
          </w:tcPr>
          <w:p>
            <w:pPr>
              <w:spacing w:after="0"/>
              <w:rPr>
                <w:sz w:val="21"/>
                <w:szCs w:val="21"/>
                <w:color w:val="auto"/>
              </w:rPr>
            </w:pPr>
          </w:p>
        </w:tc>
      </w:tr>
      <w:tr>
        <w:trPr>
          <w:trHeight w:val="250"/>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0000EE"/>
              </w:rPr>
              <w:t>Section 906</w:t>
            </w:r>
          </w:p>
        </w:tc>
        <w:tc>
          <w:tcPr>
            <w:tcW w:w="9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 Certification of Chief Financial Officer</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left="1160" w:right="20" w:hanging="1119"/>
        <w:spacing w:after="0" w:line="254" w:lineRule="auto"/>
        <w:tabs>
          <w:tab w:leader="none" w:pos="11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Euronet Worldwide, Inc.’s Quarterly Report on Form 10-Q for the quarter ended September 30, 2024, formatted in XBRL (eXtensible Business Reporting Language): (i) Consolidated Balance Sheets at September 30, 2024 (unaudited) and December 31, 2023, (ii) Consolidated Statements of Operations (unaudited) for the three and nine months ended September 30, 2024 and 2023, (iii) Consolidated Statements of Comprehensive Income (unaudited) for the three and nine months ended September 30, 2024 and 2023, (iv) Consolidated Statements of Changes in Equity (unaudited) for the three and nine months ended September 30, 2024 and 2023</w:t>
      </w:r>
    </w:p>
    <w:p>
      <w:pPr>
        <w:spacing w:after="0" w:line="3" w:lineRule="exact"/>
        <w:rPr>
          <w:sz w:val="20"/>
          <w:szCs w:val="20"/>
          <w:color w:val="auto"/>
        </w:rPr>
      </w:pPr>
    </w:p>
    <w:p>
      <w:pPr>
        <w:ind w:left="1160" w:right="20" w:hanging="3"/>
        <w:spacing w:after="0" w:line="260" w:lineRule="auto"/>
        <w:tabs>
          <w:tab w:leader="none" w:pos="14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(unaudited) for the nine months ended September 30, 2024 and 2023, and (vi) Notes to the Unaudited Consolidated Financial Statements.</w:t>
      </w:r>
    </w:p>
    <w:p>
      <w:pPr>
        <w:spacing w:after="0" w:line="1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Pursuant to Item 601(b)(32) of Regulation S-K, this Exhibit is furnished rather than filed with this Form 10-Q.</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Euronet Worldwide, Inc.</w:t>
      </w:r>
    </w:p>
    <w:p>
      <w:pPr>
        <w:spacing w:after="0" w:line="252" w:lineRule="exact"/>
        <w:rPr>
          <w:sz w:val="20"/>
          <w:szCs w:val="20"/>
          <w:color w:val="auto"/>
        </w:rPr>
      </w:pPr>
    </w:p>
    <w:p>
      <w:pPr>
        <w:ind w:left="40"/>
        <w:spacing w:after="0"/>
        <w:tabs>
          <w:tab w:leader="none" w:pos="2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34290</wp:posOffset>
            </wp:positionV>
            <wp:extent cx="3437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Michael J. Brown</w:t>
      </w:r>
    </w:p>
    <w:p>
      <w:pPr>
        <w:spacing w:after="0" w:line="63"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2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34290</wp:posOffset>
            </wp:positionV>
            <wp:extent cx="3437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Rick L. Weller</w:t>
      </w:r>
    </w:p>
    <w:p>
      <w:pPr>
        <w:spacing w:after="0" w:line="63" w:lineRule="exact"/>
        <w:rPr>
          <w:sz w:val="20"/>
          <w:szCs w:val="20"/>
          <w:color w:val="auto"/>
        </w:rPr>
      </w:pPr>
    </w:p>
    <w:p>
      <w:pPr>
        <w:jc w:val="center"/>
        <w:ind w:right="3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280"/>
          </w:cols>
          <w:pgMar w:left="320" w:top="333" w:right="12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Brown, certify that:</w:t>
      </w:r>
    </w:p>
    <w:p>
      <w:pPr>
        <w:spacing w:after="0" w:line="225"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1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2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ind w:left="420" w:hanging="7"/>
        <w:spacing w:after="0" w:line="282" w:lineRule="auto"/>
        <w:tabs>
          <w:tab w:leader="none" w:pos="60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420" w:hanging="7"/>
        <w:spacing w:after="0" w:line="282" w:lineRule="auto"/>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420" w:hanging="7"/>
        <w:spacing w:after="0" w:line="282" w:lineRule="auto"/>
        <w:tabs>
          <w:tab w:leader="none" w:pos="63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2024</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Rick L. Weller, certify that:</w:t>
      </w:r>
    </w:p>
    <w:p>
      <w:pPr>
        <w:spacing w:after="0" w:line="207" w:lineRule="exact"/>
        <w:rPr>
          <w:sz w:val="20"/>
          <w:szCs w:val="20"/>
          <w:color w:val="auto"/>
        </w:rPr>
      </w:pPr>
    </w:p>
    <w:p>
      <w:pPr>
        <w:ind w:left="200" w:hanging="192"/>
        <w:spacing w:after="0"/>
        <w:tabs>
          <w:tab w:leader="none" w:pos="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Euronet Worldwide,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20" w:hanging="7"/>
        <w:spacing w:after="0" w:line="282" w:lineRule="auto"/>
        <w:tabs>
          <w:tab w:leader="none" w:pos="60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20" w:hanging="7"/>
        <w:spacing w:after="0" w:line="266" w:lineRule="auto"/>
        <w:tabs>
          <w:tab w:leader="none" w:pos="61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420" w:hanging="7"/>
        <w:spacing w:after="0" w:line="282" w:lineRule="auto"/>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20" w:hanging="7"/>
        <w:spacing w:after="0" w:line="282" w:lineRule="auto"/>
        <w:tabs>
          <w:tab w:leader="none" w:pos="63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2024</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September 30, 2024 as filed with the Securities and Exchange Commission on the date hereof (the “Report”), the undersigned hereby certifies, pursuant to 18 U.S.C. Section 1350, as adopted pursuant to Section 906 of the Sarbanes-Oxley Act of 2002, that:</w:t>
      </w:r>
    </w:p>
    <w:p>
      <w:pPr>
        <w:spacing w:after="0" w:line="176" w:lineRule="exact"/>
        <w:rPr>
          <w:sz w:val="20"/>
          <w:szCs w:val="20"/>
          <w:color w:val="auto"/>
        </w:rPr>
      </w:pPr>
    </w:p>
    <w:p>
      <w:pPr>
        <w:ind w:left="480" w:hanging="202"/>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80" w:hanging="202"/>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2024</w:t>
      </w:r>
    </w:p>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Euronet Worldwide, Inc. (the “Company”) for the period ended September 30, 2024 as filed with the Securities and Exchange Commission on the date hereof (the “Report”), the undersigned hereby certifies, pursuant to 18 U.S.C. Section 1350, as adopted pursuant to Section 906 of the Sarbanes-Oxley Act of 2002, that:</w:t>
      </w:r>
    </w:p>
    <w:p>
      <w:pPr>
        <w:spacing w:after="0" w:line="176" w:lineRule="exact"/>
        <w:rPr>
          <w:sz w:val="20"/>
          <w:szCs w:val="20"/>
          <w:color w:val="auto"/>
        </w:rPr>
      </w:pPr>
    </w:p>
    <w:p>
      <w:pPr>
        <w:ind w:left="480" w:hanging="20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480" w:hanging="202"/>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4,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Roman"/>
      <w:start w:val="5"/>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2024-11-04T15:15:04Z</dcterms:created>
  <dcterms:modified xsi:type="dcterms:W3CDTF">2024-11-04T15:15:04Z</dcterms:modified>
</cp:coreProperties>
</file>